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宋体" w:cs="Times New Roman"/>
          <w:color w:val="auto"/>
          <w:highlight w:val="none"/>
        </w:rPr>
      </w:pPr>
      <w:bookmarkStart w:id="25" w:name="_GoBack"/>
      <w:bookmarkEnd w:id="25"/>
    </w:p>
    <w:p>
      <w:pPr>
        <w:pStyle w:val="2"/>
        <w:spacing w:line="360" w:lineRule="auto"/>
        <w:rPr>
          <w:rFonts w:hint="default" w:ascii="Times New Roman" w:hAnsi="Times New Roman" w:eastAsia="宋体" w:cs="Times New Roman"/>
          <w:color w:val="auto"/>
          <w:highlight w:val="none"/>
        </w:rPr>
      </w:pPr>
    </w:p>
    <w:p>
      <w:pPr>
        <w:ind w:firstLine="0" w:firstLineChars="0"/>
        <w:jc w:val="center"/>
        <w:rPr>
          <w:rFonts w:hint="default" w:ascii="Times New Roman" w:hAnsi="Times New Roman" w:eastAsia="宋体" w:cs="Times New Roman"/>
          <w:b/>
          <w:bCs/>
          <w:color w:val="auto"/>
          <w:w w:val="85"/>
          <w:sz w:val="44"/>
          <w:szCs w:val="44"/>
          <w:highlight w:val="none"/>
        </w:rPr>
      </w:pPr>
      <w:r>
        <w:rPr>
          <w:rFonts w:hint="default" w:ascii="Times New Roman" w:hAnsi="Times New Roman" w:eastAsia="宋体" w:cs="Times New Roman"/>
          <w:b/>
          <w:bCs/>
          <w:color w:val="auto"/>
          <w:w w:val="85"/>
          <w:sz w:val="44"/>
          <w:szCs w:val="44"/>
          <w:highlight w:val="none"/>
        </w:rPr>
        <w:t>内蒙古自治区宁城县旭日萤石矿</w:t>
      </w:r>
    </w:p>
    <w:p>
      <w:pPr>
        <w:ind w:firstLine="0" w:firstLineChars="0"/>
        <w:jc w:val="center"/>
        <w:rPr>
          <w:rFonts w:hint="default" w:ascii="Times New Roman" w:hAnsi="Times New Roman" w:eastAsia="宋体" w:cs="Times New Roman"/>
          <w:b/>
          <w:bCs/>
          <w:color w:val="auto"/>
          <w:sz w:val="48"/>
          <w:szCs w:val="48"/>
          <w:highlight w:val="none"/>
        </w:rPr>
      </w:pPr>
      <w:r>
        <w:rPr>
          <w:rFonts w:hint="default" w:ascii="Times New Roman" w:hAnsi="Times New Roman" w:eastAsia="宋体" w:cs="Times New Roman"/>
          <w:b/>
          <w:bCs/>
          <w:color w:val="auto"/>
          <w:w w:val="85"/>
          <w:sz w:val="48"/>
          <w:szCs w:val="48"/>
          <w:highlight w:val="none"/>
        </w:rPr>
        <w:t>202</w:t>
      </w:r>
      <w:r>
        <w:rPr>
          <w:rFonts w:hint="eastAsia" w:cs="Times New Roman"/>
          <w:b/>
          <w:bCs/>
          <w:color w:val="auto"/>
          <w:w w:val="85"/>
          <w:sz w:val="48"/>
          <w:szCs w:val="48"/>
          <w:highlight w:val="none"/>
          <w:lang w:val="en-US" w:eastAsia="zh-CN"/>
        </w:rPr>
        <w:t>4</w:t>
      </w:r>
      <w:r>
        <w:rPr>
          <w:rFonts w:hint="default" w:ascii="Times New Roman" w:hAnsi="Times New Roman" w:eastAsia="宋体" w:cs="Times New Roman"/>
          <w:b/>
          <w:bCs/>
          <w:color w:val="auto"/>
          <w:w w:val="85"/>
          <w:sz w:val="48"/>
          <w:szCs w:val="48"/>
          <w:highlight w:val="none"/>
        </w:rPr>
        <w:t>年度矿山地质环境治理计划书</w:t>
      </w:r>
    </w:p>
    <w:p>
      <w:pPr>
        <w:ind w:firstLine="0" w:firstLineChars="0"/>
        <w:jc w:val="center"/>
        <w:rPr>
          <w:rFonts w:hint="default" w:ascii="Times New Roman" w:hAnsi="Times New Roman" w:eastAsia="宋体" w:cs="Times New Roman"/>
          <w:b/>
          <w:color w:val="auto"/>
          <w:sz w:val="36"/>
          <w:szCs w:val="36"/>
          <w:highlight w:val="none"/>
        </w:rPr>
      </w:pPr>
    </w:p>
    <w:p>
      <w:pPr>
        <w:ind w:firstLine="0" w:firstLineChars="0"/>
        <w:jc w:val="center"/>
        <w:rPr>
          <w:rFonts w:hint="default" w:ascii="Times New Roman" w:hAnsi="Times New Roman" w:eastAsia="宋体" w:cs="Times New Roman"/>
          <w:b/>
          <w:color w:val="auto"/>
          <w:sz w:val="36"/>
          <w:szCs w:val="36"/>
          <w:highlight w:val="none"/>
        </w:rPr>
      </w:pPr>
    </w:p>
    <w:p>
      <w:pPr>
        <w:ind w:firstLine="0" w:firstLineChars="0"/>
        <w:jc w:val="center"/>
        <w:rPr>
          <w:rFonts w:hint="default" w:ascii="Times New Roman" w:hAnsi="Times New Roman" w:eastAsia="宋体" w:cs="Times New Roman"/>
          <w:b/>
          <w:color w:val="auto"/>
          <w:sz w:val="36"/>
          <w:szCs w:val="36"/>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ind w:firstLine="0" w:firstLineChars="0"/>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color w:val="auto"/>
          <w:sz w:val="28"/>
          <w:highlight w:val="none"/>
        </w:rPr>
      </w:pPr>
    </w:p>
    <w:p>
      <w:pPr>
        <w:pStyle w:val="2"/>
        <w:spacing w:line="360" w:lineRule="auto"/>
        <w:rPr>
          <w:rFonts w:hint="default" w:ascii="Times New Roman" w:hAnsi="Times New Roman" w:eastAsia="宋体" w:cs="Times New Roman"/>
          <w:color w:val="auto"/>
          <w:sz w:val="28"/>
          <w:highlight w:val="none"/>
        </w:rPr>
      </w:pPr>
    </w:p>
    <w:p>
      <w:pPr>
        <w:pStyle w:val="2"/>
        <w:spacing w:line="360" w:lineRule="auto"/>
        <w:rPr>
          <w:rFonts w:hint="default" w:ascii="Times New Roman" w:hAnsi="Times New Roman" w:eastAsia="宋体" w:cs="Times New Roman"/>
          <w:color w:val="auto"/>
          <w:sz w:val="28"/>
          <w:highlight w:val="none"/>
        </w:rPr>
      </w:pPr>
    </w:p>
    <w:p>
      <w:pPr>
        <w:pStyle w:val="2"/>
        <w:spacing w:line="360" w:lineRule="auto"/>
        <w:rPr>
          <w:rFonts w:hint="default" w:ascii="Times New Roman" w:hAnsi="Times New Roman" w:eastAsia="宋体" w:cs="Times New Roman"/>
          <w:color w:val="auto"/>
          <w:sz w:val="28"/>
          <w:highlight w:val="none"/>
        </w:rPr>
      </w:pPr>
    </w:p>
    <w:p>
      <w:pPr>
        <w:ind w:firstLine="0" w:firstLineChars="0"/>
        <w:jc w:val="center"/>
        <w:rPr>
          <w:rFonts w:hint="default" w:ascii="Times New Roman" w:hAnsi="Times New Roman" w:eastAsia="宋体" w:cs="Times New Roman"/>
          <w:b/>
          <w:bCs/>
          <w:color w:val="auto"/>
          <w:spacing w:val="20"/>
          <w:sz w:val="32"/>
          <w:szCs w:val="32"/>
          <w:highlight w:val="none"/>
        </w:rPr>
      </w:pPr>
      <w:r>
        <w:rPr>
          <w:rFonts w:hint="default" w:ascii="Times New Roman" w:hAnsi="Times New Roman" w:eastAsia="宋体" w:cs="Times New Roman"/>
          <w:b/>
          <w:bCs/>
          <w:color w:val="auto"/>
          <w:spacing w:val="20"/>
          <w:sz w:val="32"/>
          <w:szCs w:val="32"/>
          <w:highlight w:val="none"/>
        </w:rPr>
        <w:t>宁城县旭日萤石矿</w:t>
      </w:r>
    </w:p>
    <w:p>
      <w:pPr>
        <w:ind w:firstLine="0" w:firstLineChars="0"/>
        <w:jc w:val="center"/>
        <w:rPr>
          <w:rFonts w:hint="default" w:ascii="Times New Roman" w:hAnsi="Times New Roman" w:eastAsia="宋体" w:cs="Times New Roman"/>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auto"/>
          <w:spacing w:val="20"/>
          <w:sz w:val="30"/>
          <w:szCs w:val="30"/>
          <w:highlight w:val="none"/>
        </w:rPr>
        <w:t>二〇二</w:t>
      </w:r>
      <w:r>
        <w:rPr>
          <w:rFonts w:hint="eastAsia" w:cs="Times New Roman"/>
          <w:color w:val="auto"/>
          <w:spacing w:val="20"/>
          <w:sz w:val="30"/>
          <w:szCs w:val="30"/>
          <w:highlight w:val="none"/>
          <w:lang w:val="en-US" w:eastAsia="zh-CN"/>
        </w:rPr>
        <w:t>四</w:t>
      </w:r>
      <w:r>
        <w:rPr>
          <w:rFonts w:hint="default" w:ascii="Times New Roman" w:hAnsi="Times New Roman" w:eastAsia="宋体" w:cs="Times New Roman"/>
          <w:color w:val="auto"/>
          <w:spacing w:val="20"/>
          <w:sz w:val="30"/>
          <w:szCs w:val="30"/>
          <w:highlight w:val="none"/>
        </w:rPr>
        <w:t>年</w:t>
      </w:r>
      <w:r>
        <w:rPr>
          <w:rFonts w:hint="eastAsia" w:cs="Times New Roman"/>
          <w:color w:val="auto"/>
          <w:spacing w:val="20"/>
          <w:sz w:val="30"/>
          <w:szCs w:val="30"/>
          <w:highlight w:val="none"/>
          <w:lang w:val="en-US" w:eastAsia="zh-CN"/>
        </w:rPr>
        <w:t>三</w:t>
      </w:r>
      <w:r>
        <w:rPr>
          <w:rFonts w:hint="default" w:ascii="Times New Roman" w:hAnsi="Times New Roman" w:eastAsia="宋体" w:cs="Times New Roman"/>
          <w:color w:val="auto"/>
          <w:spacing w:val="20"/>
          <w:sz w:val="30"/>
          <w:szCs w:val="30"/>
          <w:highlight w:val="none"/>
        </w:rPr>
        <w:t>月</w:t>
      </w:r>
    </w:p>
    <w:p>
      <w:pPr>
        <w:ind w:firstLine="0" w:firstLineChars="0"/>
        <w:jc w:val="center"/>
        <w:rPr>
          <w:rFonts w:hint="default" w:ascii="Times New Roman" w:hAnsi="Times New Roman" w:eastAsia="宋体" w:cs="Times New Roman"/>
          <w:b/>
          <w:color w:val="auto"/>
          <w:sz w:val="32"/>
          <w:highlight w:val="none"/>
        </w:rPr>
      </w:pPr>
      <w:r>
        <w:rPr>
          <w:rFonts w:hint="default" w:ascii="Times New Roman" w:hAnsi="Times New Roman" w:eastAsia="宋体" w:cs="Times New Roman"/>
          <w:b/>
          <w:color w:val="auto"/>
          <w:sz w:val="32"/>
          <w:highlight w:val="none"/>
        </w:rPr>
        <w:t>目  录</w:t>
      </w:r>
    </w:p>
    <w:p>
      <w:pPr>
        <w:pStyle w:val="9"/>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val="0"/>
          <w:caps w:val="0"/>
          <w:color w:val="auto"/>
          <w:szCs w:val="24"/>
          <w:highlight w:val="none"/>
        </w:rPr>
        <w:fldChar w:fldCharType="begin"/>
      </w:r>
      <w:r>
        <w:rPr>
          <w:rFonts w:hint="default" w:ascii="Times New Roman" w:hAnsi="Times New Roman" w:eastAsia="宋体" w:cs="Times New Roman"/>
          <w:bCs w:val="0"/>
          <w:caps w:val="0"/>
          <w:color w:val="auto"/>
          <w:szCs w:val="24"/>
          <w:highlight w:val="none"/>
        </w:rPr>
        <w:instrText xml:space="preserve"> TOC \o "1-2" \h \z \u </w:instrText>
      </w:r>
      <w:r>
        <w:rPr>
          <w:rFonts w:hint="default" w:ascii="Times New Roman" w:hAnsi="Times New Roman" w:eastAsia="宋体" w:cs="Times New Roman"/>
          <w:bCs w:val="0"/>
          <w:caps w:val="0"/>
          <w:color w:val="auto"/>
          <w:szCs w:val="24"/>
          <w:highlight w:val="none"/>
        </w:rPr>
        <w:fldChar w:fldCharType="separate"/>
      </w:r>
      <w:r>
        <w:rPr>
          <w:rFonts w:hint="default" w:ascii="Times New Roman" w:hAnsi="Times New Roman" w:eastAsia="宋体" w:cs="Times New Roman"/>
          <w:bCs w:val="0"/>
          <w:caps w:val="0"/>
          <w:color w:val="auto"/>
          <w:szCs w:val="24"/>
          <w:highlight w:val="none"/>
        </w:rPr>
        <w:fldChar w:fldCharType="begin"/>
      </w:r>
      <w:r>
        <w:rPr>
          <w:rFonts w:hint="default" w:ascii="Times New Roman" w:hAnsi="Times New Roman" w:eastAsia="宋体" w:cs="Times New Roman"/>
          <w:bCs w:val="0"/>
          <w:caps w:val="0"/>
          <w:color w:val="auto"/>
          <w:szCs w:val="24"/>
          <w:highlight w:val="none"/>
        </w:rPr>
        <w:instrText xml:space="preserve"> HYPERLINK \l _Toc25423 </w:instrText>
      </w:r>
      <w:r>
        <w:rPr>
          <w:rFonts w:hint="default" w:ascii="Times New Roman" w:hAnsi="Times New Roman" w:eastAsia="宋体" w:cs="Times New Roman"/>
          <w:bCs w:val="0"/>
          <w:caps w:val="0"/>
          <w:color w:val="auto"/>
          <w:szCs w:val="24"/>
          <w:highlight w:val="none"/>
        </w:rPr>
        <w:fldChar w:fldCharType="separate"/>
      </w:r>
      <w:r>
        <w:rPr>
          <w:rFonts w:hint="default" w:ascii="Times New Roman" w:hAnsi="Times New Roman" w:eastAsia="宋体" w:cs="Times New Roman"/>
          <w:color w:val="auto"/>
          <w:szCs w:val="36"/>
          <w:highlight w:val="none"/>
        </w:rPr>
        <w:t>一、矿山基本情况</w:t>
      </w:r>
      <w:r>
        <w:rPr>
          <w:rFonts w:hint="default" w:ascii="Times New Roman" w:hAnsi="Times New Roman" w:eastAsia="宋体" w:cs="Times New Roman"/>
          <w:color w:val="auto"/>
          <w:highlight w:val="none"/>
        </w:rPr>
        <w:tab/>
      </w:r>
      <w:r>
        <w:rPr>
          <w:rFonts w:hint="eastAsia" w:cs="Times New Roman"/>
          <w:color w:val="auto"/>
          <w:highlight w:val="none"/>
          <w:lang w:val="en-US" w:eastAsia="zh-CN"/>
        </w:rPr>
        <w:t>1</w:t>
      </w:r>
      <w:r>
        <w:rPr>
          <w:rFonts w:hint="default" w:ascii="Times New Roman" w:hAnsi="Times New Roman" w:eastAsia="宋体" w:cs="Times New Roman"/>
          <w:bCs w:val="0"/>
          <w:caps w:val="0"/>
          <w:color w:val="auto"/>
          <w:szCs w:val="24"/>
          <w:highlight w:val="none"/>
        </w:rPr>
        <w:fldChar w:fldCharType="end"/>
      </w:r>
    </w:p>
    <w:p>
      <w:pPr>
        <w:pStyle w:val="9"/>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_Toc16204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szCs w:val="36"/>
          <w:highlight w:val="none"/>
        </w:rPr>
        <w:t>二、矿山地质环境治理方案的编制与执行情况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_Toc16204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_Toc26744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（一）方案编制概况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_Toc26744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_Toc5053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（二）治理方案规划的近期治理工程内容</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_Toc5053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_Toc17151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（三）矿山地质环境治理方案执行情况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_Toc17151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_Toc29113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szCs w:val="36"/>
          <w:highlight w:val="none"/>
        </w:rPr>
        <w:t>三、本年度矿山生产计划</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_Toc29113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_Toc252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（一）本年度的主要生产指标计划</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_Toc252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_Toc19983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（二）开采范围</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_Toc19983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_Toc20149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szCs w:val="36"/>
          <w:highlight w:val="none"/>
        </w:rPr>
        <w:t>四、矿山地质环境问题</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_Toc20149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_Toc19417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（一）矿山地质环境问题现状</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_Toc19417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_Toc29465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二</w:t>
      </w:r>
      <w:r>
        <w:rPr>
          <w:rFonts w:hint="default" w:ascii="Times New Roman" w:hAnsi="Times New Roman" w:eastAsia="宋体" w:cs="Times New Roman"/>
          <w:color w:val="auto"/>
          <w:highlight w:val="none"/>
        </w:rPr>
        <w:t>）</w:t>
      </w:r>
      <w:r>
        <w:rPr>
          <w:rFonts w:hint="default" w:ascii="Times New Roman" w:hAnsi="Times New Roman" w:eastAsia="宋体" w:cs="Times New Roman"/>
          <w:bCs/>
          <w:color w:val="auto"/>
          <w:kern w:val="2"/>
          <w:szCs w:val="30"/>
          <w:highlight w:val="none"/>
          <w:lang w:val="en-US" w:eastAsia="zh-CN" w:bidi="ar-SA"/>
        </w:rPr>
        <w:t>矿山地质环境问题预测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_Toc29465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6</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_Toc3456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szCs w:val="36"/>
          <w:highlight w:val="none"/>
        </w:rPr>
        <w:t>五、矿山地质环境防治工程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_Toc3456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_Toc2371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（一）矿山地质环境治理区的确定</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_Toc2371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_Toc709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（二）矿山地质环境治理工程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_Toc709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10"/>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_Toc9939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rPr>
        <w:t>（三）矿山地质环境监测工程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_Toc9939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_Toc17433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szCs w:val="36"/>
          <w:highlight w:val="none"/>
        </w:rPr>
        <w:t>六、经费预算</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_Toc17433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ind w:firstLine="0" w:firstLineChars="0"/>
        <w:rPr>
          <w:rFonts w:hint="default" w:ascii="Times New Roman" w:hAnsi="Times New Roman" w:eastAsia="宋体" w:cs="Times New Roman"/>
          <w:bCs/>
          <w:caps/>
          <w:color w:val="auto"/>
          <w:szCs w:val="24"/>
          <w:highlight w:val="none"/>
        </w:rPr>
      </w:pPr>
      <w:r>
        <w:rPr>
          <w:rFonts w:hint="default" w:ascii="Times New Roman" w:hAnsi="Times New Roman" w:eastAsia="宋体" w:cs="Times New Roman"/>
          <w:bCs/>
          <w:caps/>
          <w:color w:val="auto"/>
          <w:szCs w:val="24"/>
          <w:highlight w:val="none"/>
        </w:rPr>
        <w:fldChar w:fldCharType="end"/>
      </w:r>
      <w:r>
        <w:rPr>
          <w:rFonts w:hint="default" w:ascii="Times New Roman" w:hAnsi="Times New Roman" w:eastAsia="宋体" w:cs="Times New Roman"/>
          <w:bCs/>
          <w:caps/>
          <w:color w:val="auto"/>
          <w:szCs w:val="24"/>
          <w:highlight w:val="none"/>
        </w:rPr>
        <w:br w:type="page"/>
      </w:r>
    </w:p>
    <w:p>
      <w:pPr>
        <w:spacing w:before="120" w:beforeLines="50"/>
        <w:ind w:firstLine="0" w:firstLineChars="0"/>
        <w:rPr>
          <w:rFonts w:hint="default" w:ascii="Times New Roman" w:hAnsi="Times New Roman" w:eastAsia="宋体" w:cs="Times New Roman"/>
          <w:bCs/>
          <w:caps/>
          <w:color w:val="auto"/>
          <w:sz w:val="32"/>
          <w:highlight w:val="none"/>
        </w:rPr>
      </w:pPr>
      <w:r>
        <w:rPr>
          <w:rFonts w:hint="default" w:ascii="Times New Roman" w:hAnsi="Times New Roman" w:eastAsia="宋体" w:cs="Times New Roman"/>
          <w:b/>
          <w:color w:val="auto"/>
          <w:sz w:val="28"/>
          <w:szCs w:val="28"/>
          <w:highlight w:val="none"/>
        </w:rPr>
        <w:t>附  图</w:t>
      </w:r>
    </w:p>
    <w:p>
      <w:pPr>
        <w:numPr>
          <w:ilvl w:val="0"/>
          <w:numId w:val="0"/>
        </w:numPr>
        <w:adjustRightInd/>
        <w:ind w:left="6480" w:leftChars="0" w:hanging="6480" w:hangingChars="270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szCs w:val="24"/>
          <w:highlight w:val="none"/>
        </w:rPr>
        <w:t>内蒙古自治区宁城县旭日萤石矿202</w:t>
      </w:r>
      <w:r>
        <w:rPr>
          <w:rFonts w:hint="eastAsia" w:cs="Times New Roman"/>
          <w:bCs/>
          <w:color w:val="auto"/>
          <w:szCs w:val="24"/>
          <w:highlight w:val="none"/>
          <w:lang w:val="en-US" w:eastAsia="zh-CN"/>
        </w:rPr>
        <w:t>4</w:t>
      </w:r>
      <w:r>
        <w:rPr>
          <w:rFonts w:hint="default" w:ascii="Times New Roman" w:hAnsi="Times New Roman" w:eastAsia="宋体" w:cs="Times New Roman"/>
          <w:bCs/>
          <w:color w:val="auto"/>
          <w:szCs w:val="24"/>
          <w:highlight w:val="none"/>
        </w:rPr>
        <w:t>年度矿山地质环境治理工程部署图</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color w:val="auto"/>
          <w:szCs w:val="24"/>
          <w:highlight w:val="none"/>
        </w:rPr>
        <w:t xml:space="preserve">                       </w:t>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 xml:space="preserve">              比例尺1:</w:t>
      </w:r>
      <w:r>
        <w:rPr>
          <w:rFonts w:hint="eastAsia" w:cs="Times New Roman"/>
          <w:color w:val="auto"/>
          <w:szCs w:val="24"/>
          <w:highlight w:val="none"/>
          <w:lang w:val="en-US" w:eastAsia="zh-CN"/>
        </w:rPr>
        <w:t>2</w:t>
      </w:r>
      <w:r>
        <w:rPr>
          <w:rFonts w:hint="default" w:ascii="Times New Roman" w:hAnsi="Times New Roman" w:eastAsia="宋体" w:cs="Times New Roman"/>
          <w:color w:val="auto"/>
          <w:szCs w:val="24"/>
          <w:highlight w:val="none"/>
        </w:rPr>
        <w:t>000</w:t>
      </w:r>
    </w:p>
    <w:p>
      <w:pPr>
        <w:ind w:right="-518" w:rightChars="-216" w:firstLine="0" w:firstLineChars="0"/>
        <w:textAlignment w:val="center"/>
        <w:rPr>
          <w:rFonts w:hint="default" w:ascii="Times New Roman" w:hAnsi="Times New Roman" w:eastAsia="宋体" w:cs="Times New Roman"/>
          <w:color w:val="auto"/>
          <w:szCs w:val="24"/>
          <w:highlight w:val="none"/>
        </w:rPr>
      </w:pPr>
    </w:p>
    <w:p>
      <w:pPr>
        <w:pStyle w:val="3"/>
        <w:spacing w:before="120" w:after="120" w:line="360" w:lineRule="auto"/>
        <w:jc w:val="both"/>
        <w:rPr>
          <w:rFonts w:hint="default" w:ascii="Times New Roman" w:hAnsi="Times New Roman" w:eastAsia="宋体" w:cs="Times New Roman"/>
          <w:color w:val="auto"/>
          <w:sz w:val="36"/>
          <w:szCs w:val="36"/>
          <w:highlight w:val="none"/>
        </w:rPr>
        <w:sectPr>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26" w:charSpace="0"/>
        </w:sectPr>
      </w:pPr>
    </w:p>
    <w:p>
      <w:pPr>
        <w:pStyle w:val="3"/>
        <w:numPr>
          <w:ilvl w:val="0"/>
          <w:numId w:val="1"/>
        </w:numPr>
        <w:spacing w:before="120" w:after="120" w:line="360" w:lineRule="auto"/>
        <w:rPr>
          <w:rFonts w:hint="default" w:ascii="Times New Roman" w:hAnsi="Times New Roman" w:eastAsia="宋体" w:cs="Times New Roman"/>
          <w:color w:val="auto"/>
          <w:sz w:val="36"/>
          <w:szCs w:val="36"/>
          <w:highlight w:val="none"/>
        </w:rPr>
      </w:pPr>
      <w:bookmarkStart w:id="0" w:name="_Toc25423"/>
      <w:r>
        <w:rPr>
          <w:rFonts w:hint="default" w:ascii="Times New Roman" w:hAnsi="Times New Roman" w:eastAsia="宋体" w:cs="Times New Roman"/>
          <w:color w:val="auto"/>
          <w:sz w:val="36"/>
          <w:szCs w:val="36"/>
          <w:highlight w:val="none"/>
        </w:rPr>
        <w:t>矿山基本情况</w:t>
      </w:r>
      <w:bookmarkEnd w:id="0"/>
    </w:p>
    <w:p>
      <w:pPr>
        <w:tabs>
          <w:tab w:val="left" w:pos="1300"/>
        </w:tabs>
        <w:spacing w:line="360" w:lineRule="auto"/>
        <w:ind w:firstLine="482"/>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矿山基本信息表</w:t>
      </w:r>
    </w:p>
    <w:tbl>
      <w:tblPr>
        <w:tblStyle w:val="12"/>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773"/>
        <w:gridCol w:w="2961"/>
        <w:gridCol w:w="1424"/>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8489" w:type="dxa"/>
            <w:gridSpan w:val="5"/>
            <w:vAlign w:val="center"/>
          </w:tcPr>
          <w:p>
            <w:pPr>
              <w:spacing w:line="240" w:lineRule="auto"/>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矿山企业基本信息表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矿山名称</w:t>
            </w:r>
          </w:p>
        </w:tc>
        <w:tc>
          <w:tcPr>
            <w:tcW w:w="6982" w:type="dxa"/>
            <w:gridSpan w:val="4"/>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宁城县旭日萤石矿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采矿权人</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宁城县旭日萤石矿</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法人代表</w:t>
            </w:r>
          </w:p>
        </w:tc>
        <w:tc>
          <w:tcPr>
            <w:tcW w:w="1824" w:type="dxa"/>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付宝利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采矿许可证号</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C1504002010016120055550</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发证机关</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内蒙古自治区</w:t>
            </w:r>
            <w:r>
              <w:rPr>
                <w:rFonts w:hint="default" w:ascii="Times New Roman" w:hAnsi="Times New Roman" w:eastAsia="宋体" w:cs="Times New Roman"/>
                <w:color w:val="auto"/>
                <w:sz w:val="21"/>
                <w:szCs w:val="21"/>
                <w:highlight w:val="none"/>
                <w:lang w:eastAsia="zh-CN"/>
              </w:rPr>
              <w:t>自然</w:t>
            </w:r>
            <w:r>
              <w:rPr>
                <w:rFonts w:hint="default" w:ascii="Times New Roman" w:hAnsi="Times New Roman" w:eastAsia="宋体" w:cs="Times New Roman"/>
                <w:color w:val="auto"/>
                <w:sz w:val="21"/>
                <w:szCs w:val="21"/>
                <w:highlight w:val="none"/>
              </w:rPr>
              <w:t>资源厅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有限期限</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年1月28日至202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年1月28日</w:t>
            </w:r>
            <w:r>
              <w:rPr>
                <w:rFonts w:hint="eastAsia" w:cs="Times New Roman"/>
                <w:color w:val="auto"/>
                <w:sz w:val="21"/>
                <w:szCs w:val="21"/>
                <w:highlight w:val="none"/>
                <w:lang w:val="en-US" w:eastAsia="zh-CN"/>
              </w:rPr>
              <w:t>（已延续）</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发证日期</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矿区地址</w:t>
            </w:r>
          </w:p>
        </w:tc>
        <w:tc>
          <w:tcPr>
            <w:tcW w:w="6982" w:type="dxa"/>
            <w:gridSpan w:val="4"/>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宁城县马架子乡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经纬度坐标</w:t>
            </w:r>
          </w:p>
        </w:tc>
        <w:tc>
          <w:tcPr>
            <w:tcW w:w="6982" w:type="dxa"/>
            <w:gridSpan w:val="4"/>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东经：118°41′12″～118°41′36″；</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北纬：41°48′52″～41°49′06″。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经济类型</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私营独资企业</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生产规模</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开采矿种</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萤石（普通）</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采矿方式</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矿区面积</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0.2268</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z w:val="21"/>
                <w:szCs w:val="21"/>
                <w:highlight w:val="none"/>
                <w:vertAlign w:val="superscript"/>
              </w:rPr>
              <w:t>2</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生产现状</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建矿时间</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2004</w:t>
            </w:r>
            <w:r>
              <w:rPr>
                <w:rFonts w:hint="default" w:ascii="Times New Roman" w:hAnsi="Times New Roman" w:eastAsia="宋体" w:cs="Times New Roman"/>
                <w:color w:val="auto"/>
                <w:sz w:val="21"/>
                <w:szCs w:val="21"/>
                <w:highlight w:val="none"/>
              </w:rPr>
              <w:t>年</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设计生产能力</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rPr>
              <w:t>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设计服务年限</w:t>
            </w:r>
          </w:p>
        </w:tc>
        <w:tc>
          <w:tcPr>
            <w:tcW w:w="3734" w:type="dxa"/>
            <w:gridSpan w:val="2"/>
            <w:tcBorders>
              <w:bottom w:val="single" w:color="auto"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4.05</w:t>
            </w:r>
            <w:r>
              <w:rPr>
                <w:rFonts w:hint="default" w:ascii="Times New Roman" w:hAnsi="Times New Roman" w:eastAsia="宋体" w:cs="Times New Roman"/>
                <w:color w:val="auto"/>
                <w:sz w:val="21"/>
                <w:szCs w:val="21"/>
                <w:highlight w:val="none"/>
                <w:lang w:eastAsia="zh-CN"/>
              </w:rPr>
              <w:t>年</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实际生产能力</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rPr>
              <w:t>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剩余服务年限</w:t>
            </w:r>
          </w:p>
        </w:tc>
        <w:tc>
          <w:tcPr>
            <w:tcW w:w="3734"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3.58</w:t>
            </w:r>
            <w:r>
              <w:rPr>
                <w:rFonts w:hint="default" w:ascii="Times New Roman" w:hAnsi="Times New Roman" w:eastAsia="宋体" w:cs="Times New Roman"/>
                <w:color w:val="auto"/>
                <w:sz w:val="21"/>
                <w:szCs w:val="21"/>
                <w:highlight w:val="none"/>
                <w:lang w:eastAsia="zh-CN"/>
              </w:rPr>
              <w:t>年</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开采深度</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1400-1300m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查明资源储量</w:t>
            </w:r>
          </w:p>
        </w:tc>
        <w:tc>
          <w:tcPr>
            <w:tcW w:w="3734"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16190t</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剩余资源储量</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矿区范围拐点坐标</w:t>
            </w:r>
          </w:p>
        </w:tc>
        <w:tc>
          <w:tcPr>
            <w:tcW w:w="6982" w:type="dxa"/>
            <w:gridSpan w:val="4"/>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2000国家大地</w:t>
            </w:r>
            <w:r>
              <w:rPr>
                <w:rFonts w:hint="default" w:ascii="Times New Roman" w:hAnsi="Times New Roman" w:eastAsia="宋体" w:cs="Times New Roman"/>
                <w:color w:val="auto"/>
                <w:sz w:val="21"/>
                <w:szCs w:val="21"/>
                <w:highlight w:val="none"/>
              </w:rPr>
              <w:t>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3"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点号</w:t>
            </w:r>
          </w:p>
        </w:tc>
        <w:tc>
          <w:tcPr>
            <w:tcW w:w="2961"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3248"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3"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61"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4632273.7644</w:t>
            </w:r>
          </w:p>
        </w:tc>
        <w:tc>
          <w:tcPr>
            <w:tcW w:w="3248"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40391014.5008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3"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961"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4632254.9155</w:t>
            </w:r>
          </w:p>
        </w:tc>
        <w:tc>
          <w:tcPr>
            <w:tcW w:w="3248"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40391554.1323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3"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961"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4631835.2146</w:t>
            </w:r>
          </w:p>
        </w:tc>
        <w:tc>
          <w:tcPr>
            <w:tcW w:w="3248"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40391539.4730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3"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961"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4631854.0536</w:t>
            </w:r>
          </w:p>
        </w:tc>
        <w:tc>
          <w:tcPr>
            <w:tcW w:w="3248"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40390999.8414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基金计提</w:t>
            </w:r>
          </w:p>
        </w:tc>
        <w:tc>
          <w:tcPr>
            <w:tcW w:w="3734"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23664.63元</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基金使用</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9" w:type="dxa"/>
            <w:gridSpan w:val="5"/>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联系人</w:t>
            </w:r>
          </w:p>
        </w:tc>
        <w:tc>
          <w:tcPr>
            <w:tcW w:w="3734" w:type="dxa"/>
            <w:gridSpan w:val="2"/>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刘丙清</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手机号</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13603128003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通讯地址</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宁城县马架子乡</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邮编</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固定电话</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14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E-mail</w:t>
            </w:r>
          </w:p>
        </w:tc>
        <w:tc>
          <w:tcPr>
            <w:tcW w:w="182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bl>
    <w:p>
      <w:pPr>
        <w:pStyle w:val="3"/>
        <w:spacing w:before="120" w:after="120" w:line="360" w:lineRule="auto"/>
        <w:rPr>
          <w:rFonts w:hint="default" w:ascii="Times New Roman" w:hAnsi="Times New Roman" w:eastAsia="宋体" w:cs="Times New Roman"/>
          <w:color w:val="auto"/>
          <w:sz w:val="36"/>
          <w:szCs w:val="36"/>
          <w:highlight w:val="none"/>
        </w:rPr>
      </w:pPr>
      <w:bookmarkStart w:id="1" w:name="_Toc16204"/>
      <w:r>
        <w:rPr>
          <w:rFonts w:hint="default" w:ascii="Times New Roman" w:hAnsi="Times New Roman" w:eastAsia="宋体" w:cs="Times New Roman"/>
          <w:color w:val="auto"/>
          <w:sz w:val="36"/>
          <w:szCs w:val="36"/>
          <w:highlight w:val="none"/>
        </w:rPr>
        <w:t>二、矿山地质环境治理方案的编制与执行情况</w:t>
      </w:r>
      <w:bookmarkEnd w:id="1"/>
    </w:p>
    <w:p>
      <w:pPr>
        <w:pStyle w:val="4"/>
        <w:spacing w:before="120" w:after="120" w:line="360" w:lineRule="auto"/>
        <w:jc w:val="left"/>
        <w:rPr>
          <w:rFonts w:hint="default" w:ascii="Times New Roman" w:hAnsi="Times New Roman" w:eastAsia="宋体" w:cs="Times New Roman"/>
          <w:color w:val="auto"/>
          <w:sz w:val="30"/>
          <w:highlight w:val="none"/>
        </w:rPr>
      </w:pPr>
      <w:bookmarkStart w:id="2" w:name="_Toc26744"/>
      <w:r>
        <w:rPr>
          <w:rFonts w:hint="default" w:ascii="Times New Roman" w:hAnsi="Times New Roman" w:eastAsia="宋体" w:cs="Times New Roman"/>
          <w:color w:val="auto"/>
          <w:sz w:val="30"/>
          <w:highlight w:val="none"/>
        </w:rPr>
        <w:t>（一）方案编制概况</w:t>
      </w:r>
      <w:bookmarkEnd w:id="2"/>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矿山地质环境治理方案编制情况：</w:t>
      </w:r>
    </w:p>
    <w:p>
      <w:pPr>
        <w:ind w:firstLine="480"/>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2009年4月</w:t>
      </w:r>
      <w:r>
        <w:rPr>
          <w:rFonts w:hint="default" w:ascii="Times New Roman" w:hAnsi="Times New Roman" w:eastAsia="宋体" w:cs="Times New Roman"/>
          <w:color w:val="auto"/>
          <w:kern w:val="0"/>
          <w:szCs w:val="24"/>
          <w:highlight w:val="none"/>
          <w:lang w:val="en-US" w:eastAsia="zh-CN"/>
        </w:rPr>
        <w:t>，</w:t>
      </w:r>
      <w:r>
        <w:rPr>
          <w:rFonts w:hint="default" w:ascii="Times New Roman" w:hAnsi="Times New Roman" w:eastAsia="宋体" w:cs="Times New Roman"/>
          <w:color w:val="auto"/>
          <w:kern w:val="0"/>
          <w:szCs w:val="24"/>
          <w:highlight w:val="none"/>
          <w:lang w:eastAsia="zh-CN"/>
        </w:rPr>
        <w:t>由</w:t>
      </w:r>
      <w:r>
        <w:rPr>
          <w:rFonts w:hint="default" w:ascii="Times New Roman" w:hAnsi="Times New Roman" w:eastAsia="宋体" w:cs="Times New Roman"/>
          <w:color w:val="auto"/>
          <w:kern w:val="0"/>
          <w:szCs w:val="24"/>
          <w:highlight w:val="none"/>
        </w:rPr>
        <w:t>辽宁省有色地质局勘查总院</w:t>
      </w:r>
      <w:r>
        <w:rPr>
          <w:rFonts w:hint="default" w:ascii="Times New Roman" w:hAnsi="Times New Roman" w:eastAsia="宋体" w:cs="Times New Roman"/>
          <w:color w:val="auto"/>
          <w:kern w:val="0"/>
          <w:szCs w:val="24"/>
          <w:highlight w:val="none"/>
          <w:lang w:eastAsia="zh-CN"/>
        </w:rPr>
        <w:t>于编制的</w:t>
      </w:r>
      <w:r>
        <w:rPr>
          <w:rFonts w:hint="default" w:ascii="Times New Roman" w:hAnsi="Times New Roman" w:eastAsia="宋体" w:cs="Times New Roman"/>
          <w:color w:val="auto"/>
          <w:kern w:val="0"/>
          <w:szCs w:val="24"/>
          <w:highlight w:val="none"/>
        </w:rPr>
        <w:t>《内蒙古自治区宁城县旭日萤石矿矿山环境保护与综合治理方案》；</w:t>
      </w:r>
    </w:p>
    <w:p>
      <w:pPr>
        <w:ind w:firstLine="480"/>
        <w:rPr>
          <w:rFonts w:hint="default" w:ascii="Times New Roman" w:hAnsi="Times New Roman" w:eastAsia="宋体" w:cs="Times New Roman"/>
          <w:color w:val="auto"/>
          <w:kern w:val="0"/>
          <w:szCs w:val="24"/>
          <w:highlight w:val="none"/>
          <w:lang w:eastAsia="zh-CN"/>
        </w:rPr>
      </w:pPr>
      <w:r>
        <w:rPr>
          <w:rFonts w:hint="default" w:ascii="Times New Roman" w:hAnsi="Times New Roman" w:eastAsia="宋体" w:cs="Times New Roman"/>
          <w:color w:val="auto"/>
          <w:kern w:val="0"/>
          <w:szCs w:val="24"/>
          <w:highlight w:val="none"/>
        </w:rPr>
        <w:t>201</w:t>
      </w:r>
      <w:r>
        <w:rPr>
          <w:rFonts w:hint="default" w:ascii="Times New Roman" w:hAnsi="Times New Roman" w:eastAsia="宋体" w:cs="Times New Roman"/>
          <w:color w:val="auto"/>
          <w:kern w:val="0"/>
          <w:szCs w:val="24"/>
          <w:highlight w:val="none"/>
          <w:lang w:val="en-US" w:eastAsia="zh-CN"/>
        </w:rPr>
        <w:t>4</w:t>
      </w:r>
      <w:r>
        <w:rPr>
          <w:rFonts w:hint="default" w:ascii="Times New Roman" w:hAnsi="Times New Roman" w:eastAsia="宋体" w:cs="Times New Roman"/>
          <w:color w:val="auto"/>
          <w:kern w:val="0"/>
          <w:szCs w:val="24"/>
          <w:highlight w:val="none"/>
        </w:rPr>
        <w:t>年</w:t>
      </w:r>
      <w:r>
        <w:rPr>
          <w:rFonts w:hint="default" w:ascii="Times New Roman" w:hAnsi="Times New Roman" w:eastAsia="宋体" w:cs="Times New Roman"/>
          <w:color w:val="auto"/>
          <w:kern w:val="0"/>
          <w:szCs w:val="24"/>
          <w:highlight w:val="none"/>
          <w:lang w:val="en-US" w:eastAsia="zh-CN"/>
        </w:rPr>
        <w:t>9</w:t>
      </w:r>
      <w:r>
        <w:rPr>
          <w:rFonts w:hint="default" w:ascii="Times New Roman" w:hAnsi="Times New Roman" w:eastAsia="宋体" w:cs="Times New Roman"/>
          <w:color w:val="auto"/>
          <w:kern w:val="0"/>
          <w:szCs w:val="24"/>
          <w:highlight w:val="none"/>
        </w:rPr>
        <w:t>月，由赤峰冠诚地质勘查有限责任公司编制了</w:t>
      </w:r>
      <w:r>
        <w:rPr>
          <w:rFonts w:hint="default" w:ascii="Times New Roman" w:hAnsi="Times New Roman" w:eastAsia="宋体" w:cs="Times New Roman"/>
          <w:color w:val="auto"/>
          <w:kern w:val="0"/>
          <w:szCs w:val="24"/>
          <w:highlight w:val="none"/>
          <w:lang w:eastAsia="zh-CN"/>
        </w:rPr>
        <w:t>《</w:t>
      </w:r>
      <w:r>
        <w:rPr>
          <w:rFonts w:hint="default" w:ascii="Times New Roman" w:hAnsi="Times New Roman" w:eastAsia="宋体" w:cs="Times New Roman"/>
          <w:color w:val="auto"/>
          <w:kern w:val="0"/>
          <w:szCs w:val="24"/>
          <w:highlight w:val="none"/>
        </w:rPr>
        <w:t>内蒙古自治区宁城县旭日萤石矿矿山地质环境分期治理及土地复垦方案（2010.1～2014.8.1）</w:t>
      </w:r>
      <w:r>
        <w:rPr>
          <w:rFonts w:hint="default" w:ascii="Times New Roman" w:hAnsi="Times New Roman" w:eastAsia="宋体" w:cs="Times New Roman"/>
          <w:color w:val="auto"/>
          <w:kern w:val="0"/>
          <w:szCs w:val="24"/>
          <w:highlight w:val="none"/>
          <w:lang w:eastAsia="zh-CN"/>
        </w:rPr>
        <w:t>》；</w:t>
      </w:r>
    </w:p>
    <w:p>
      <w:pPr>
        <w:ind w:firstLine="480"/>
        <w:rPr>
          <w:rFonts w:hint="eastAsia" w:cs="Times New Roman"/>
          <w:color w:val="auto"/>
          <w:szCs w:val="24"/>
          <w:highlight w:val="none"/>
          <w:lang w:eastAsia="zh-CN"/>
        </w:rPr>
      </w:pPr>
      <w:r>
        <w:rPr>
          <w:rFonts w:hint="default" w:ascii="Times New Roman" w:hAnsi="Times New Roman" w:eastAsia="宋体" w:cs="Times New Roman"/>
          <w:color w:val="auto"/>
          <w:szCs w:val="24"/>
          <w:highlight w:val="none"/>
        </w:rPr>
        <w:t>矿山已完成</w:t>
      </w:r>
      <w:r>
        <w:rPr>
          <w:rFonts w:hint="default" w:ascii="Times New Roman" w:hAnsi="Times New Roman" w:eastAsia="宋体" w:cs="Times New Roman"/>
          <w:color w:val="auto"/>
          <w:kern w:val="0"/>
          <w:szCs w:val="24"/>
          <w:highlight w:val="none"/>
          <w:lang w:eastAsia="zh-CN"/>
        </w:rPr>
        <w:t>《</w:t>
      </w:r>
      <w:r>
        <w:rPr>
          <w:rFonts w:hint="default" w:ascii="Times New Roman" w:hAnsi="Times New Roman" w:eastAsia="宋体" w:cs="Times New Roman"/>
          <w:color w:val="auto"/>
          <w:kern w:val="0"/>
          <w:szCs w:val="24"/>
          <w:highlight w:val="none"/>
        </w:rPr>
        <w:t>内蒙古自治区宁城县旭日萤石矿矿山地质环境分期治理及土地复垦方案（2010.1～2014.8.1）</w:t>
      </w:r>
      <w:r>
        <w:rPr>
          <w:rFonts w:hint="default" w:ascii="Times New Roman" w:hAnsi="Times New Roman" w:eastAsia="宋体" w:cs="Times New Roman"/>
          <w:color w:val="auto"/>
          <w:kern w:val="0"/>
          <w:szCs w:val="24"/>
          <w:highlight w:val="none"/>
          <w:lang w:eastAsia="zh-CN"/>
        </w:rPr>
        <w:t>》</w:t>
      </w:r>
      <w:r>
        <w:rPr>
          <w:rFonts w:hint="default" w:ascii="Times New Roman" w:hAnsi="Times New Roman" w:eastAsia="宋体" w:cs="Times New Roman"/>
          <w:color w:val="auto"/>
          <w:szCs w:val="24"/>
          <w:highlight w:val="none"/>
        </w:rPr>
        <w:t>的工作部署，</w:t>
      </w:r>
      <w:r>
        <w:rPr>
          <w:rFonts w:hint="default" w:ascii="Times New Roman" w:hAnsi="Times New Roman" w:eastAsia="宋体" w:cs="Times New Roman"/>
          <w:color w:val="auto"/>
          <w:highlight w:val="none"/>
        </w:rPr>
        <w:t>201</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日</w:t>
      </w:r>
      <w:r>
        <w:rPr>
          <w:rFonts w:hint="default" w:ascii="Times New Roman" w:hAnsi="Times New Roman" w:eastAsia="宋体" w:cs="Times New Roman"/>
          <w:color w:val="auto"/>
          <w:szCs w:val="24"/>
          <w:highlight w:val="none"/>
        </w:rPr>
        <w:t>，赤峰市国土资源局组织专家组对一分期进行了验收并出具《内蒙古自治区矿山地质环境分期治理工程验收意见书》（编号：</w:t>
      </w:r>
      <w:r>
        <w:rPr>
          <w:rFonts w:hint="default" w:ascii="Times New Roman" w:hAnsi="Times New Roman" w:eastAsia="宋体" w:cs="Times New Roman"/>
          <w:color w:val="auto"/>
          <w:szCs w:val="24"/>
          <w:highlight w:val="none"/>
          <w:lang w:val="en-US" w:eastAsia="zh-CN"/>
        </w:rPr>
        <w:t>17037</w:t>
      </w:r>
      <w:r>
        <w:rPr>
          <w:rFonts w:hint="default" w:ascii="Times New Roman" w:hAnsi="Times New Roman" w:eastAsia="宋体" w:cs="Times New Roman"/>
          <w:color w:val="auto"/>
          <w:szCs w:val="24"/>
          <w:highlight w:val="none"/>
        </w:rPr>
        <w:t>）</w:t>
      </w:r>
      <w:r>
        <w:rPr>
          <w:rFonts w:hint="eastAsia" w:cs="Times New Roman"/>
          <w:color w:val="auto"/>
          <w:szCs w:val="24"/>
          <w:highlight w:val="none"/>
          <w:lang w:eastAsia="zh-CN"/>
        </w:rPr>
        <w:t>；</w:t>
      </w:r>
    </w:p>
    <w:p>
      <w:pPr>
        <w:ind w:firstLine="480"/>
        <w:rPr>
          <w:rFonts w:hint="eastAsia" w:ascii="Times New Roman" w:hAnsi="Times New Roman" w:eastAsia="宋体" w:cs="Times New Roman"/>
          <w:color w:val="auto"/>
          <w:kern w:val="0"/>
          <w:szCs w:val="24"/>
          <w:highlight w:val="none"/>
          <w:lang w:eastAsia="zh-CN"/>
        </w:rPr>
      </w:pPr>
      <w:r>
        <w:rPr>
          <w:rFonts w:hint="eastAsia" w:ascii="Times New Roman" w:hAnsi="Times New Roman" w:eastAsia="宋体" w:cs="Times New Roman"/>
          <w:color w:val="auto"/>
          <w:szCs w:val="24"/>
          <w:highlight w:val="none"/>
          <w:lang w:val="en-US" w:eastAsia="zh-CN"/>
        </w:rPr>
        <w:t xml:space="preserve"> </w:t>
      </w:r>
      <w:r>
        <w:rPr>
          <w:rFonts w:hint="eastAsia" w:ascii="Times New Roman" w:hAnsi="Times New Roman" w:eastAsia="宋体" w:cs="Times New Roman"/>
          <w:color w:val="auto"/>
          <w:kern w:val="0"/>
          <w:szCs w:val="24"/>
          <w:highlight w:val="none"/>
          <w:lang w:val="en-US" w:eastAsia="zh-CN"/>
        </w:rPr>
        <w:t>2020年11月，委托</w:t>
      </w:r>
      <w:r>
        <w:rPr>
          <w:rFonts w:hint="default" w:ascii="Times New Roman" w:hAnsi="Times New Roman" w:eastAsia="宋体" w:cs="Times New Roman"/>
          <w:color w:val="auto"/>
          <w:kern w:val="0"/>
          <w:szCs w:val="24"/>
          <w:highlight w:val="none"/>
          <w:lang w:eastAsia="zh-CN"/>
        </w:rPr>
        <w:t>内蒙古顺源水文勘测有限责任公司</w:t>
      </w:r>
      <w:r>
        <w:rPr>
          <w:rFonts w:hint="eastAsia" w:ascii="Times New Roman" w:hAnsi="Times New Roman" w:eastAsia="宋体" w:cs="Times New Roman"/>
          <w:color w:val="auto"/>
          <w:kern w:val="0"/>
          <w:szCs w:val="24"/>
          <w:highlight w:val="none"/>
          <w:lang w:eastAsia="zh-CN"/>
        </w:rPr>
        <w:t>编制《内蒙古自治区宁城县旭日萤石矿矿山地质环境治理方案》；</w:t>
      </w:r>
    </w:p>
    <w:p>
      <w:pPr>
        <w:ind w:firstLine="480"/>
        <w:rPr>
          <w:rFonts w:hint="eastAsia" w:ascii="Times New Roman" w:hAnsi="Times New Roman" w:eastAsia="宋体" w:cs="Times New Roman"/>
          <w:color w:val="auto"/>
          <w:kern w:val="0"/>
          <w:szCs w:val="24"/>
          <w:highlight w:val="none"/>
          <w:lang w:val="en-US" w:eastAsia="zh-CN"/>
        </w:rPr>
      </w:pPr>
      <w:r>
        <w:rPr>
          <w:rFonts w:hint="eastAsia" w:ascii="Times New Roman" w:hAnsi="Times New Roman" w:eastAsia="宋体" w:cs="Times New Roman"/>
          <w:color w:val="auto"/>
          <w:kern w:val="0"/>
          <w:szCs w:val="24"/>
          <w:highlight w:val="none"/>
          <w:lang w:val="en-US" w:eastAsia="zh-CN"/>
        </w:rPr>
        <w:t>202</w:t>
      </w:r>
      <w:r>
        <w:rPr>
          <w:rFonts w:hint="eastAsia" w:cs="Times New Roman"/>
          <w:color w:val="auto"/>
          <w:kern w:val="0"/>
          <w:szCs w:val="24"/>
          <w:highlight w:val="none"/>
          <w:lang w:val="en-US" w:eastAsia="zh-CN"/>
        </w:rPr>
        <w:t>3</w:t>
      </w:r>
      <w:r>
        <w:rPr>
          <w:rFonts w:hint="eastAsia" w:ascii="Times New Roman" w:hAnsi="Times New Roman" w:eastAsia="宋体" w:cs="Times New Roman"/>
          <w:color w:val="auto"/>
          <w:kern w:val="0"/>
          <w:szCs w:val="24"/>
          <w:highlight w:val="none"/>
          <w:lang w:val="en-US" w:eastAsia="zh-CN"/>
        </w:rPr>
        <w:t>年，矿业权人编制的《202</w:t>
      </w:r>
      <w:r>
        <w:rPr>
          <w:rFonts w:hint="eastAsia" w:cs="Times New Roman"/>
          <w:color w:val="auto"/>
          <w:kern w:val="0"/>
          <w:szCs w:val="24"/>
          <w:highlight w:val="none"/>
          <w:lang w:val="en-US" w:eastAsia="zh-CN"/>
        </w:rPr>
        <w:t>3</w:t>
      </w:r>
      <w:r>
        <w:rPr>
          <w:rFonts w:hint="eastAsia" w:ascii="Times New Roman" w:hAnsi="Times New Roman" w:eastAsia="宋体" w:cs="Times New Roman"/>
          <w:color w:val="auto"/>
          <w:kern w:val="0"/>
          <w:szCs w:val="24"/>
          <w:highlight w:val="none"/>
          <w:lang w:val="en-US" w:eastAsia="zh-CN"/>
        </w:rPr>
        <w:t>年年度治理计划书》。</w:t>
      </w:r>
    </w:p>
    <w:p>
      <w:pPr>
        <w:pStyle w:val="4"/>
        <w:spacing w:before="120" w:after="120" w:line="360" w:lineRule="auto"/>
        <w:jc w:val="left"/>
        <w:rPr>
          <w:rFonts w:hint="default" w:ascii="Times New Roman" w:hAnsi="Times New Roman" w:eastAsia="宋体" w:cs="Times New Roman"/>
          <w:color w:val="auto"/>
          <w:sz w:val="30"/>
          <w:highlight w:val="none"/>
        </w:rPr>
      </w:pPr>
      <w:bookmarkStart w:id="3" w:name="_Toc5053"/>
      <w:r>
        <w:rPr>
          <w:rFonts w:hint="default" w:ascii="Times New Roman" w:hAnsi="Times New Roman" w:eastAsia="宋体" w:cs="Times New Roman"/>
          <w:color w:val="auto"/>
          <w:sz w:val="30"/>
          <w:highlight w:val="none"/>
        </w:rPr>
        <w:t>（二）治理方案规划的近期治理工程内容</w:t>
      </w:r>
      <w:bookmarkEnd w:id="3"/>
    </w:p>
    <w:p>
      <w:pPr>
        <w:ind w:firstLine="464"/>
        <w:rPr>
          <w:rFonts w:hint="default" w:ascii="Times New Roman" w:hAnsi="Times New Roman" w:eastAsia="宋体" w:cs="Times New Roman"/>
          <w:color w:val="auto"/>
          <w:szCs w:val="24"/>
          <w:highlight w:val="none"/>
          <w:lang w:eastAsia="zh-CN"/>
        </w:rPr>
      </w:pPr>
      <w:bookmarkStart w:id="4" w:name="_Toc487613484"/>
      <w:r>
        <w:rPr>
          <w:rFonts w:hint="default" w:ascii="Times New Roman" w:hAnsi="Times New Roman" w:eastAsia="宋体" w:cs="Times New Roman"/>
          <w:color w:val="auto"/>
          <w:szCs w:val="24"/>
          <w:highlight w:val="none"/>
        </w:rPr>
        <w:t>矿山于</w:t>
      </w:r>
      <w:r>
        <w:rPr>
          <w:rFonts w:hint="default" w:ascii="Times New Roman" w:hAnsi="Times New Roman" w:eastAsia="宋体" w:cs="Times New Roman"/>
          <w:color w:val="auto"/>
          <w:sz w:val="24"/>
          <w:highlight w:val="none"/>
        </w:rPr>
        <w:t>20</w:t>
      </w:r>
      <w:r>
        <w:rPr>
          <w:rFonts w:hint="eastAsia" w:cs="Times New Roman"/>
          <w:color w:val="auto"/>
          <w:sz w:val="24"/>
          <w:highlight w:val="none"/>
          <w:lang w:val="en-US" w:eastAsia="zh-CN"/>
        </w:rPr>
        <w:t>20</w:t>
      </w:r>
      <w:r>
        <w:rPr>
          <w:rFonts w:hint="default" w:ascii="Times New Roman" w:hAnsi="Times New Roman" w:eastAsia="宋体" w:cs="Times New Roman"/>
          <w:color w:val="auto"/>
          <w:sz w:val="24"/>
          <w:highlight w:val="none"/>
          <w:lang w:eastAsia="zh-CN"/>
        </w:rPr>
        <w:t>年</w:t>
      </w:r>
      <w:r>
        <w:rPr>
          <w:rFonts w:hint="eastAsia" w:cs="Times New Roman"/>
          <w:color w:val="auto"/>
          <w:sz w:val="24"/>
          <w:highlight w:val="none"/>
          <w:lang w:val="en-US" w:eastAsia="zh-CN"/>
        </w:rPr>
        <w:t>11</w:t>
      </w:r>
      <w:r>
        <w:rPr>
          <w:rFonts w:hint="default" w:ascii="Times New Roman" w:hAnsi="Times New Roman" w:eastAsia="宋体" w:cs="Times New Roman"/>
          <w:color w:val="auto"/>
          <w:szCs w:val="24"/>
          <w:highlight w:val="none"/>
        </w:rPr>
        <w:t>月</w:t>
      </w:r>
      <w:r>
        <w:rPr>
          <w:rFonts w:hint="eastAsia" w:cs="Times New Roman"/>
          <w:color w:val="auto"/>
          <w:szCs w:val="24"/>
          <w:highlight w:val="none"/>
          <w:lang w:eastAsia="zh-CN"/>
        </w:rPr>
        <w:t>，</w:t>
      </w:r>
      <w:r>
        <w:rPr>
          <w:rFonts w:hint="default" w:ascii="Times New Roman" w:hAnsi="Times New Roman" w:eastAsia="宋体" w:cs="Times New Roman"/>
          <w:color w:val="auto"/>
          <w:szCs w:val="24"/>
          <w:highlight w:val="none"/>
        </w:rPr>
        <w:t>委托内蒙古顺源水文勘测有限责任公司</w:t>
      </w:r>
      <w:r>
        <w:rPr>
          <w:rFonts w:hint="default" w:ascii="Times New Roman" w:hAnsi="Times New Roman" w:eastAsia="宋体" w:cs="Times New Roman"/>
          <w:color w:val="auto"/>
          <w:kern w:val="0"/>
          <w:szCs w:val="24"/>
          <w:highlight w:val="none"/>
          <w:lang w:eastAsia="zh-CN"/>
        </w:rPr>
        <w:t>编制的</w:t>
      </w:r>
      <w:r>
        <w:rPr>
          <w:rFonts w:hint="default" w:ascii="Times New Roman" w:hAnsi="Times New Roman" w:eastAsia="宋体" w:cs="Times New Roman"/>
          <w:color w:val="auto"/>
          <w:kern w:val="0"/>
          <w:szCs w:val="24"/>
          <w:highlight w:val="none"/>
        </w:rPr>
        <w:t>《内蒙古自治区宁城县旭日萤石矿</w:t>
      </w:r>
      <w:r>
        <w:rPr>
          <w:rFonts w:hint="eastAsia" w:ascii="Times New Roman" w:hAnsi="Times New Roman" w:eastAsia="宋体" w:cs="Times New Roman"/>
          <w:color w:val="auto"/>
          <w:szCs w:val="24"/>
          <w:highlight w:val="none"/>
        </w:rPr>
        <w:t>矿山地质环境治理方案</w:t>
      </w:r>
      <w:r>
        <w:rPr>
          <w:rFonts w:hint="default" w:ascii="Times New Roman" w:hAnsi="Times New Roman" w:eastAsia="宋体" w:cs="Times New Roman"/>
          <w:color w:val="auto"/>
          <w:kern w:val="0"/>
          <w:szCs w:val="24"/>
          <w:highlight w:val="none"/>
        </w:rPr>
        <w:t>》</w:t>
      </w:r>
      <w:r>
        <w:rPr>
          <w:rFonts w:hint="eastAsia" w:cs="Times New Roman"/>
          <w:color w:val="auto"/>
          <w:szCs w:val="24"/>
          <w:highlight w:val="none"/>
          <w:lang w:eastAsia="zh-CN"/>
        </w:rPr>
        <w:t>，其首期治理内容如下：</w:t>
      </w:r>
    </w:p>
    <w:bookmarkEnd w:id="4"/>
    <w:p>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pacing w:val="-4"/>
          <w:sz w:val="24"/>
          <w:highlight w:val="none"/>
        </w:rPr>
      </w:pPr>
      <w:r>
        <w:rPr>
          <w:rFonts w:hint="eastAsia" w:ascii="宋体" w:hAnsi="宋体" w:eastAsia="宋体" w:cs="宋体"/>
          <w:color w:val="auto"/>
          <w:sz w:val="24"/>
          <w:highlight w:val="none"/>
          <w:lang w:val="en-US" w:eastAsia="zh-CN"/>
        </w:rPr>
        <w:t>1、2021年1月1日</w:t>
      </w:r>
      <w:r>
        <w:rPr>
          <w:rFonts w:hint="eastAsia" w:ascii="宋体" w:hAnsi="宋体" w:eastAsia="宋体" w:cs="宋体"/>
          <w:color w:val="auto"/>
          <w:spacing w:val="-4"/>
          <w:sz w:val="24"/>
          <w:highlight w:val="none"/>
        </w:rPr>
        <w:t>至202</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rPr>
        <w:t>年</w:t>
      </w:r>
      <w:r>
        <w:rPr>
          <w:rFonts w:hint="eastAsia" w:ascii="宋体" w:hAnsi="宋体" w:eastAsia="宋体" w:cs="宋体"/>
          <w:color w:val="auto"/>
          <w:spacing w:val="-4"/>
          <w:sz w:val="24"/>
          <w:highlight w:val="none"/>
          <w:lang w:val="en-US" w:eastAsia="zh-CN"/>
        </w:rPr>
        <w:t>12</w:t>
      </w:r>
      <w:r>
        <w:rPr>
          <w:rFonts w:hint="eastAsia" w:ascii="宋体" w:hAnsi="宋体" w:eastAsia="宋体" w:cs="宋体"/>
          <w:color w:val="auto"/>
          <w:spacing w:val="-4"/>
          <w:sz w:val="24"/>
          <w:highlight w:val="none"/>
          <w:lang w:eastAsia="zh-CN"/>
        </w:rPr>
        <w:t>月3</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lang w:eastAsia="zh-CN"/>
        </w:rPr>
        <w:t>日，正常</w:t>
      </w:r>
      <w:r>
        <w:rPr>
          <w:rFonts w:hint="eastAsia" w:ascii="宋体" w:hAnsi="宋体" w:eastAsia="宋体" w:cs="宋体"/>
          <w:color w:val="auto"/>
          <w:spacing w:val="-4"/>
          <w:sz w:val="24"/>
          <w:highlight w:val="none"/>
        </w:rPr>
        <w:t>开展</w:t>
      </w:r>
      <w:r>
        <w:rPr>
          <w:rFonts w:hint="eastAsia" w:ascii="宋体" w:hAnsi="宋体" w:eastAsia="宋体" w:cs="宋体"/>
          <w:color w:val="auto"/>
          <w:spacing w:val="-4"/>
          <w:sz w:val="24"/>
          <w:highlight w:val="none"/>
          <w:lang w:eastAsia="zh-CN"/>
        </w:rPr>
        <w:t>办理延续采矿许可证</w:t>
      </w:r>
      <w:r>
        <w:rPr>
          <w:rFonts w:hint="eastAsia" w:ascii="宋体" w:hAnsi="宋体" w:eastAsia="宋体" w:cs="宋体"/>
          <w:color w:val="auto"/>
          <w:spacing w:val="-4"/>
          <w:sz w:val="24"/>
          <w:highlight w:val="none"/>
        </w:rPr>
        <w:t>相关事宜</w:t>
      </w:r>
      <w:r>
        <w:rPr>
          <w:rFonts w:hint="eastAsia" w:ascii="宋体" w:hAnsi="宋体" w:eastAsia="宋体" w:cs="宋体"/>
          <w:color w:val="auto"/>
          <w:spacing w:val="-4"/>
          <w:sz w:val="24"/>
          <w:highlight w:val="none"/>
          <w:lang w:eastAsia="zh-CN"/>
        </w:rPr>
        <w:t>，与此同时对</w:t>
      </w:r>
      <w:r>
        <w:rPr>
          <w:rFonts w:hint="eastAsia" w:ascii="宋体" w:hAnsi="宋体" w:cs="宋体"/>
          <w:color w:val="auto"/>
          <w:spacing w:val="-4"/>
          <w:sz w:val="24"/>
          <w:highlight w:val="none"/>
          <w:lang w:eastAsia="zh-CN"/>
        </w:rPr>
        <w:t>“一分期”治理单元补充完善相关复垦、治理工程</w:t>
      </w:r>
      <w:r>
        <w:rPr>
          <w:rFonts w:hint="eastAsia" w:ascii="宋体" w:hAnsi="宋体" w:eastAsia="宋体" w:cs="宋体"/>
          <w:color w:val="auto"/>
          <w:spacing w:val="-4"/>
          <w:sz w:val="24"/>
          <w:highlight w:val="none"/>
        </w:rPr>
        <w:t>。</w:t>
      </w:r>
    </w:p>
    <w:p>
      <w:pPr>
        <w:pStyle w:val="15"/>
        <w:spacing w:line="360" w:lineRule="auto"/>
        <w:ind w:firstLine="480"/>
        <w:rPr>
          <w:rFonts w:hint="default" w:ascii="宋体" w:hAnsi="宋体" w:eastAsia="宋体" w:cs="宋体"/>
          <w:b w:val="0"/>
          <w:bCs w:val="0"/>
          <w:color w:val="auto"/>
          <w:sz w:val="24"/>
          <w:highlight w:val="none"/>
          <w:lang w:val="en-US" w:eastAsia="zh-CN"/>
        </w:rPr>
      </w:pPr>
      <w:r>
        <w:rPr>
          <w:rFonts w:hint="eastAsia" w:ascii="宋体" w:hAnsi="宋体" w:eastAsia="宋体" w:cs="宋体"/>
          <w:color w:val="auto"/>
          <w:spacing w:val="-4"/>
          <w:sz w:val="24"/>
          <w:highlight w:val="none"/>
          <w:lang w:val="en-US" w:eastAsia="zh-CN"/>
        </w:rPr>
        <w:t>2、</w:t>
      </w:r>
      <w:r>
        <w:rPr>
          <w:rFonts w:hint="eastAsia" w:ascii="宋体" w:hAnsi="宋体" w:eastAsia="宋体" w:cs="宋体"/>
          <w:color w:val="auto"/>
          <w:sz w:val="24"/>
          <w:highlight w:val="none"/>
          <w:lang w:val="en-US" w:eastAsia="zh-CN"/>
        </w:rPr>
        <w:t>2022年1月1日</w:t>
      </w:r>
      <w:r>
        <w:rPr>
          <w:rFonts w:hint="eastAsia" w:ascii="宋体" w:hAnsi="宋体" w:eastAsia="宋体" w:cs="宋体"/>
          <w:color w:val="auto"/>
          <w:spacing w:val="-4"/>
          <w:sz w:val="24"/>
          <w:highlight w:val="none"/>
        </w:rPr>
        <w:t>至202</w:t>
      </w:r>
      <w:r>
        <w:rPr>
          <w:rFonts w:hint="eastAsia" w:ascii="宋体" w:hAnsi="宋体" w:eastAsia="宋体" w:cs="宋体"/>
          <w:color w:val="auto"/>
          <w:spacing w:val="-4"/>
          <w:sz w:val="24"/>
          <w:highlight w:val="none"/>
          <w:lang w:val="en-US" w:eastAsia="zh-CN"/>
        </w:rPr>
        <w:t>2</w:t>
      </w:r>
      <w:r>
        <w:rPr>
          <w:rFonts w:hint="eastAsia" w:ascii="宋体" w:hAnsi="宋体" w:eastAsia="宋体" w:cs="宋体"/>
          <w:color w:val="auto"/>
          <w:spacing w:val="-4"/>
          <w:sz w:val="24"/>
          <w:highlight w:val="none"/>
        </w:rPr>
        <w:t>年</w:t>
      </w:r>
      <w:r>
        <w:rPr>
          <w:rFonts w:hint="eastAsia" w:ascii="宋体" w:hAnsi="宋体" w:eastAsia="宋体" w:cs="宋体"/>
          <w:color w:val="auto"/>
          <w:spacing w:val="-4"/>
          <w:sz w:val="24"/>
          <w:highlight w:val="none"/>
          <w:lang w:val="en-US" w:eastAsia="zh-CN"/>
        </w:rPr>
        <w:t>12</w:t>
      </w:r>
      <w:r>
        <w:rPr>
          <w:rFonts w:hint="eastAsia" w:ascii="宋体" w:hAnsi="宋体" w:eastAsia="宋体" w:cs="宋体"/>
          <w:color w:val="auto"/>
          <w:spacing w:val="-4"/>
          <w:sz w:val="24"/>
          <w:highlight w:val="none"/>
          <w:lang w:eastAsia="zh-CN"/>
        </w:rPr>
        <w:t>月3</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lang w:eastAsia="zh-CN"/>
        </w:rPr>
        <w:t>日，</w:t>
      </w:r>
      <w:r>
        <w:rPr>
          <w:rFonts w:hint="eastAsia" w:ascii="宋体" w:hAnsi="宋体" w:eastAsia="宋体" w:cs="宋体"/>
          <w:color w:val="auto"/>
          <w:sz w:val="24"/>
          <w:szCs w:val="24"/>
          <w:highlight w:val="none"/>
        </w:rPr>
        <w:t>矿生产要严格按《开发利用方案》和有关设计施工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设置监测标桩加强对地表变形的监测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近期在</w:t>
      </w:r>
      <w:r>
        <w:rPr>
          <w:rFonts w:hint="eastAsia" w:ascii="宋体" w:hAnsi="宋体" w:eastAsia="宋体" w:cs="宋体"/>
          <w:color w:val="auto"/>
          <w:sz w:val="24"/>
          <w:szCs w:val="24"/>
          <w:highlight w:val="none"/>
          <w:lang w:eastAsia="zh-CN"/>
        </w:rPr>
        <w:t>预测地面塌陷区</w:t>
      </w:r>
      <w:r>
        <w:rPr>
          <w:rFonts w:hint="eastAsia" w:ascii="宋体" w:hAnsi="宋体" w:eastAsia="宋体" w:cs="宋体"/>
          <w:color w:val="auto"/>
          <w:sz w:val="24"/>
          <w:szCs w:val="24"/>
          <w:highlight w:val="none"/>
        </w:rPr>
        <w:t>外100m适当间距设置警示牌</w:t>
      </w:r>
      <w:r>
        <w:rPr>
          <w:rFonts w:hint="eastAsia" w:ascii="宋体" w:hAnsi="宋体" w:eastAsia="宋体" w:cs="宋体"/>
          <w:color w:val="auto"/>
          <w:sz w:val="24"/>
          <w:szCs w:val="24"/>
          <w:highlight w:val="none"/>
          <w:lang w:eastAsia="zh-CN"/>
        </w:rPr>
        <w:t>、网围栏；</w:t>
      </w:r>
      <w:r>
        <w:rPr>
          <w:rFonts w:hint="eastAsia" w:ascii="宋体" w:hAnsi="宋体" w:eastAsia="宋体" w:cs="宋体"/>
          <w:color w:val="auto"/>
          <w:sz w:val="24"/>
          <w:szCs w:val="24"/>
          <w:highlight w:val="none"/>
          <w:lang w:val="en-US" w:eastAsia="zh-CN"/>
        </w:rPr>
        <w:t>对预测地面塌陷区进行采空区充填。</w:t>
      </w:r>
    </w:p>
    <w:p>
      <w:pPr>
        <w:keepNext w:val="0"/>
        <w:keepLines w:val="0"/>
        <w:pageBreakBefore w:val="0"/>
        <w:widowControl/>
        <w:kinsoku/>
        <w:wordWrap/>
        <w:overflowPunct/>
        <w:topLinePunct w:val="0"/>
        <w:autoSpaceDE/>
        <w:autoSpaceDN/>
        <w:bidi w:val="0"/>
        <w:adjustRightInd/>
        <w:snapToGrid/>
        <w:spacing w:after="0" w:line="360" w:lineRule="auto"/>
        <w:ind w:firstLine="464" w:firstLineChars="200"/>
        <w:jc w:val="both"/>
        <w:textAlignment w:val="auto"/>
        <w:rPr>
          <w:rFonts w:hint="eastAsia" w:ascii="宋体" w:hAnsi="宋体" w:cs="宋体"/>
          <w:color w:val="auto"/>
          <w:spacing w:val="-4"/>
          <w:sz w:val="24"/>
          <w:highlight w:val="none"/>
          <w:lang w:eastAsia="zh-CN"/>
        </w:rPr>
      </w:pPr>
      <w:r>
        <w:rPr>
          <w:rFonts w:hint="eastAsia" w:ascii="宋体" w:hAnsi="宋体" w:eastAsia="宋体" w:cs="宋体"/>
          <w:color w:val="auto"/>
          <w:spacing w:val="-4"/>
          <w:sz w:val="24"/>
          <w:highlight w:val="none"/>
          <w:lang w:val="en-US" w:eastAsia="zh-CN"/>
        </w:rPr>
        <w:t>3、</w:t>
      </w:r>
      <w:r>
        <w:rPr>
          <w:rFonts w:hint="eastAsia" w:ascii="宋体" w:hAnsi="宋体" w:eastAsia="宋体" w:cs="宋体"/>
          <w:color w:val="auto"/>
          <w:sz w:val="24"/>
          <w:highlight w:val="none"/>
          <w:lang w:val="en-US" w:eastAsia="zh-CN"/>
        </w:rPr>
        <w:t>2023年1月1日</w:t>
      </w:r>
      <w:r>
        <w:rPr>
          <w:rFonts w:hint="eastAsia" w:ascii="宋体" w:hAnsi="宋体" w:eastAsia="宋体" w:cs="宋体"/>
          <w:color w:val="auto"/>
          <w:spacing w:val="-4"/>
          <w:sz w:val="24"/>
          <w:highlight w:val="none"/>
        </w:rPr>
        <w:t>至202</w:t>
      </w:r>
      <w:r>
        <w:rPr>
          <w:rFonts w:hint="eastAsia" w:ascii="宋体" w:hAnsi="宋体" w:eastAsia="宋体" w:cs="宋体"/>
          <w:color w:val="auto"/>
          <w:spacing w:val="-4"/>
          <w:sz w:val="24"/>
          <w:highlight w:val="none"/>
          <w:lang w:val="en-US" w:eastAsia="zh-CN"/>
        </w:rPr>
        <w:t>3</w:t>
      </w:r>
      <w:r>
        <w:rPr>
          <w:rFonts w:hint="eastAsia" w:ascii="宋体" w:hAnsi="宋体" w:eastAsia="宋体" w:cs="宋体"/>
          <w:color w:val="auto"/>
          <w:spacing w:val="-4"/>
          <w:sz w:val="24"/>
          <w:highlight w:val="none"/>
        </w:rPr>
        <w:t>年</w:t>
      </w:r>
      <w:r>
        <w:rPr>
          <w:rFonts w:hint="eastAsia" w:ascii="宋体" w:hAnsi="宋体" w:eastAsia="宋体" w:cs="宋体"/>
          <w:color w:val="auto"/>
          <w:spacing w:val="-4"/>
          <w:sz w:val="24"/>
          <w:highlight w:val="none"/>
          <w:lang w:val="en-US" w:eastAsia="zh-CN"/>
        </w:rPr>
        <w:t>12</w:t>
      </w:r>
      <w:r>
        <w:rPr>
          <w:rFonts w:hint="eastAsia" w:ascii="宋体" w:hAnsi="宋体" w:eastAsia="宋体" w:cs="宋体"/>
          <w:color w:val="auto"/>
          <w:spacing w:val="-4"/>
          <w:sz w:val="24"/>
          <w:highlight w:val="none"/>
          <w:lang w:eastAsia="zh-CN"/>
        </w:rPr>
        <w:t>月3</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lang w:eastAsia="zh-CN"/>
        </w:rPr>
        <w:t>日，</w:t>
      </w:r>
      <w:r>
        <w:rPr>
          <w:rFonts w:hint="eastAsia" w:ascii="宋体" w:hAnsi="宋体" w:eastAsia="宋体" w:cs="宋体"/>
          <w:b w:val="0"/>
          <w:bCs w:val="0"/>
          <w:color w:val="auto"/>
          <w:sz w:val="24"/>
          <w:highlight w:val="none"/>
        </w:rPr>
        <w:t>对</w:t>
      </w:r>
      <w:r>
        <w:rPr>
          <w:rFonts w:hint="eastAsia" w:ascii="宋体" w:hAnsi="宋体" w:eastAsia="宋体" w:cs="宋体"/>
          <w:b w:val="0"/>
          <w:bCs w:val="0"/>
          <w:color w:val="auto"/>
          <w:sz w:val="24"/>
          <w:highlight w:val="none"/>
          <w:lang w:eastAsia="zh-CN"/>
        </w:rPr>
        <w:t>拟建采矿</w:t>
      </w:r>
      <w:r>
        <w:rPr>
          <w:rFonts w:hint="eastAsia" w:ascii="宋体" w:hAnsi="宋体" w:eastAsia="宋体" w:cs="宋体"/>
          <w:b w:val="0"/>
          <w:bCs w:val="0"/>
          <w:color w:val="auto"/>
          <w:sz w:val="24"/>
          <w:highlight w:val="none"/>
          <w:lang w:val="en-US" w:eastAsia="zh-CN"/>
        </w:rPr>
        <w:t>工业场地边坡</w:t>
      </w:r>
      <w:r>
        <w:rPr>
          <w:rFonts w:hint="eastAsia" w:ascii="宋体" w:hAnsi="宋体" w:eastAsia="宋体" w:cs="宋体"/>
          <w:b w:val="0"/>
          <w:bCs w:val="0"/>
          <w:color w:val="auto"/>
          <w:sz w:val="24"/>
          <w:highlight w:val="none"/>
        </w:rPr>
        <w:t>进行</w:t>
      </w:r>
      <w:r>
        <w:rPr>
          <w:rFonts w:hint="eastAsia" w:ascii="宋体" w:hAnsi="宋体" w:eastAsia="宋体" w:cs="宋体"/>
          <w:b w:val="0"/>
          <w:bCs w:val="0"/>
          <w:color w:val="auto"/>
          <w:sz w:val="24"/>
          <w:highlight w:val="none"/>
          <w:lang w:val="en-US" w:eastAsia="zh-CN"/>
        </w:rPr>
        <w:t>整形</w:t>
      </w:r>
      <w:r>
        <w:rPr>
          <w:rFonts w:hint="eastAsia" w:ascii="宋体" w:hAnsi="宋体" w:eastAsia="宋体" w:cs="宋体"/>
          <w:b w:val="0"/>
          <w:bCs w:val="0"/>
          <w:color w:val="auto"/>
          <w:sz w:val="24"/>
          <w:highlight w:val="none"/>
          <w:lang w:eastAsia="zh-CN"/>
        </w:rPr>
        <w:t>，覆土、撒播草籽、管护；同时对拟建场地进行表土剥离；对办公生活区边坡进行垫坡整形，覆土恢复植被。</w:t>
      </w:r>
    </w:p>
    <w:p>
      <w:pPr>
        <w:spacing w:line="360" w:lineRule="auto"/>
        <w:ind w:firstLine="464" w:firstLineChars="200"/>
        <w:rPr>
          <w:rFonts w:hint="eastAsia" w:ascii="宋体" w:hAnsi="宋体" w:eastAsia="宋体" w:cs="宋体"/>
          <w:b w:val="0"/>
          <w:bCs w:val="0"/>
          <w:color w:val="auto"/>
          <w:sz w:val="24"/>
          <w:highlight w:val="none"/>
        </w:rPr>
      </w:pPr>
      <w:r>
        <w:rPr>
          <w:rFonts w:hint="eastAsia" w:ascii="宋体" w:hAnsi="宋体" w:eastAsia="宋体" w:cs="宋体"/>
          <w:color w:val="auto"/>
          <w:spacing w:val="-4"/>
          <w:sz w:val="24"/>
          <w:highlight w:val="none"/>
          <w:lang w:val="en-US" w:eastAsia="zh-CN"/>
        </w:rPr>
        <w:t>4、</w:t>
      </w:r>
      <w:r>
        <w:rPr>
          <w:rFonts w:hint="eastAsia" w:ascii="宋体" w:hAnsi="宋体" w:eastAsia="宋体" w:cs="宋体"/>
          <w:color w:val="auto"/>
          <w:sz w:val="24"/>
          <w:highlight w:val="none"/>
          <w:lang w:val="en-US" w:eastAsia="zh-CN"/>
        </w:rPr>
        <w:t>2024年1月1日</w:t>
      </w:r>
      <w:r>
        <w:rPr>
          <w:rFonts w:hint="eastAsia" w:ascii="宋体" w:hAnsi="宋体" w:eastAsia="宋体" w:cs="宋体"/>
          <w:color w:val="auto"/>
          <w:spacing w:val="-4"/>
          <w:sz w:val="24"/>
          <w:highlight w:val="none"/>
        </w:rPr>
        <w:t>至202</w:t>
      </w:r>
      <w:r>
        <w:rPr>
          <w:rFonts w:hint="eastAsia" w:ascii="宋体" w:hAnsi="宋体" w:eastAsia="宋体" w:cs="宋体"/>
          <w:color w:val="auto"/>
          <w:spacing w:val="-4"/>
          <w:sz w:val="24"/>
          <w:highlight w:val="none"/>
          <w:lang w:val="en-US" w:eastAsia="zh-CN"/>
        </w:rPr>
        <w:t>4</w:t>
      </w:r>
      <w:r>
        <w:rPr>
          <w:rFonts w:hint="eastAsia" w:ascii="宋体" w:hAnsi="宋体" w:eastAsia="宋体" w:cs="宋体"/>
          <w:color w:val="auto"/>
          <w:spacing w:val="-4"/>
          <w:sz w:val="24"/>
          <w:highlight w:val="none"/>
        </w:rPr>
        <w:t>年</w:t>
      </w:r>
      <w:r>
        <w:rPr>
          <w:rFonts w:hint="eastAsia" w:ascii="宋体" w:hAnsi="宋体" w:eastAsia="宋体" w:cs="宋体"/>
          <w:color w:val="auto"/>
          <w:spacing w:val="-4"/>
          <w:sz w:val="24"/>
          <w:highlight w:val="none"/>
          <w:lang w:val="en-US" w:eastAsia="zh-CN"/>
        </w:rPr>
        <w:t>12</w:t>
      </w:r>
      <w:r>
        <w:rPr>
          <w:rFonts w:hint="eastAsia" w:ascii="宋体" w:hAnsi="宋体" w:eastAsia="宋体" w:cs="宋体"/>
          <w:color w:val="auto"/>
          <w:spacing w:val="-4"/>
          <w:sz w:val="24"/>
          <w:highlight w:val="none"/>
          <w:lang w:eastAsia="zh-CN"/>
        </w:rPr>
        <w:t>月</w:t>
      </w:r>
      <w:r>
        <w:rPr>
          <w:rFonts w:hint="eastAsia" w:ascii="宋体" w:hAnsi="宋体" w:eastAsia="宋体" w:cs="宋体"/>
          <w:color w:val="auto"/>
          <w:spacing w:val="-4"/>
          <w:sz w:val="24"/>
          <w:highlight w:val="none"/>
          <w:lang w:val="en-US" w:eastAsia="zh-CN"/>
        </w:rPr>
        <w:t>31</w:t>
      </w:r>
      <w:r>
        <w:rPr>
          <w:rFonts w:hint="eastAsia" w:ascii="宋体" w:hAnsi="宋体" w:eastAsia="宋体" w:cs="宋体"/>
          <w:color w:val="auto"/>
          <w:spacing w:val="-4"/>
          <w:sz w:val="24"/>
          <w:highlight w:val="none"/>
          <w:lang w:eastAsia="zh-CN"/>
        </w:rPr>
        <w:t>日，根据实际开采情况，继续基建工程，</w:t>
      </w:r>
      <w:r>
        <w:rPr>
          <w:rFonts w:hint="eastAsia" w:ascii="宋体" w:hAnsi="宋体" w:eastAsia="宋体" w:cs="宋体"/>
          <w:b w:val="0"/>
          <w:bCs w:val="0"/>
          <w:color w:val="auto"/>
          <w:sz w:val="24"/>
          <w:highlight w:val="none"/>
        </w:rPr>
        <w:t>对</w:t>
      </w:r>
      <w:r>
        <w:rPr>
          <w:rFonts w:hint="eastAsia" w:ascii="宋体" w:hAnsi="宋体" w:cs="宋体"/>
          <w:b w:val="0"/>
          <w:bCs w:val="0"/>
          <w:color w:val="auto"/>
          <w:sz w:val="24"/>
          <w:highlight w:val="none"/>
          <w:lang w:val="en-US" w:eastAsia="zh-CN"/>
        </w:rPr>
        <w:t>拟建</w:t>
      </w:r>
      <w:r>
        <w:rPr>
          <w:rFonts w:hint="eastAsia" w:ascii="宋体" w:hAnsi="宋体" w:eastAsia="宋体" w:cs="宋体"/>
          <w:b w:val="0"/>
          <w:bCs w:val="0"/>
          <w:color w:val="auto"/>
          <w:sz w:val="24"/>
          <w:highlight w:val="none"/>
          <w:lang w:val="en-US" w:eastAsia="zh-CN"/>
        </w:rPr>
        <w:t>排土场</w:t>
      </w:r>
      <w:r>
        <w:rPr>
          <w:rFonts w:hint="eastAsia" w:ascii="宋体" w:hAnsi="宋体" w:eastAsia="宋体" w:cs="宋体"/>
          <w:b w:val="0"/>
          <w:bCs w:val="0"/>
          <w:color w:val="auto"/>
          <w:sz w:val="24"/>
          <w:highlight w:val="none"/>
        </w:rPr>
        <w:t>堆存表土撒播草籽进行保护。</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pacing w:val="-4"/>
          <w:sz w:val="24"/>
          <w:highlight w:val="none"/>
        </w:rPr>
      </w:pPr>
      <w:r>
        <w:rPr>
          <w:rFonts w:hint="eastAsia" w:ascii="宋体" w:hAnsi="宋体" w:eastAsia="宋体" w:cs="宋体"/>
          <w:color w:val="auto"/>
          <w:sz w:val="24"/>
          <w:highlight w:val="none"/>
          <w:lang w:val="en-US" w:eastAsia="zh-CN"/>
        </w:rPr>
        <w:t>5、2025年1月1日</w:t>
      </w:r>
      <w:r>
        <w:rPr>
          <w:rFonts w:hint="eastAsia" w:ascii="宋体" w:hAnsi="宋体" w:eastAsia="宋体" w:cs="宋体"/>
          <w:color w:val="auto"/>
          <w:spacing w:val="-4"/>
          <w:sz w:val="24"/>
          <w:highlight w:val="none"/>
        </w:rPr>
        <w:t>至</w:t>
      </w:r>
      <w:r>
        <w:rPr>
          <w:rFonts w:hint="eastAsia" w:ascii="宋体" w:hAnsi="宋体" w:eastAsia="宋体" w:cs="宋体"/>
          <w:color w:val="auto"/>
          <w:spacing w:val="-4"/>
          <w:sz w:val="24"/>
          <w:highlight w:val="none"/>
          <w:lang w:eastAsia="zh-CN"/>
        </w:rPr>
        <w:t>2025年12月31日，根据实际开采情况，</w:t>
      </w:r>
      <w:r>
        <w:rPr>
          <w:rFonts w:hint="eastAsia" w:ascii="宋体" w:hAnsi="宋体" w:cs="宋体"/>
          <w:color w:val="auto"/>
          <w:spacing w:val="-4"/>
          <w:sz w:val="24"/>
          <w:highlight w:val="none"/>
          <w:lang w:eastAsia="zh-CN"/>
        </w:rPr>
        <w:t>开采过程中</w:t>
      </w:r>
      <w:r>
        <w:rPr>
          <w:rFonts w:hint="eastAsia" w:ascii="宋体" w:hAnsi="宋体" w:cs="宋体"/>
          <w:color w:val="auto"/>
          <w:spacing w:val="-4"/>
          <w:sz w:val="24"/>
          <w:highlight w:val="none"/>
          <w:lang w:val="en-US" w:eastAsia="zh-CN"/>
        </w:rPr>
        <w:t>形成危岩体</w:t>
      </w:r>
      <w:r>
        <w:rPr>
          <w:rFonts w:hint="eastAsia" w:ascii="宋体" w:hAnsi="宋体" w:eastAsia="宋体" w:cs="宋体"/>
          <w:color w:val="auto"/>
          <w:sz w:val="24"/>
          <w:highlight w:val="none"/>
          <w:lang w:eastAsia="zh-CN"/>
        </w:rPr>
        <w:t>，对其</w:t>
      </w:r>
      <w:r>
        <w:rPr>
          <w:rFonts w:hint="eastAsia" w:ascii="宋体" w:hAnsi="宋体" w:eastAsia="宋体" w:cs="宋体"/>
          <w:color w:val="auto"/>
          <w:sz w:val="24"/>
          <w:highlight w:val="none"/>
          <w:lang w:val="en-US" w:eastAsia="zh-CN"/>
        </w:rPr>
        <w:t>进行清除，预测地面塌陷区</w:t>
      </w:r>
      <w:r>
        <w:rPr>
          <w:rFonts w:hint="eastAsia" w:ascii="宋体" w:hAnsi="宋体" w:cs="宋体"/>
          <w:color w:val="auto"/>
          <w:sz w:val="24"/>
          <w:highlight w:val="none"/>
          <w:lang w:eastAsia="zh-CN"/>
        </w:rPr>
        <w:t>整平、</w:t>
      </w:r>
      <w:r>
        <w:rPr>
          <w:rFonts w:hint="eastAsia" w:ascii="宋体" w:hAnsi="宋体" w:eastAsia="宋体" w:cs="宋体"/>
          <w:color w:val="auto"/>
          <w:sz w:val="24"/>
          <w:highlight w:val="none"/>
          <w:lang w:eastAsia="zh-CN"/>
        </w:rPr>
        <w:t>覆土、复垦植被、管护</w:t>
      </w:r>
      <w:r>
        <w:rPr>
          <w:rFonts w:hint="eastAsia" w:ascii="宋体" w:hAnsi="宋体" w:eastAsia="宋体" w:cs="宋体"/>
          <w:color w:val="auto"/>
          <w:spacing w:val="-4"/>
          <w:sz w:val="24"/>
          <w:highlight w:val="none"/>
        </w:rPr>
        <w:t>。</w:t>
      </w:r>
    </w:p>
    <w:p>
      <w:pPr>
        <w:pStyle w:val="4"/>
        <w:spacing w:before="120" w:after="120" w:line="360" w:lineRule="auto"/>
        <w:jc w:val="left"/>
        <w:rPr>
          <w:rFonts w:hint="default" w:ascii="Times New Roman" w:hAnsi="Times New Roman" w:eastAsia="宋体" w:cs="Times New Roman"/>
          <w:color w:val="auto"/>
          <w:szCs w:val="24"/>
          <w:highlight w:val="none"/>
        </w:rPr>
      </w:pPr>
      <w:bookmarkStart w:id="5" w:name="_Toc17151"/>
      <w:r>
        <w:rPr>
          <w:rFonts w:hint="default" w:ascii="Times New Roman" w:hAnsi="Times New Roman" w:eastAsia="宋体" w:cs="Times New Roman"/>
          <w:color w:val="auto"/>
          <w:sz w:val="30"/>
          <w:highlight w:val="none"/>
        </w:rPr>
        <w:t>（三）矿山地质环境治理方案执行情况</w:t>
      </w:r>
      <w:bookmarkEnd w:id="5"/>
    </w:p>
    <w:p>
      <w:pPr>
        <w:ind w:left="0" w:leftChars="0" w:firstLine="480" w:firstLineChars="200"/>
        <w:jc w:val="lef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Cs w:val="24"/>
          <w:highlight w:val="none"/>
        </w:rPr>
        <w:t>矿山未</w:t>
      </w:r>
      <w:r>
        <w:rPr>
          <w:rFonts w:hint="default" w:ascii="Times New Roman" w:hAnsi="Times New Roman" w:eastAsia="宋体" w:cs="Times New Roman"/>
          <w:color w:val="auto"/>
          <w:szCs w:val="24"/>
          <w:highlight w:val="none"/>
          <w:lang w:eastAsia="zh-CN"/>
        </w:rPr>
        <w:t>编制</w:t>
      </w:r>
      <w:r>
        <w:rPr>
          <w:rFonts w:hint="default" w:ascii="Times New Roman" w:hAnsi="Times New Roman" w:eastAsia="宋体" w:cs="Times New Roman"/>
          <w:color w:val="auto"/>
          <w:szCs w:val="24"/>
          <w:highlight w:val="none"/>
        </w:rPr>
        <w:t>二分期</w:t>
      </w:r>
      <w:r>
        <w:rPr>
          <w:rFonts w:hint="default" w:ascii="Times New Roman" w:hAnsi="Times New Roman" w:eastAsia="宋体" w:cs="Times New Roman"/>
          <w:color w:val="auto"/>
          <w:szCs w:val="24"/>
          <w:highlight w:val="none"/>
          <w:lang w:eastAsia="zh-CN"/>
        </w:rPr>
        <w:t>治理方案</w:t>
      </w:r>
      <w:r>
        <w:rPr>
          <w:rFonts w:hint="default" w:ascii="Times New Roman" w:hAnsi="Times New Roman" w:eastAsia="宋体" w:cs="Times New Roman"/>
          <w:color w:val="auto"/>
          <w:szCs w:val="24"/>
          <w:highlight w:val="none"/>
        </w:rPr>
        <w:t>。矿山存在的主要问题为</w:t>
      </w:r>
      <w:r>
        <w:rPr>
          <w:rFonts w:hint="default" w:ascii="Times New Roman" w:hAnsi="Times New Roman" w:eastAsia="宋体" w:cs="Times New Roman"/>
          <w:color w:val="auto"/>
          <w:szCs w:val="24"/>
          <w:highlight w:val="none"/>
          <w:lang w:eastAsia="zh-CN"/>
        </w:rPr>
        <w:t>一</w:t>
      </w:r>
      <w:r>
        <w:rPr>
          <w:rFonts w:hint="default" w:ascii="Times New Roman" w:hAnsi="Times New Roman" w:eastAsia="宋体" w:cs="Times New Roman"/>
          <w:color w:val="auto"/>
          <w:szCs w:val="24"/>
          <w:highlight w:val="none"/>
        </w:rPr>
        <w:t>分期设计的治理工程</w:t>
      </w:r>
      <w:r>
        <w:rPr>
          <w:rFonts w:hint="default" w:ascii="Times New Roman" w:hAnsi="Times New Roman" w:eastAsia="宋体" w:cs="Times New Roman"/>
          <w:color w:val="auto"/>
          <w:szCs w:val="24"/>
          <w:highlight w:val="none"/>
          <w:lang w:eastAsia="zh-CN"/>
        </w:rPr>
        <w:t>未达到预期治理效果，主要体现为：局部植被成活率低；对治理效果不理想的治理单元，</w:t>
      </w:r>
      <w:r>
        <w:rPr>
          <w:rFonts w:hint="default" w:ascii="Times New Roman" w:hAnsi="Times New Roman" w:eastAsia="宋体" w:cs="Times New Roman"/>
          <w:color w:val="auto"/>
          <w:szCs w:val="24"/>
          <w:highlight w:val="none"/>
        </w:rPr>
        <w:t>列入本年度治理计划进行治理。</w:t>
      </w:r>
    </w:p>
    <w:p>
      <w:pPr>
        <w:ind w:firstLine="0" w:firstLineChars="0"/>
        <w:jc w:val="center"/>
        <w:rPr>
          <w:rFonts w:hint="default" w:ascii="Times New Roman" w:hAnsi="Times New Roman" w:eastAsia="宋体" w:cs="Times New Roman"/>
          <w:b/>
          <w:color w:val="auto"/>
          <w:sz w:val="21"/>
          <w:szCs w:val="21"/>
          <w:highlight w:val="none"/>
        </w:rPr>
      </w:pPr>
    </w:p>
    <w:p>
      <w:pPr>
        <w:pStyle w:val="3"/>
        <w:spacing w:before="120" w:after="120" w:line="360" w:lineRule="auto"/>
        <w:rPr>
          <w:rFonts w:hint="default" w:ascii="Times New Roman" w:hAnsi="Times New Roman" w:eastAsia="宋体" w:cs="Times New Roman"/>
          <w:color w:val="auto"/>
          <w:highlight w:val="none"/>
        </w:rPr>
      </w:pPr>
      <w:bookmarkStart w:id="6" w:name="_Toc29113"/>
      <w:r>
        <w:rPr>
          <w:rFonts w:hint="default" w:ascii="Times New Roman" w:hAnsi="Times New Roman" w:eastAsia="宋体" w:cs="Times New Roman"/>
          <w:color w:val="auto"/>
          <w:sz w:val="36"/>
          <w:szCs w:val="36"/>
          <w:highlight w:val="none"/>
        </w:rPr>
        <w:t>三、本年度矿山生产计划</w:t>
      </w:r>
      <w:bookmarkEnd w:id="6"/>
    </w:p>
    <w:p>
      <w:pPr>
        <w:pStyle w:val="4"/>
        <w:spacing w:before="120" w:after="120" w:line="360" w:lineRule="auto"/>
        <w:jc w:val="left"/>
        <w:rPr>
          <w:rFonts w:hint="default" w:ascii="Times New Roman" w:hAnsi="Times New Roman" w:eastAsia="宋体" w:cs="Times New Roman"/>
          <w:color w:val="auto"/>
          <w:highlight w:val="none"/>
        </w:rPr>
      </w:pPr>
      <w:bookmarkStart w:id="7" w:name="_Toc252"/>
      <w:r>
        <w:rPr>
          <w:rFonts w:hint="default" w:ascii="Times New Roman" w:hAnsi="Times New Roman" w:eastAsia="宋体" w:cs="Times New Roman"/>
          <w:color w:val="auto"/>
          <w:sz w:val="30"/>
          <w:highlight w:val="none"/>
        </w:rPr>
        <w:t>（一）本年度的主要生产指标计划</w:t>
      </w:r>
      <w:bookmarkEnd w:id="7"/>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矿山</w:t>
      </w:r>
      <w:r>
        <w:rPr>
          <w:rFonts w:hint="default" w:ascii="Times New Roman" w:hAnsi="Times New Roman" w:eastAsia="宋体" w:cs="Times New Roman"/>
          <w:color w:val="auto"/>
          <w:szCs w:val="24"/>
          <w:highlight w:val="none"/>
          <w:lang w:eastAsia="zh-CN"/>
        </w:rPr>
        <w:t>现</w:t>
      </w:r>
      <w:r>
        <w:rPr>
          <w:rFonts w:hint="default" w:ascii="Times New Roman" w:hAnsi="Times New Roman" w:eastAsia="宋体" w:cs="Times New Roman"/>
          <w:color w:val="auto"/>
          <w:szCs w:val="24"/>
          <w:highlight w:val="none"/>
        </w:rPr>
        <w:t>处于停产状态，受</w:t>
      </w:r>
      <w:r>
        <w:rPr>
          <w:rFonts w:hint="eastAsia" w:cs="Times New Roman"/>
          <w:color w:val="auto"/>
          <w:szCs w:val="24"/>
          <w:highlight w:val="none"/>
          <w:lang w:eastAsia="zh-CN"/>
        </w:rPr>
        <w:t>萤石</w:t>
      </w:r>
      <w:r>
        <w:rPr>
          <w:rFonts w:hint="default" w:ascii="Times New Roman" w:hAnsi="Times New Roman" w:eastAsia="宋体" w:cs="Times New Roman"/>
          <w:color w:val="auto"/>
          <w:szCs w:val="24"/>
          <w:highlight w:val="none"/>
        </w:rPr>
        <w:t>矿市场价格及企业自身因素影响矿山202</w:t>
      </w:r>
      <w:r>
        <w:rPr>
          <w:rFonts w:hint="eastAsia" w:cs="Times New Roman"/>
          <w:color w:val="auto"/>
          <w:szCs w:val="24"/>
          <w:highlight w:val="none"/>
          <w:lang w:val="en-US" w:eastAsia="zh-CN"/>
        </w:rPr>
        <w:t>4</w:t>
      </w:r>
      <w:r>
        <w:rPr>
          <w:rFonts w:hint="default" w:ascii="Times New Roman" w:hAnsi="Times New Roman" w:eastAsia="宋体" w:cs="Times New Roman"/>
          <w:color w:val="auto"/>
          <w:szCs w:val="24"/>
          <w:highlight w:val="none"/>
        </w:rPr>
        <w:t>年度不计划进行开采，因此，本年度矿山不再增加建设新的生产单元</w:t>
      </w:r>
      <w:r>
        <w:rPr>
          <w:rFonts w:hint="default" w:ascii="Times New Roman" w:hAnsi="Times New Roman" w:eastAsia="宋体" w:cs="Times New Roman"/>
          <w:color w:val="auto"/>
          <w:highlight w:val="none"/>
        </w:rPr>
        <w:t>。</w:t>
      </w:r>
    </w:p>
    <w:p>
      <w:pPr>
        <w:pStyle w:val="4"/>
        <w:spacing w:before="0" w:beforeLines="0" w:after="120" w:line="360" w:lineRule="auto"/>
        <w:jc w:val="left"/>
        <w:rPr>
          <w:rFonts w:hint="default" w:ascii="Times New Roman" w:hAnsi="Times New Roman" w:eastAsia="宋体" w:cs="Times New Roman"/>
          <w:color w:val="auto"/>
          <w:highlight w:val="none"/>
        </w:rPr>
      </w:pPr>
      <w:bookmarkStart w:id="8" w:name="_Toc19983"/>
      <w:r>
        <w:rPr>
          <w:rFonts w:hint="default" w:ascii="Times New Roman" w:hAnsi="Times New Roman" w:eastAsia="宋体" w:cs="Times New Roman"/>
          <w:color w:val="auto"/>
          <w:sz w:val="30"/>
          <w:highlight w:val="none"/>
        </w:rPr>
        <w:t>（二）开采范围</w:t>
      </w:r>
      <w:bookmarkEnd w:id="8"/>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因矿山本年度不计划开采，因此本年度不存在拟开采位置。</w:t>
      </w:r>
    </w:p>
    <w:p>
      <w:pPr>
        <w:pStyle w:val="3"/>
        <w:spacing w:before="120" w:after="120" w:line="360" w:lineRule="auto"/>
        <w:rPr>
          <w:rFonts w:hint="default" w:ascii="Times New Roman" w:hAnsi="Times New Roman" w:eastAsia="宋体" w:cs="Times New Roman"/>
          <w:color w:val="auto"/>
          <w:sz w:val="36"/>
          <w:szCs w:val="36"/>
          <w:highlight w:val="none"/>
        </w:rPr>
      </w:pPr>
      <w:bookmarkStart w:id="9" w:name="_Toc20149"/>
      <w:r>
        <w:rPr>
          <w:rFonts w:hint="default" w:ascii="Times New Roman" w:hAnsi="Times New Roman" w:eastAsia="宋体" w:cs="Times New Roman"/>
          <w:color w:val="auto"/>
          <w:sz w:val="36"/>
          <w:szCs w:val="36"/>
          <w:highlight w:val="none"/>
        </w:rPr>
        <w:t>四、矿山地质环境问题</w:t>
      </w:r>
      <w:bookmarkEnd w:id="9"/>
    </w:p>
    <w:p>
      <w:pPr>
        <w:pStyle w:val="4"/>
        <w:spacing w:before="120" w:after="120" w:line="360" w:lineRule="auto"/>
        <w:jc w:val="left"/>
        <w:rPr>
          <w:rFonts w:hint="default" w:ascii="Times New Roman" w:hAnsi="Times New Roman" w:eastAsia="宋体" w:cs="Times New Roman"/>
          <w:color w:val="auto"/>
          <w:highlight w:val="none"/>
        </w:rPr>
      </w:pPr>
      <w:bookmarkStart w:id="10" w:name="_Toc19417"/>
      <w:bookmarkStart w:id="11" w:name="_Toc362269331"/>
      <w:bookmarkStart w:id="12" w:name="_Toc356205339"/>
      <w:r>
        <w:rPr>
          <w:rFonts w:hint="default" w:ascii="Times New Roman" w:hAnsi="Times New Roman" w:eastAsia="宋体" w:cs="Times New Roman"/>
          <w:color w:val="auto"/>
          <w:sz w:val="30"/>
          <w:highlight w:val="none"/>
        </w:rPr>
        <w:t>（一）矿山地质环境问题现状</w:t>
      </w:r>
      <w:bookmarkEnd w:id="10"/>
    </w:p>
    <w:p>
      <w:pPr>
        <w:pStyle w:val="5"/>
        <w:adjustRightInd w:val="0"/>
        <w:snapToGrid w:val="0"/>
        <w:spacing w:after="0" w:line="360" w:lineRule="auto"/>
        <w:ind w:left="0" w:leftChars="0"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经本次实地调查</w:t>
      </w:r>
      <w:r>
        <w:rPr>
          <w:rFonts w:hint="eastAsia" w:ascii="宋体" w:hAnsi="宋体" w:cs="宋体"/>
          <w:color w:val="auto"/>
          <w:sz w:val="24"/>
          <w:highlight w:val="none"/>
          <w:lang w:eastAsia="zh-CN"/>
        </w:rPr>
        <w:t>，</w:t>
      </w:r>
      <w:r>
        <w:rPr>
          <w:rFonts w:hint="eastAsia" w:ascii="宋体" w:hAnsi="宋体" w:cs="宋体"/>
          <w:color w:val="auto"/>
          <w:sz w:val="24"/>
          <w:highlight w:val="none"/>
        </w:rPr>
        <w:t>矿区范围内形成的工程单元有</w:t>
      </w:r>
      <w:r>
        <w:rPr>
          <w:rFonts w:hint="eastAsia" w:ascii="宋体" w:hAnsi="宋体" w:cs="宋体"/>
          <w:color w:val="auto"/>
          <w:sz w:val="24"/>
          <w:highlight w:val="none"/>
          <w:lang w:val="en-US" w:eastAsia="zh-CN"/>
        </w:rPr>
        <w:t>废石场一、废石场二（包含PD2）、废石场三（包含PD3）、废石场五、办公生活区以及矿区道路</w:t>
      </w:r>
      <w:r>
        <w:rPr>
          <w:rFonts w:hint="eastAsia" w:ascii="宋体" w:hAnsi="宋体" w:cs="宋体"/>
          <w:color w:val="auto"/>
          <w:sz w:val="24"/>
          <w:highlight w:val="none"/>
          <w:lang w:eastAsia="zh-CN"/>
        </w:rPr>
        <w:t>，矿区全景见图</w:t>
      </w: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宋体" w:hAnsi="宋体" w:cs="宋体"/>
          <w:b/>
          <w:bCs/>
          <w:color w:val="auto"/>
          <w:sz w:val="24"/>
          <w:highlight w:val="none"/>
          <w:lang w:val="en-US"/>
        </w:rPr>
      </w:pP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废石场一</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宋体" w:hAnsi="宋体"/>
          <w:color w:val="auto"/>
          <w:sz w:val="24"/>
          <w:highlight w:val="none"/>
        </w:rPr>
      </w:pPr>
      <w:r>
        <w:rPr>
          <w:rFonts w:hint="eastAsia" w:ascii="宋体" w:hAnsi="宋体"/>
          <w:color w:val="auto"/>
          <w:sz w:val="24"/>
          <w:highlight w:val="none"/>
        </w:rPr>
        <w:t>废石场一位于矿体的东南侧，面积为518m</w:t>
      </w:r>
      <w:r>
        <w:rPr>
          <w:rFonts w:hint="eastAsia" w:ascii="宋体" w:hAnsi="宋体"/>
          <w:color w:val="auto"/>
          <w:sz w:val="24"/>
          <w:highlight w:val="none"/>
          <w:vertAlign w:val="superscript"/>
        </w:rPr>
        <w:t>2</w:t>
      </w:r>
      <w:r>
        <w:rPr>
          <w:rFonts w:hint="eastAsia" w:ascii="宋体" w:hAnsi="宋体"/>
          <w:color w:val="auto"/>
          <w:sz w:val="24"/>
          <w:highlight w:val="none"/>
        </w:rPr>
        <w:t>，由PD1产生的废石顺坡堆积而成，堆高约1-2m</w:t>
      </w:r>
      <w:r>
        <w:rPr>
          <w:rFonts w:hint="eastAsia" w:ascii="宋体" w:hAnsi="宋体"/>
          <w:color w:val="auto"/>
          <w:sz w:val="24"/>
          <w:highlight w:val="none"/>
          <w:lang w:eastAsia="zh-CN"/>
        </w:rPr>
        <w:t>，</w:t>
      </w:r>
      <w:r>
        <w:rPr>
          <w:rFonts w:hint="eastAsia" w:ascii="宋体" w:hAnsi="宋体"/>
          <w:color w:val="auto"/>
          <w:sz w:val="24"/>
          <w:highlight w:val="none"/>
        </w:rPr>
        <w:t>堆积坡角为20-30°，排出的废石量约为480</w:t>
      </w:r>
      <w:r>
        <w:rPr>
          <w:rFonts w:ascii="宋体" w:hAnsi="宋体"/>
          <w:color w:val="auto"/>
          <w:sz w:val="24"/>
          <w:highlight w:val="none"/>
        </w:rPr>
        <w:t>m</w:t>
      </w:r>
      <w:r>
        <w:rPr>
          <w:rFonts w:hint="eastAsia" w:ascii="宋体" w:hAnsi="宋体"/>
          <w:color w:val="auto"/>
          <w:sz w:val="24"/>
          <w:highlight w:val="none"/>
          <w:vertAlign w:val="superscript"/>
        </w:rPr>
        <w:t>3</w:t>
      </w:r>
      <w:r>
        <w:rPr>
          <w:rFonts w:hint="eastAsia" w:ascii="宋体" w:hAnsi="宋体"/>
          <w:color w:val="auto"/>
          <w:sz w:val="24"/>
          <w:highlight w:val="none"/>
          <w:vertAlign w:val="baseline"/>
          <w:lang w:eastAsia="zh-CN"/>
        </w:rPr>
        <w:t>，</w:t>
      </w:r>
      <w:r>
        <w:rPr>
          <w:rFonts w:hint="eastAsia" w:ascii="宋体" w:hAnsi="宋体"/>
          <w:color w:val="auto"/>
          <w:sz w:val="24"/>
          <w:highlight w:val="none"/>
          <w:lang w:val="en-US" w:eastAsia="zh-CN"/>
        </w:rPr>
        <w:t>见图4-1。</w:t>
      </w:r>
      <w:r>
        <w:rPr>
          <w:rFonts w:hint="eastAsia"/>
          <w:color w:val="auto"/>
          <w:w w:val="104"/>
          <w:sz w:val="24"/>
          <w:szCs w:val="24"/>
          <w:highlight w:val="none"/>
          <w:lang w:val="en-US" w:eastAsia="zh-CN"/>
        </w:rPr>
        <w:t>废石场一</w:t>
      </w:r>
      <w:r>
        <w:rPr>
          <w:rFonts w:hint="eastAsia"/>
          <w:color w:val="auto"/>
          <w:w w:val="104"/>
          <w:sz w:val="24"/>
          <w:szCs w:val="24"/>
          <w:highlight w:val="none"/>
        </w:rPr>
        <w:t>损毁</w:t>
      </w:r>
      <w:r>
        <w:rPr>
          <w:color w:val="auto"/>
          <w:w w:val="104"/>
          <w:sz w:val="24"/>
          <w:szCs w:val="24"/>
          <w:highlight w:val="none"/>
        </w:rPr>
        <w:t>地表植被及地形地貌</w:t>
      </w:r>
      <w:r>
        <w:rPr>
          <w:rFonts w:hint="eastAsia"/>
          <w:color w:val="auto"/>
          <w:w w:val="104"/>
          <w:sz w:val="24"/>
          <w:szCs w:val="24"/>
          <w:highlight w:val="none"/>
          <w:lang w:eastAsia="zh-CN"/>
        </w:rPr>
        <w:t>，</w:t>
      </w:r>
      <w:r>
        <w:rPr>
          <w:color w:val="auto"/>
          <w:w w:val="104"/>
          <w:sz w:val="24"/>
          <w:szCs w:val="24"/>
          <w:highlight w:val="none"/>
        </w:rPr>
        <w:t>堆放面积较大</w:t>
      </w:r>
      <w:r>
        <w:rPr>
          <w:rFonts w:hint="eastAsia"/>
          <w:color w:val="auto"/>
          <w:w w:val="104"/>
          <w:sz w:val="24"/>
          <w:szCs w:val="24"/>
          <w:highlight w:val="none"/>
          <w:lang w:eastAsia="zh-CN"/>
        </w:rPr>
        <w:t>，</w:t>
      </w:r>
      <w:r>
        <w:rPr>
          <w:rFonts w:hint="eastAsia" w:ascii="宋体" w:hAnsi="宋体" w:cs="宋体"/>
          <w:color w:val="auto"/>
          <w:sz w:val="24"/>
          <w:highlight w:val="none"/>
        </w:rPr>
        <w:t>场地的建设直接破坏了原生的地形地貌景观和植被</w:t>
      </w:r>
      <w:r>
        <w:rPr>
          <w:rFonts w:hint="eastAsia" w:ascii="宋体" w:hAnsi="宋体" w:cs="宋体"/>
          <w:color w:val="auto"/>
          <w:sz w:val="24"/>
          <w:highlight w:val="none"/>
          <w:lang w:eastAsia="zh-CN"/>
        </w:rPr>
        <w:t>，</w:t>
      </w:r>
      <w:r>
        <w:rPr>
          <w:rFonts w:hint="eastAsia" w:ascii="宋体" w:hAnsi="宋体" w:cs="宋体"/>
          <w:color w:val="auto"/>
          <w:sz w:val="24"/>
          <w:highlight w:val="none"/>
        </w:rPr>
        <w:t>现状评估</w:t>
      </w:r>
      <w:r>
        <w:rPr>
          <w:rFonts w:hint="eastAsia" w:ascii="宋体" w:hAnsi="宋体"/>
          <w:color w:val="auto"/>
          <w:sz w:val="24"/>
          <w:highlight w:val="none"/>
        </w:rPr>
        <w:t>对地形地貌景观的影响较严重</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见照片4-1</w:t>
      </w:r>
      <w:r>
        <w:rPr>
          <w:rFonts w:hint="eastAsia" w:ascii="宋体" w:hAnsi="宋体"/>
          <w:color w:val="auto"/>
          <w:sz w:val="24"/>
          <w:highlight w:val="none"/>
        </w:rPr>
        <w:t>。</w:t>
      </w:r>
    </w:p>
    <w:p>
      <w:pPr>
        <w:pStyle w:val="15"/>
        <w:tabs>
          <w:tab w:val="left" w:pos="6120"/>
        </w:tabs>
        <w:spacing w:line="360" w:lineRule="auto"/>
        <w:ind w:firstLine="482"/>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839720" cy="4137025"/>
            <wp:effectExtent l="0" t="0" r="17780" b="15875"/>
            <wp:docPr id="1" name="图片 1" descr="方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方量图"/>
                    <pic:cNvPicPr>
                      <a:picLocks noChangeAspect="1"/>
                    </pic:cNvPicPr>
                  </pic:nvPicPr>
                  <pic:blipFill>
                    <a:blip r:embed="rId19"/>
                    <a:srcRect l="1424" t="18465" r="82765" b="13232"/>
                    <a:stretch>
                      <a:fillRect/>
                    </a:stretch>
                  </pic:blipFill>
                  <pic:spPr>
                    <a:xfrm>
                      <a:off x="0" y="0"/>
                      <a:ext cx="2839720" cy="4137025"/>
                    </a:xfrm>
                    <a:prstGeom prst="rect">
                      <a:avLst/>
                    </a:prstGeom>
                    <a:noFill/>
                    <a:ln>
                      <a:noFill/>
                    </a:ln>
                  </pic:spPr>
                </pic:pic>
              </a:graphicData>
            </a:graphic>
          </wp:inline>
        </w:drawing>
      </w:r>
    </w:p>
    <w:p>
      <w:pPr>
        <w:pStyle w:val="15"/>
        <w:tabs>
          <w:tab w:val="left" w:pos="6120"/>
        </w:tabs>
        <w:spacing w:line="360" w:lineRule="auto"/>
        <w:ind w:firstLine="482"/>
        <w:jc w:val="center"/>
        <w:rPr>
          <w:rFonts w:hint="eastAsia" w:ascii="宋体" w:hAnsi="宋体" w:eastAsia="宋体" w:cs="宋体"/>
          <w:b/>
          <w:bCs/>
          <w:color w:val="auto"/>
          <w:sz w:val="24"/>
          <w:highlight w:val="none"/>
        </w:rPr>
        <w:sectPr>
          <w:pgSz w:w="11850" w:h="16783"/>
          <w:pgMar w:top="1219" w:right="1797" w:bottom="1440" w:left="1797" w:header="709" w:footer="709" w:gutter="0"/>
          <w:pgBorders>
            <w:top w:val="none" w:sz="0" w:space="0"/>
            <w:left w:val="none" w:sz="0" w:space="0"/>
            <w:bottom w:val="none" w:sz="0" w:space="0"/>
            <w:right w:val="none" w:sz="0" w:space="0"/>
          </w:pgBorders>
          <w:cols w:space="720" w:num="1"/>
          <w:docGrid w:linePitch="286" w:charSpace="0"/>
        </w:sectPr>
      </w:pPr>
      <w:r>
        <w:rPr>
          <w:rFonts w:hint="eastAsia" w:ascii="宋体" w:hAnsi="宋体" w:eastAsia="宋体" w:cs="宋体"/>
          <w:b/>
          <w:bCs/>
          <w:color w:val="auto"/>
          <w:sz w:val="24"/>
          <w:highlight w:val="none"/>
          <w:lang w:eastAsia="zh-CN"/>
        </w:rPr>
        <w:t>图</w:t>
      </w:r>
      <w:r>
        <w:rPr>
          <w:rFonts w:hint="eastAsia" w:ascii="宋体" w:hAnsi="宋体" w:eastAsia="宋体" w:cs="宋体"/>
          <w:b/>
          <w:bCs/>
          <w:color w:val="auto"/>
          <w:sz w:val="24"/>
          <w:highlight w:val="none"/>
          <w:lang w:val="en-US" w:eastAsia="zh-CN"/>
        </w:rPr>
        <w:t xml:space="preserve">4-1   废石场一 </w:t>
      </w:r>
      <w:r>
        <w:rPr>
          <w:rFonts w:hint="eastAsia" w:ascii="宋体" w:hAnsi="宋体" w:eastAsia="宋体" w:cs="宋体"/>
          <w:b/>
          <w:bCs/>
          <w:color w:val="auto"/>
          <w:sz w:val="24"/>
          <w:highlight w:val="none"/>
        </w:rPr>
        <w:t>方量三角网法计算成果图</w:t>
      </w:r>
    </w:p>
    <w:p>
      <w:pPr>
        <w:pStyle w:val="15"/>
        <w:tabs>
          <w:tab w:val="left" w:pos="6120"/>
        </w:tabs>
        <w:spacing w:line="360" w:lineRule="auto"/>
        <w:ind w:firstLine="482"/>
        <w:jc w:val="center"/>
        <w:rPr>
          <w:rFonts w:hint="eastAsia" w:ascii="宋体" w:hAnsi="宋体" w:eastAsia="宋体" w:cs="宋体"/>
          <w:b/>
          <w:bCs/>
          <w:color w:val="auto"/>
          <w:sz w:val="24"/>
          <w:highlight w:val="none"/>
        </w:rPr>
      </w:pPr>
    </w:p>
    <w:p>
      <w:pPr>
        <w:pStyle w:val="15"/>
        <w:keepNext w:val="0"/>
        <w:keepLines w:val="0"/>
        <w:pageBreakBefore w:val="0"/>
        <w:widowControl w:val="0"/>
        <w:tabs>
          <w:tab w:val="left" w:pos="6120"/>
        </w:tabs>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4"/>
          <w:highlight w:val="none"/>
          <w:lang w:val="en-US" w:eastAsia="zh-CN"/>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2343785</wp:posOffset>
                </wp:positionH>
                <wp:positionV relativeFrom="paragraph">
                  <wp:posOffset>63500</wp:posOffset>
                </wp:positionV>
                <wp:extent cx="1464310" cy="462915"/>
                <wp:effectExtent l="4445" t="5080" r="17145" b="1189355"/>
                <wp:wrapNone/>
                <wp:docPr id="5" name="矩形标注 5"/>
                <wp:cNvGraphicFramePr/>
                <a:graphic xmlns:a="http://schemas.openxmlformats.org/drawingml/2006/main">
                  <a:graphicData uri="http://schemas.microsoft.com/office/word/2010/wordprocessingShape">
                    <wps:wsp>
                      <wps:cNvSpPr/>
                      <wps:spPr>
                        <a:xfrm>
                          <a:off x="0" y="0"/>
                          <a:ext cx="1464310" cy="462915"/>
                        </a:xfrm>
                        <a:prstGeom prst="wedgeRectCallout">
                          <a:avLst>
                            <a:gd name="adj1" fmla="val 45533"/>
                            <a:gd name="adj2" fmla="val 29979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废石场一</w:t>
                            </w:r>
                          </w:p>
                        </w:txbxContent>
                      </wps:txbx>
                      <wps:bodyPr upright="1"/>
                    </wps:wsp>
                  </a:graphicData>
                </a:graphic>
              </wp:anchor>
            </w:drawing>
          </mc:Choice>
          <mc:Fallback>
            <w:pict>
              <v:shape id="_x0000_s1026" o:spid="_x0000_s1026" o:spt="61" type="#_x0000_t61" style="position:absolute;left:0pt;margin-left:184.55pt;margin-top:5pt;height:36.45pt;width:115.3pt;z-index:251662336;mso-width-relative:page;mso-height-relative:page;" fillcolor="#FFFFFF" filled="t" stroked="t" coordsize="21600,21600" o:gfxdata="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mcweLYAAAACQEAAA8AAAAAAAAAAQAgAAAAIgAAAGRycy9kb3du&#10;cmV2LnhtbFBLAQIUABQAAAAIAIdO4kC4y82wOAIAAI0EAAAOAAAAAAAAAAEAIAAAACcBAABkcnMv&#10;ZTJvRG9jLnhtbFBLBQYAAAAABgAGAFkBAADRBQAAAAA=&#10;" adj="20635,75556">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废石场一</w:t>
                      </w:r>
                    </w:p>
                  </w:txbxContent>
                </v:textbox>
              </v:shape>
            </w:pict>
          </mc:Fallback>
        </mc:AlternateContent>
      </w: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-416560</wp:posOffset>
                </wp:positionH>
                <wp:positionV relativeFrom="paragraph">
                  <wp:posOffset>1042670</wp:posOffset>
                </wp:positionV>
                <wp:extent cx="1480820" cy="562610"/>
                <wp:effectExtent l="5080" t="5080" r="2400300" b="422910"/>
                <wp:wrapNone/>
                <wp:docPr id="3" name="矩形标注 3"/>
                <wp:cNvGraphicFramePr/>
                <a:graphic xmlns:a="http://schemas.openxmlformats.org/drawingml/2006/main">
                  <a:graphicData uri="http://schemas.microsoft.com/office/word/2010/wordprocessingShape">
                    <wps:wsp>
                      <wps:cNvSpPr/>
                      <wps:spPr>
                        <a:xfrm>
                          <a:off x="0" y="0"/>
                          <a:ext cx="1480820" cy="562610"/>
                        </a:xfrm>
                        <a:prstGeom prst="wedgeRectCallout">
                          <a:avLst>
                            <a:gd name="adj1" fmla="val 209389"/>
                            <a:gd name="adj2" fmla="val 122458"/>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废石场二（包含PD2）</w:t>
                            </w:r>
                          </w:p>
                        </w:txbxContent>
                      </wps:txbx>
                      <wps:bodyPr upright="1"/>
                    </wps:wsp>
                  </a:graphicData>
                </a:graphic>
              </wp:anchor>
            </w:drawing>
          </mc:Choice>
          <mc:Fallback>
            <w:pict>
              <v:shape id="_x0000_s1026" o:spid="_x0000_s1026" o:spt="61" type="#_x0000_t61" style="position:absolute;left:0pt;margin-left:-32.8pt;margin-top:82.1pt;height:44.3pt;width:116.6pt;z-index:251660288;mso-width-relative:page;mso-height-relative:page;" fillcolor="#FFFFFF" filled="t" stroked="t" coordsize="21600,21600" o:gfxdata="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FSU//XAAAACwEAAA8AAAAAAAAAAQAgAAAAIgAAAGRycy9kb3du&#10;cmV2LnhtbFBLAQIUABQAAAAIAIdO4kCgan2jOQIAAI4EAAAOAAAAAAAAAAEAIAAAACYBAABkcnMv&#10;ZTJvRG9jLnhtbFBLBQYAAAAABgAGAFkBAADRBQAAAAA=&#10;" adj="56028,37251">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废石场二（包含PD2）</w:t>
                      </w:r>
                    </w:p>
                  </w:txbxContent>
                </v:textbox>
              </v:shape>
            </w:pict>
          </mc:Fallback>
        </mc:AlternateContent>
      </w: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6885305</wp:posOffset>
                </wp:positionH>
                <wp:positionV relativeFrom="paragraph">
                  <wp:posOffset>3455035</wp:posOffset>
                </wp:positionV>
                <wp:extent cx="2136775" cy="487045"/>
                <wp:effectExtent l="1419225" t="1029335" r="6350" b="7620"/>
                <wp:wrapNone/>
                <wp:docPr id="7" name="矩形标注 7"/>
                <wp:cNvGraphicFramePr/>
                <a:graphic xmlns:a="http://schemas.openxmlformats.org/drawingml/2006/main">
                  <a:graphicData uri="http://schemas.microsoft.com/office/word/2010/wordprocessingShape">
                    <wps:wsp>
                      <wps:cNvSpPr/>
                      <wps:spPr>
                        <a:xfrm>
                          <a:off x="0" y="0"/>
                          <a:ext cx="2136775" cy="487045"/>
                        </a:xfrm>
                        <a:prstGeom prst="wedgeRectCallout">
                          <a:avLst>
                            <a:gd name="adj1" fmla="val -114769"/>
                            <a:gd name="adj2" fmla="val -25730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废石场三（包含PD3）</w:t>
                            </w:r>
                          </w:p>
                        </w:txbxContent>
                      </wps:txbx>
                      <wps:bodyPr upright="1"/>
                    </wps:wsp>
                  </a:graphicData>
                </a:graphic>
              </wp:anchor>
            </w:drawing>
          </mc:Choice>
          <mc:Fallback>
            <w:pict>
              <v:shape id="_x0000_s1026" o:spid="_x0000_s1026" o:spt="61" type="#_x0000_t61" style="position:absolute;left:0pt;margin-left:542.15pt;margin-top:272.05pt;height:38.35pt;width:168.25pt;z-index:251663360;mso-width-relative:page;mso-height-relative:page;" fillcolor="#FFFFFF" filled="t" stroked="t" coordsize="21600,21600" o:gfxdata="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87RoLZAAAADQEAAA8AAAAAAAAAAQAgAAAAIgAAAGRycy9k&#10;b3ducmV2LnhtbFBLAQIUABQAAAAIAIdO4kBxg/V+OgIAAJAEAAAOAAAAAAAAAAEAIAAAACgBAABk&#10;cnMvZTJvRG9jLnhtbFBLBQYAAAAABgAGAFkBAADUBQAAAAA=&#10;" adj="-13990,-44777">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废石场三（包含PD3）</w:t>
                      </w:r>
                    </w:p>
                  </w:txbxContent>
                </v:textbox>
              </v:shape>
            </w:pict>
          </mc:Fallback>
        </mc:AlternateContent>
      </w: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5780405</wp:posOffset>
                </wp:positionH>
                <wp:positionV relativeFrom="paragraph">
                  <wp:posOffset>83185</wp:posOffset>
                </wp:positionV>
                <wp:extent cx="1223010" cy="407670"/>
                <wp:effectExtent l="678180" t="4445" r="22860" b="1245235"/>
                <wp:wrapNone/>
                <wp:docPr id="4" name="矩形标注 4"/>
                <wp:cNvGraphicFramePr/>
                <a:graphic xmlns:a="http://schemas.openxmlformats.org/drawingml/2006/main">
                  <a:graphicData uri="http://schemas.microsoft.com/office/word/2010/wordprocessingShape">
                    <wps:wsp>
                      <wps:cNvSpPr/>
                      <wps:spPr>
                        <a:xfrm>
                          <a:off x="0" y="0"/>
                          <a:ext cx="1223010" cy="407670"/>
                        </a:xfrm>
                        <a:prstGeom prst="wedgeRectCallout">
                          <a:avLst>
                            <a:gd name="adj1" fmla="val -103347"/>
                            <a:gd name="adj2" fmla="val 34339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废石场五</w:t>
                            </w:r>
                          </w:p>
                        </w:txbxContent>
                      </wps:txbx>
                      <wps:bodyPr upright="1"/>
                    </wps:wsp>
                  </a:graphicData>
                </a:graphic>
              </wp:anchor>
            </w:drawing>
          </mc:Choice>
          <mc:Fallback>
            <w:pict>
              <v:shape id="_x0000_s1026" o:spid="_x0000_s1026" o:spt="61" type="#_x0000_t61" style="position:absolute;left:0pt;margin-left:455.15pt;margin-top:6.55pt;height:32.1pt;width:96.3pt;z-index:251661312;mso-width-relative:page;mso-height-relative:page;" fillcolor="#FFFFFF" filled="t" stroked="t" coordsize="21600,21600" o:gfxdata="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G1S3PZAAAACgEAAA8AAAAAAAAAAQAgAAAAIgAAAGRycy9k&#10;b3ducmV2LnhtbFBLAQIUABQAAAAIAIdO4kCrEeLeOgIAAI8EAAAOAAAAAAAAAAEAIAAAACgBAABk&#10;cnMvZTJvRG9jLnhtbFBLBQYAAAAABgAGAFkBAADUBQAAAAA=&#10;" adj="-11523,84973">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废石场五</w:t>
                      </w:r>
                    </w:p>
                  </w:txbxContent>
                </v:textbox>
              </v:shape>
            </w:pict>
          </mc:Fallback>
        </mc:AlternateContent>
      </w:r>
      <w:r>
        <w:rPr>
          <w:rFonts w:hint="eastAsia" w:ascii="宋体" w:hAnsi="宋体" w:eastAsia="宋体" w:cs="宋体"/>
          <w:b/>
          <w:bCs/>
          <w:color w:val="auto"/>
          <w:sz w:val="24"/>
          <w:highlight w:val="none"/>
          <w:lang w:val="en-US" w:eastAsia="zh-CN"/>
        </w:rPr>
        <w:drawing>
          <wp:inline distT="0" distB="0" distL="114300" distR="114300">
            <wp:extent cx="5554345" cy="4625975"/>
            <wp:effectExtent l="0" t="0" r="8255" b="3175"/>
            <wp:docPr id="8" name="图片 2" descr="IMG_20201017_09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0201017_094919"/>
                    <pic:cNvPicPr>
                      <a:picLocks noChangeAspect="1"/>
                    </pic:cNvPicPr>
                  </pic:nvPicPr>
                  <pic:blipFill>
                    <a:blip r:embed="rId20"/>
                    <a:srcRect t="21448" b="16090"/>
                    <a:stretch>
                      <a:fillRect/>
                    </a:stretch>
                  </pic:blipFill>
                  <pic:spPr>
                    <a:xfrm>
                      <a:off x="0" y="0"/>
                      <a:ext cx="5554345" cy="4625975"/>
                    </a:xfrm>
                    <a:prstGeom prst="rect">
                      <a:avLst/>
                    </a:prstGeom>
                    <a:noFill/>
                    <a:ln>
                      <a:noFill/>
                    </a:ln>
                  </pic:spPr>
                </pic:pic>
              </a:graphicData>
            </a:graphic>
          </wp:inline>
        </w:drawing>
      </w:r>
    </w:p>
    <w:p>
      <w:pPr>
        <w:pStyle w:val="15"/>
        <w:tabs>
          <w:tab w:val="left" w:pos="6120"/>
        </w:tabs>
        <w:spacing w:line="360" w:lineRule="auto"/>
        <w:ind w:left="0" w:leftChars="0" w:firstLine="0" w:firstLineChars="0"/>
        <w:jc w:val="center"/>
        <w:rPr>
          <w:rFonts w:hint="eastAsia" w:ascii="宋体" w:hAnsi="宋体" w:eastAsia="宋体" w:cs="宋体"/>
          <w:b/>
          <w:bCs/>
          <w:color w:val="auto"/>
          <w:kern w:val="2"/>
          <w:sz w:val="24"/>
          <w:szCs w:val="24"/>
          <w:highlight w:val="none"/>
          <w:lang w:val="en-US" w:eastAsia="zh-CN" w:bidi="ar-SA"/>
        </w:rPr>
        <w:sectPr>
          <w:pgSz w:w="16783" w:h="11850" w:orient="landscape"/>
          <w:pgMar w:top="1797" w:right="1219" w:bottom="1797" w:left="1440" w:header="709" w:footer="709" w:gutter="0"/>
          <w:pgBorders>
            <w:top w:val="none" w:sz="0" w:space="0"/>
            <w:left w:val="none" w:sz="0" w:space="0"/>
            <w:bottom w:val="none" w:sz="0" w:space="0"/>
            <w:right w:val="none" w:sz="0" w:space="0"/>
          </w:pgBorders>
          <w:cols w:space="720" w:num="1"/>
          <w:docGrid w:linePitch="286" w:charSpace="0"/>
        </w:sectPr>
      </w:pPr>
      <w:r>
        <w:rPr>
          <w:rFonts w:hint="eastAsia" w:ascii="宋体" w:hAnsi="宋体" w:eastAsia="宋体" w:cs="宋体"/>
          <w:b/>
          <w:bCs/>
          <w:color w:val="auto"/>
          <w:sz w:val="24"/>
          <w:szCs w:val="24"/>
          <w:highlight w:val="none"/>
          <w:lang w:val="en-US" w:eastAsia="zh-CN"/>
        </w:rPr>
        <w:t>照片4-1 废石场一、废石场二（包含PD2）、废石场三（包含PD3）、</w:t>
      </w:r>
      <w:r>
        <w:rPr>
          <w:rFonts w:hint="eastAsia" w:ascii="宋体" w:hAnsi="宋体" w:eastAsia="宋体" w:cs="宋体"/>
          <w:b/>
          <w:bCs/>
          <w:color w:val="auto"/>
          <w:kern w:val="2"/>
          <w:sz w:val="24"/>
          <w:szCs w:val="24"/>
          <w:highlight w:val="none"/>
          <w:lang w:val="en-US" w:eastAsia="zh-CN" w:bidi="ar-SA"/>
        </w:rPr>
        <w:t>废石场五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color w:val="auto"/>
          <w:sz w:val="24"/>
          <w:highlight w:val="none"/>
          <w:lang w:val="en-US"/>
        </w:rPr>
      </w:pPr>
      <w:r>
        <w:rPr>
          <w:rFonts w:hint="eastAsia" w:ascii="宋体" w:hAnsi="宋体" w:cs="宋体"/>
          <w:b/>
          <w:bCs/>
          <w:color w:val="auto"/>
          <w:sz w:val="24"/>
          <w:highlight w:val="none"/>
          <w:lang w:val="en-US" w:eastAsia="zh-CN"/>
        </w:rPr>
        <w:t>2</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废石场二（包含PD2）</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宋体" w:hAnsi="宋体"/>
          <w:color w:val="auto"/>
          <w:sz w:val="24"/>
          <w:highlight w:val="none"/>
        </w:rPr>
      </w:pPr>
      <w:r>
        <w:rPr>
          <w:rFonts w:hint="eastAsia" w:ascii="宋体" w:hAnsi="宋体"/>
          <w:color w:val="auto"/>
          <w:sz w:val="24"/>
          <w:highlight w:val="none"/>
          <w:lang w:eastAsia="zh-CN"/>
        </w:rPr>
        <w:t>废石场二（包含PD2）</w:t>
      </w:r>
      <w:r>
        <w:rPr>
          <w:rFonts w:hint="eastAsia" w:ascii="宋体" w:hAnsi="宋体"/>
          <w:color w:val="auto"/>
          <w:sz w:val="24"/>
          <w:highlight w:val="none"/>
        </w:rPr>
        <w:t>位于废石场一的南侧，面积为412m</w:t>
      </w:r>
      <w:r>
        <w:rPr>
          <w:rFonts w:hint="eastAsia" w:ascii="宋体" w:hAnsi="宋体"/>
          <w:color w:val="auto"/>
          <w:sz w:val="24"/>
          <w:highlight w:val="none"/>
          <w:vertAlign w:val="superscript"/>
        </w:rPr>
        <w:t>2</w:t>
      </w:r>
      <w:r>
        <w:rPr>
          <w:rFonts w:hint="eastAsia" w:ascii="宋体" w:hAnsi="宋体"/>
          <w:color w:val="auto"/>
          <w:sz w:val="24"/>
          <w:highlight w:val="none"/>
        </w:rPr>
        <w:t>，由PD2产生的废石顺坡堆积而成，堆高约1-3m</w:t>
      </w:r>
      <w:r>
        <w:rPr>
          <w:rFonts w:hint="eastAsia" w:ascii="宋体" w:hAnsi="宋体"/>
          <w:color w:val="auto"/>
          <w:sz w:val="24"/>
          <w:highlight w:val="none"/>
          <w:lang w:eastAsia="zh-CN"/>
        </w:rPr>
        <w:t>，</w:t>
      </w:r>
      <w:r>
        <w:rPr>
          <w:rFonts w:hint="eastAsia" w:ascii="宋体" w:hAnsi="宋体"/>
          <w:color w:val="auto"/>
          <w:sz w:val="24"/>
          <w:highlight w:val="none"/>
        </w:rPr>
        <w:t>堆积坡角为20-30°，排出的废石量约为450</w:t>
      </w:r>
      <w:r>
        <w:rPr>
          <w:rFonts w:ascii="宋体" w:hAnsi="宋体"/>
          <w:color w:val="auto"/>
          <w:sz w:val="24"/>
          <w:highlight w:val="none"/>
        </w:rPr>
        <w:t>m</w:t>
      </w:r>
      <w:r>
        <w:rPr>
          <w:rFonts w:hint="eastAsia" w:ascii="宋体" w:hAnsi="宋体"/>
          <w:color w:val="auto"/>
          <w:sz w:val="24"/>
          <w:highlight w:val="none"/>
          <w:vertAlign w:val="superscript"/>
        </w:rPr>
        <w:t>3</w:t>
      </w:r>
      <w:r>
        <w:rPr>
          <w:rFonts w:hint="eastAsia" w:ascii="宋体" w:hAnsi="宋体"/>
          <w:color w:val="auto"/>
          <w:sz w:val="24"/>
          <w:highlight w:val="none"/>
          <w:vertAlign w:val="baseline"/>
          <w:lang w:eastAsia="zh-CN"/>
        </w:rPr>
        <w:t>，</w:t>
      </w:r>
      <w:r>
        <w:rPr>
          <w:rFonts w:hint="eastAsia" w:ascii="宋体" w:hAnsi="宋体"/>
          <w:color w:val="auto"/>
          <w:sz w:val="24"/>
          <w:highlight w:val="none"/>
          <w:lang w:val="en-US" w:eastAsia="zh-CN"/>
        </w:rPr>
        <w:t>见图3-2</w:t>
      </w:r>
      <w:r>
        <w:rPr>
          <w:rFonts w:hint="eastAsia" w:ascii="宋体" w:hAnsi="宋体"/>
          <w:color w:val="auto"/>
          <w:sz w:val="24"/>
          <w:highlight w:val="none"/>
        </w:rPr>
        <w:t>。PD2长约65m、规格为2.2×2.0m、洞口坐标x:4632060.4 y:40391694.6</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1980西安坐标系</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w w:val="104"/>
          <w:sz w:val="24"/>
          <w:szCs w:val="24"/>
          <w:highlight w:val="none"/>
          <w:lang w:val="en-US" w:eastAsia="zh-CN"/>
        </w:rPr>
        <w:t>废石场二（包含PD2）</w:t>
      </w:r>
      <w:r>
        <w:rPr>
          <w:rFonts w:hint="eastAsia"/>
          <w:color w:val="auto"/>
          <w:w w:val="104"/>
          <w:sz w:val="24"/>
          <w:szCs w:val="24"/>
          <w:highlight w:val="none"/>
        </w:rPr>
        <w:t>损毁</w:t>
      </w:r>
      <w:r>
        <w:rPr>
          <w:color w:val="auto"/>
          <w:w w:val="104"/>
          <w:sz w:val="24"/>
          <w:szCs w:val="24"/>
          <w:highlight w:val="none"/>
        </w:rPr>
        <w:t>地表植被及地形地貌</w:t>
      </w:r>
      <w:r>
        <w:rPr>
          <w:rFonts w:hint="eastAsia"/>
          <w:color w:val="auto"/>
          <w:w w:val="104"/>
          <w:sz w:val="24"/>
          <w:szCs w:val="24"/>
          <w:highlight w:val="none"/>
          <w:lang w:eastAsia="zh-CN"/>
        </w:rPr>
        <w:t>，</w:t>
      </w:r>
      <w:r>
        <w:rPr>
          <w:color w:val="auto"/>
          <w:w w:val="104"/>
          <w:sz w:val="24"/>
          <w:szCs w:val="24"/>
          <w:highlight w:val="none"/>
        </w:rPr>
        <w:t>堆放面积较大</w:t>
      </w:r>
      <w:r>
        <w:rPr>
          <w:rFonts w:hint="eastAsia"/>
          <w:color w:val="auto"/>
          <w:w w:val="104"/>
          <w:sz w:val="24"/>
          <w:szCs w:val="24"/>
          <w:highlight w:val="none"/>
          <w:lang w:eastAsia="zh-CN"/>
        </w:rPr>
        <w:t>，</w:t>
      </w:r>
      <w:r>
        <w:rPr>
          <w:rFonts w:hint="eastAsia" w:ascii="宋体" w:hAnsi="宋体" w:cs="宋体"/>
          <w:color w:val="auto"/>
          <w:sz w:val="24"/>
          <w:highlight w:val="none"/>
        </w:rPr>
        <w:t>场地的建设直接破坏了原生的地形地貌景观和植被</w:t>
      </w:r>
      <w:r>
        <w:rPr>
          <w:rFonts w:hint="eastAsia" w:ascii="宋体" w:hAnsi="宋体" w:cs="宋体"/>
          <w:color w:val="auto"/>
          <w:sz w:val="24"/>
          <w:highlight w:val="none"/>
          <w:lang w:eastAsia="zh-CN"/>
        </w:rPr>
        <w:t>，</w:t>
      </w:r>
      <w:r>
        <w:rPr>
          <w:rFonts w:hint="eastAsia" w:ascii="宋体" w:hAnsi="宋体" w:cs="宋体"/>
          <w:color w:val="auto"/>
          <w:sz w:val="24"/>
          <w:highlight w:val="none"/>
        </w:rPr>
        <w:t>现状评估</w:t>
      </w:r>
      <w:r>
        <w:rPr>
          <w:rFonts w:hint="eastAsia" w:ascii="宋体" w:hAnsi="宋体"/>
          <w:color w:val="auto"/>
          <w:sz w:val="24"/>
          <w:highlight w:val="none"/>
        </w:rPr>
        <w:t>对地形地貌景观的影响较严重</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见照片4-1</w:t>
      </w:r>
      <w:r>
        <w:rPr>
          <w:rFonts w:hint="eastAsia" w:ascii="宋体" w:hAnsi="宋体"/>
          <w:color w:val="auto"/>
          <w:sz w:val="24"/>
          <w:highlight w:val="none"/>
        </w:rPr>
        <w:t>。</w:t>
      </w:r>
    </w:p>
    <w:p>
      <w:pPr>
        <w:pStyle w:val="2"/>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drawing>
          <wp:inline distT="0" distB="0" distL="114300" distR="114300">
            <wp:extent cx="3853815" cy="3385185"/>
            <wp:effectExtent l="0" t="0" r="13335" b="5715"/>
            <wp:docPr id="9" name="图片 3" descr="方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方量图"/>
                    <pic:cNvPicPr>
                      <a:picLocks noChangeAspect="1"/>
                    </pic:cNvPicPr>
                  </pic:nvPicPr>
                  <pic:blipFill>
                    <a:blip r:embed="rId19"/>
                    <a:srcRect l="21652" t="29224" r="58766" b="19769"/>
                    <a:stretch>
                      <a:fillRect/>
                    </a:stretch>
                  </pic:blipFill>
                  <pic:spPr>
                    <a:xfrm>
                      <a:off x="0" y="0"/>
                      <a:ext cx="3853815" cy="3385185"/>
                    </a:xfrm>
                    <a:prstGeom prst="rect">
                      <a:avLst/>
                    </a:prstGeom>
                    <a:noFill/>
                    <a:ln>
                      <a:noFill/>
                    </a:ln>
                  </pic:spPr>
                </pic:pic>
              </a:graphicData>
            </a:graphic>
          </wp:inline>
        </w:drawing>
      </w:r>
    </w:p>
    <w:p>
      <w:pPr>
        <w:pStyle w:val="15"/>
        <w:tabs>
          <w:tab w:val="left" w:pos="6120"/>
        </w:tabs>
        <w:spacing w:line="360" w:lineRule="auto"/>
        <w:ind w:firstLine="482"/>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图</w:t>
      </w:r>
      <w:r>
        <w:rPr>
          <w:rFonts w:hint="eastAsia" w:ascii="宋体" w:hAnsi="宋体" w:eastAsia="宋体" w:cs="宋体"/>
          <w:b/>
          <w:bCs/>
          <w:color w:val="auto"/>
          <w:sz w:val="24"/>
          <w:highlight w:val="none"/>
          <w:lang w:val="en-US" w:eastAsia="zh-CN"/>
        </w:rPr>
        <w:t xml:space="preserve">4-2   废石场二（包含PD2） </w:t>
      </w:r>
      <w:r>
        <w:rPr>
          <w:rFonts w:hint="eastAsia" w:ascii="宋体" w:hAnsi="宋体" w:eastAsia="宋体" w:cs="宋体"/>
          <w:b/>
          <w:bCs/>
          <w:color w:val="auto"/>
          <w:sz w:val="24"/>
          <w:highlight w:val="none"/>
        </w:rPr>
        <w:t>方量三角网法计算成果图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color w:val="auto"/>
          <w:sz w:val="24"/>
          <w:highlight w:val="none"/>
          <w:lang w:val="en-US"/>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废石场三（包含PD3）</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宋体" w:hAnsi="宋体"/>
          <w:color w:val="auto"/>
          <w:sz w:val="24"/>
          <w:highlight w:val="none"/>
        </w:rPr>
      </w:pPr>
      <w:r>
        <w:rPr>
          <w:rFonts w:hint="eastAsia" w:ascii="宋体" w:hAnsi="宋体"/>
          <w:color w:val="auto"/>
          <w:sz w:val="24"/>
          <w:highlight w:val="none"/>
          <w:lang w:eastAsia="zh-CN"/>
        </w:rPr>
        <w:t>废石场三（包含PD3）</w:t>
      </w:r>
      <w:r>
        <w:rPr>
          <w:rFonts w:hint="eastAsia" w:ascii="宋体" w:hAnsi="宋体"/>
          <w:color w:val="auto"/>
          <w:sz w:val="24"/>
          <w:highlight w:val="none"/>
        </w:rPr>
        <w:t>位于</w:t>
      </w:r>
      <w:r>
        <w:rPr>
          <w:rFonts w:hint="eastAsia" w:ascii="宋体" w:hAnsi="宋体"/>
          <w:color w:val="auto"/>
          <w:sz w:val="24"/>
          <w:highlight w:val="none"/>
          <w:lang w:eastAsia="zh-CN"/>
        </w:rPr>
        <w:t>废石场二（包含PD2）</w:t>
      </w:r>
      <w:r>
        <w:rPr>
          <w:rFonts w:hint="eastAsia" w:ascii="宋体" w:hAnsi="宋体"/>
          <w:color w:val="auto"/>
          <w:sz w:val="24"/>
          <w:highlight w:val="none"/>
        </w:rPr>
        <w:t>的南侧，面积为1422m</w:t>
      </w:r>
      <w:r>
        <w:rPr>
          <w:rFonts w:hint="eastAsia" w:ascii="宋体" w:hAnsi="宋体"/>
          <w:color w:val="auto"/>
          <w:sz w:val="24"/>
          <w:highlight w:val="none"/>
          <w:vertAlign w:val="superscript"/>
        </w:rPr>
        <w:t>2</w:t>
      </w:r>
      <w:r>
        <w:rPr>
          <w:rFonts w:hint="eastAsia" w:ascii="宋体" w:hAnsi="宋体"/>
          <w:color w:val="auto"/>
          <w:sz w:val="24"/>
          <w:highlight w:val="none"/>
        </w:rPr>
        <w:t>，由PD3产生的废石顺坡堆积而成，</w:t>
      </w:r>
      <w:r>
        <w:rPr>
          <w:rFonts w:hint="eastAsia" w:ascii="宋体" w:hAnsi="宋体"/>
          <w:color w:val="auto"/>
          <w:sz w:val="24"/>
          <w:highlight w:val="none"/>
          <w:lang w:eastAsia="zh-CN"/>
        </w:rPr>
        <w:t>堆高约0.5-2m，</w:t>
      </w:r>
      <w:r>
        <w:rPr>
          <w:rFonts w:hint="eastAsia" w:ascii="宋体" w:hAnsi="宋体"/>
          <w:color w:val="auto"/>
          <w:sz w:val="24"/>
          <w:highlight w:val="none"/>
        </w:rPr>
        <w:t>堆积坡角为20-30°，排出的废石量约为1420</w:t>
      </w:r>
      <w:r>
        <w:rPr>
          <w:rFonts w:ascii="宋体" w:hAnsi="宋体"/>
          <w:color w:val="auto"/>
          <w:sz w:val="24"/>
          <w:highlight w:val="none"/>
        </w:rPr>
        <w:t>m</w:t>
      </w:r>
      <w:r>
        <w:rPr>
          <w:rFonts w:hint="eastAsia" w:ascii="宋体" w:hAnsi="宋体"/>
          <w:color w:val="auto"/>
          <w:sz w:val="24"/>
          <w:highlight w:val="none"/>
          <w:vertAlign w:val="superscript"/>
        </w:rPr>
        <w:t>3</w:t>
      </w:r>
      <w:r>
        <w:rPr>
          <w:rFonts w:hint="eastAsia" w:ascii="宋体" w:hAnsi="宋体"/>
          <w:color w:val="auto"/>
          <w:sz w:val="24"/>
          <w:highlight w:val="none"/>
          <w:vertAlign w:val="baseline"/>
          <w:lang w:eastAsia="zh-CN"/>
        </w:rPr>
        <w:t>，</w:t>
      </w:r>
      <w:r>
        <w:rPr>
          <w:rFonts w:hint="eastAsia" w:ascii="宋体" w:hAnsi="宋体"/>
          <w:color w:val="auto"/>
          <w:sz w:val="24"/>
          <w:highlight w:val="none"/>
          <w:lang w:val="en-US" w:eastAsia="zh-CN"/>
        </w:rPr>
        <w:t>见图3-3</w:t>
      </w:r>
      <w:r>
        <w:rPr>
          <w:rFonts w:hint="eastAsia" w:ascii="宋体" w:hAnsi="宋体"/>
          <w:color w:val="auto"/>
          <w:sz w:val="24"/>
          <w:highlight w:val="none"/>
        </w:rPr>
        <w:t>。PD3总长约170m、规格为2.2×2.0m、洞口坐标x:4632039.6 y:40391137.7</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1980西安坐标系</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w w:val="104"/>
          <w:sz w:val="24"/>
          <w:szCs w:val="24"/>
          <w:highlight w:val="none"/>
          <w:lang w:val="en-US" w:eastAsia="zh-CN"/>
        </w:rPr>
        <w:t>废石场三（包含PD3）</w:t>
      </w:r>
      <w:r>
        <w:rPr>
          <w:rFonts w:hint="eastAsia"/>
          <w:color w:val="auto"/>
          <w:w w:val="104"/>
          <w:sz w:val="24"/>
          <w:szCs w:val="24"/>
          <w:highlight w:val="none"/>
        </w:rPr>
        <w:t>损毁</w:t>
      </w:r>
      <w:r>
        <w:rPr>
          <w:color w:val="auto"/>
          <w:w w:val="104"/>
          <w:sz w:val="24"/>
          <w:szCs w:val="24"/>
          <w:highlight w:val="none"/>
        </w:rPr>
        <w:t>地表植被及地形地貌</w:t>
      </w:r>
      <w:r>
        <w:rPr>
          <w:rFonts w:hint="eastAsia"/>
          <w:color w:val="auto"/>
          <w:w w:val="104"/>
          <w:sz w:val="24"/>
          <w:szCs w:val="24"/>
          <w:highlight w:val="none"/>
          <w:lang w:eastAsia="zh-CN"/>
        </w:rPr>
        <w:t>，</w:t>
      </w:r>
      <w:r>
        <w:rPr>
          <w:color w:val="auto"/>
          <w:w w:val="104"/>
          <w:sz w:val="24"/>
          <w:szCs w:val="24"/>
          <w:highlight w:val="none"/>
        </w:rPr>
        <w:t>堆放面积较大</w:t>
      </w:r>
      <w:r>
        <w:rPr>
          <w:rFonts w:hint="eastAsia"/>
          <w:color w:val="auto"/>
          <w:w w:val="104"/>
          <w:sz w:val="24"/>
          <w:szCs w:val="24"/>
          <w:highlight w:val="none"/>
          <w:lang w:eastAsia="zh-CN"/>
        </w:rPr>
        <w:t>，</w:t>
      </w:r>
      <w:r>
        <w:rPr>
          <w:rFonts w:hint="eastAsia" w:ascii="宋体" w:hAnsi="宋体" w:cs="宋体"/>
          <w:color w:val="auto"/>
          <w:sz w:val="24"/>
          <w:highlight w:val="none"/>
        </w:rPr>
        <w:t>场地的建设直接破坏了原生的地形地貌景观和植被</w:t>
      </w:r>
      <w:r>
        <w:rPr>
          <w:rFonts w:hint="eastAsia" w:ascii="宋体" w:hAnsi="宋体" w:cs="宋体"/>
          <w:color w:val="auto"/>
          <w:sz w:val="24"/>
          <w:highlight w:val="none"/>
          <w:lang w:eastAsia="zh-CN"/>
        </w:rPr>
        <w:t>，</w:t>
      </w:r>
      <w:r>
        <w:rPr>
          <w:rFonts w:hint="eastAsia" w:ascii="宋体" w:hAnsi="宋体" w:cs="宋体"/>
          <w:color w:val="auto"/>
          <w:sz w:val="24"/>
          <w:highlight w:val="none"/>
        </w:rPr>
        <w:t>现状评估</w:t>
      </w:r>
      <w:r>
        <w:rPr>
          <w:rFonts w:hint="eastAsia" w:ascii="宋体" w:hAnsi="宋体"/>
          <w:color w:val="auto"/>
          <w:sz w:val="24"/>
          <w:highlight w:val="none"/>
        </w:rPr>
        <w:t>对地形地貌景观的影响较严重</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见照片4-1</w:t>
      </w:r>
      <w:r>
        <w:rPr>
          <w:rFonts w:hint="eastAsia" w:ascii="宋体" w:hAnsi="宋体"/>
          <w:color w:val="auto"/>
          <w:sz w:val="24"/>
          <w:highlight w:val="none"/>
        </w:rPr>
        <w:t>。</w:t>
      </w:r>
    </w:p>
    <w:p>
      <w:pPr>
        <w:pStyle w:val="2"/>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3359785" cy="2170430"/>
            <wp:effectExtent l="0" t="0" r="12065" b="1270"/>
            <wp:docPr id="11" name="图片 4" descr="方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方量图"/>
                    <pic:cNvPicPr>
                      <a:picLocks noChangeAspect="1"/>
                    </pic:cNvPicPr>
                  </pic:nvPicPr>
                  <pic:blipFill>
                    <a:blip r:embed="rId19"/>
                    <a:srcRect l="48758" t="28505" r="19011" b="9741"/>
                    <a:stretch>
                      <a:fillRect/>
                    </a:stretch>
                  </pic:blipFill>
                  <pic:spPr>
                    <a:xfrm>
                      <a:off x="0" y="0"/>
                      <a:ext cx="3359785" cy="2170430"/>
                    </a:xfrm>
                    <a:prstGeom prst="rect">
                      <a:avLst/>
                    </a:prstGeom>
                    <a:noFill/>
                    <a:ln>
                      <a:noFill/>
                    </a:ln>
                  </pic:spPr>
                </pic:pic>
              </a:graphicData>
            </a:graphic>
          </wp:inline>
        </w:drawing>
      </w:r>
    </w:p>
    <w:p>
      <w:pPr>
        <w:pStyle w:val="15"/>
        <w:tabs>
          <w:tab w:val="left" w:pos="6120"/>
        </w:tabs>
        <w:spacing w:line="360" w:lineRule="auto"/>
        <w:ind w:firstLine="482"/>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图</w:t>
      </w:r>
      <w:r>
        <w:rPr>
          <w:rFonts w:hint="eastAsia" w:ascii="宋体" w:hAnsi="宋体" w:eastAsia="宋体" w:cs="宋体"/>
          <w:b/>
          <w:bCs/>
          <w:color w:val="auto"/>
          <w:sz w:val="24"/>
          <w:highlight w:val="none"/>
          <w:lang w:val="en-US" w:eastAsia="zh-CN"/>
        </w:rPr>
        <w:t xml:space="preserve">4-3   废石场三（包含PD3） </w:t>
      </w:r>
      <w:r>
        <w:rPr>
          <w:rFonts w:hint="eastAsia" w:ascii="宋体" w:hAnsi="宋体" w:eastAsia="宋体" w:cs="宋体"/>
          <w:b/>
          <w:bCs/>
          <w:color w:val="auto"/>
          <w:sz w:val="24"/>
          <w:highlight w:val="none"/>
        </w:rPr>
        <w:t>方量三角网法计算成果图</w:t>
      </w:r>
    </w:p>
    <w:p>
      <w:pPr>
        <w:adjustRightInd w:val="0"/>
        <w:snapToGrid w:val="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4、废石场五</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宋体" w:hAnsi="宋体"/>
          <w:color w:val="auto"/>
          <w:sz w:val="24"/>
          <w:highlight w:val="none"/>
        </w:rPr>
      </w:pPr>
      <w:r>
        <w:rPr>
          <w:rFonts w:hint="eastAsia" w:ascii="宋体" w:hAnsi="宋体" w:eastAsia="宋体" w:cs="宋体"/>
          <w:color w:val="auto"/>
          <w:sz w:val="24"/>
          <w:highlight w:val="none"/>
        </w:rPr>
        <w:t>废石场五位于废石场一的东侧，面积539m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rPr>
        <w:t>，为探矿期间顺坡堆积而成，堆高约1-2m</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堆积坡角为20-30°，排出的废石量约为567 m</w:t>
      </w:r>
      <w:r>
        <w:rPr>
          <w:rFonts w:hint="eastAsia" w:ascii="宋体" w:hAnsi="宋体" w:eastAsia="宋体" w:cs="宋体"/>
          <w:color w:val="auto"/>
          <w:sz w:val="24"/>
          <w:highlight w:val="none"/>
          <w:vertAlign w:val="superscript"/>
        </w:rPr>
        <w:t>3</w:t>
      </w:r>
      <w:r>
        <w:rPr>
          <w:rFonts w:hint="eastAsia" w:ascii="宋体" w:hAnsi="宋体"/>
          <w:color w:val="auto"/>
          <w:sz w:val="24"/>
          <w:highlight w:val="none"/>
          <w:vertAlign w:val="baseline"/>
          <w:lang w:eastAsia="zh-CN"/>
        </w:rPr>
        <w:t>，</w:t>
      </w:r>
      <w:r>
        <w:rPr>
          <w:rFonts w:hint="eastAsia" w:ascii="宋体" w:hAnsi="宋体"/>
          <w:color w:val="auto"/>
          <w:sz w:val="24"/>
          <w:highlight w:val="none"/>
          <w:lang w:val="en-US" w:eastAsia="zh-CN"/>
        </w:rPr>
        <w:t>见图3-4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场地的建设直接破坏了原生的地形地貌景观和植被</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现状评估对地形地貌景观的影响较严重</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见照片4-1</w:t>
      </w:r>
      <w:r>
        <w:rPr>
          <w:rFonts w:hint="eastAsia" w:ascii="宋体" w:hAnsi="宋体"/>
          <w:color w:val="auto"/>
          <w:sz w:val="24"/>
          <w:highlight w:val="none"/>
        </w:rPr>
        <w:t>。</w:t>
      </w:r>
    </w:p>
    <w:p>
      <w:pPr>
        <w:pStyle w:val="2"/>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366645" cy="3946525"/>
            <wp:effectExtent l="0" t="0" r="10795" b="0"/>
            <wp:docPr id="12" name="图片 5" descr="方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方量图"/>
                    <pic:cNvPicPr>
                      <a:picLocks noChangeAspect="1"/>
                    </pic:cNvPicPr>
                  </pic:nvPicPr>
                  <pic:blipFill>
                    <a:blip r:embed="rId19"/>
                    <a:srcRect l="81862" t="18655" r="1285" b="-2013"/>
                    <a:stretch>
                      <a:fillRect/>
                    </a:stretch>
                  </pic:blipFill>
                  <pic:spPr>
                    <a:xfrm>
                      <a:off x="0" y="0"/>
                      <a:ext cx="2366645" cy="3946525"/>
                    </a:xfrm>
                    <a:prstGeom prst="rect">
                      <a:avLst/>
                    </a:prstGeom>
                    <a:noFill/>
                    <a:ln>
                      <a:noFill/>
                    </a:ln>
                  </pic:spPr>
                </pic:pic>
              </a:graphicData>
            </a:graphic>
          </wp:inline>
        </w:drawing>
      </w:r>
    </w:p>
    <w:p>
      <w:pPr>
        <w:pStyle w:val="15"/>
        <w:tabs>
          <w:tab w:val="left" w:pos="6120"/>
        </w:tabs>
        <w:spacing w:line="360" w:lineRule="auto"/>
        <w:ind w:firstLine="482"/>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图</w:t>
      </w:r>
      <w:r>
        <w:rPr>
          <w:rFonts w:hint="eastAsia" w:ascii="宋体" w:hAnsi="宋体" w:eastAsia="宋体" w:cs="宋体"/>
          <w:b/>
          <w:bCs/>
          <w:color w:val="auto"/>
          <w:sz w:val="24"/>
          <w:highlight w:val="none"/>
          <w:lang w:val="en-US" w:eastAsia="zh-CN"/>
        </w:rPr>
        <w:t xml:space="preserve">4-4   废石场五 </w:t>
      </w:r>
      <w:r>
        <w:rPr>
          <w:rFonts w:hint="eastAsia" w:ascii="宋体" w:hAnsi="宋体" w:eastAsia="宋体" w:cs="宋体"/>
          <w:b/>
          <w:bCs/>
          <w:color w:val="auto"/>
          <w:sz w:val="24"/>
          <w:highlight w:val="none"/>
        </w:rPr>
        <w:t>方量三角网法计算成果图</w:t>
      </w:r>
    </w:p>
    <w:p>
      <w:pPr>
        <w:pStyle w:val="2"/>
        <w:rPr>
          <w:rFonts w:hint="eastAsia"/>
          <w:color w:val="auto"/>
          <w:highlight w:val="none"/>
        </w:rPr>
      </w:pPr>
    </w:p>
    <w:p>
      <w:pPr>
        <w:adjustRightInd w:val="0"/>
        <w:snapToGrid w:val="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5、办公生活区</w:t>
      </w:r>
    </w:p>
    <w:p>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位于矿区南部，沟谷南侧，</w:t>
      </w:r>
      <w:r>
        <w:rPr>
          <w:rFonts w:hint="eastAsia" w:ascii="宋体" w:hAnsi="宋体" w:eastAsia="宋体" w:cs="宋体"/>
          <w:color w:val="auto"/>
          <w:sz w:val="24"/>
          <w:highlight w:val="none"/>
        </w:rPr>
        <w:t>占地面积</w:t>
      </w:r>
      <w:r>
        <w:rPr>
          <w:rFonts w:hint="eastAsia" w:ascii="宋体" w:hAnsi="宋体" w:eastAsia="宋体" w:cs="宋体"/>
          <w:color w:val="auto"/>
          <w:sz w:val="24"/>
          <w:highlight w:val="none"/>
          <w:lang w:val="en-US" w:eastAsia="zh-CN"/>
        </w:rPr>
        <w:t>300</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rPr>
        <w:t>（见照片3-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包括办公室和工人宿舍等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建筑为高</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m砖混结构建筑物（1F）</w:t>
      </w:r>
      <w:r>
        <w:rPr>
          <w:rFonts w:hint="eastAsia" w:ascii="宋体" w:hAnsi="宋体"/>
          <w:color w:val="auto"/>
          <w:sz w:val="24"/>
          <w:highlight w:val="none"/>
          <w:lang w:val="en-US" w:eastAsia="zh-CN"/>
        </w:rPr>
        <w:t>，地势</w:t>
      </w:r>
      <w:r>
        <w:rPr>
          <w:rFonts w:hint="eastAsia" w:ascii="宋体" w:hAnsi="宋体" w:cs="宋体"/>
          <w:color w:val="auto"/>
          <w:sz w:val="24"/>
          <w:highlight w:val="none"/>
          <w:lang w:eastAsia="zh-CN"/>
        </w:rPr>
        <w:t>平缓，后援为直立切坡，切坡高度</w:t>
      </w:r>
      <w:r>
        <w:rPr>
          <w:rFonts w:hint="eastAsia" w:ascii="宋体" w:hAnsi="宋体" w:cs="宋体"/>
          <w:color w:val="auto"/>
          <w:sz w:val="24"/>
          <w:highlight w:val="none"/>
          <w:lang w:val="en-US" w:eastAsia="zh-CN"/>
        </w:rPr>
        <w:t>2.0m，长15m，切坡面积30m</w:t>
      </w:r>
      <w:r>
        <w:rPr>
          <w:rFonts w:hint="eastAsia" w:ascii="宋体" w:hAnsi="宋体" w:cs="宋体"/>
          <w:color w:val="auto"/>
          <w:sz w:val="24"/>
          <w:highlight w:val="none"/>
          <w:vertAlign w:val="superscript"/>
          <w:lang w:val="en-US" w:eastAsia="zh-CN"/>
        </w:rPr>
        <w:t>2</w:t>
      </w:r>
      <w:r>
        <w:rPr>
          <w:rFonts w:hint="eastAsia" w:ascii="宋体" w:hAnsi="宋体" w:eastAsia="宋体" w:cs="宋体"/>
          <w:color w:val="auto"/>
          <w:sz w:val="24"/>
          <w:highlight w:val="none"/>
        </w:rPr>
        <w:t>。场地的建设直接破坏了原生的地形地貌景观和植被</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现状评估对地形地貌景观的影响较</w:t>
      </w:r>
      <w:r>
        <w:rPr>
          <w:rFonts w:hint="eastAsia" w:ascii="宋体" w:hAnsi="宋体" w:eastAsia="宋体" w:cs="宋体"/>
          <w:color w:val="auto"/>
          <w:sz w:val="24"/>
          <w:highlight w:val="none"/>
          <w:lang w:eastAsia="zh-CN"/>
        </w:rPr>
        <w:t>轻</w:t>
      </w:r>
      <w:r>
        <w:rPr>
          <w:rFonts w:hint="eastAsia" w:ascii="宋体" w:hAnsi="宋体" w:eastAsia="宋体" w:cs="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4"/>
          <w:highlight w:val="none"/>
          <w:lang w:eastAsia="zh-CN"/>
        </w:rPr>
      </w:pPr>
      <w:r>
        <w:rPr>
          <w:rFonts w:hint="default" w:ascii="Times New Roman" w:hAnsi="Times New Roman" w:eastAsia="宋体" w:cs="Times New Roman"/>
          <w:color w:val="auto"/>
          <w:sz w:val="24"/>
          <w:highlight w:val="none"/>
        </w:rPr>
        <w:drawing>
          <wp:inline distT="0" distB="0" distL="114300" distR="114300">
            <wp:extent cx="4940935" cy="2574290"/>
            <wp:effectExtent l="0" t="0" r="12065"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rcRect l="14867" b="17314"/>
                    <a:stretch>
                      <a:fillRect/>
                    </a:stretch>
                  </pic:blipFill>
                  <pic:spPr>
                    <a:xfrm>
                      <a:off x="0" y="0"/>
                      <a:ext cx="4940935" cy="2574290"/>
                    </a:xfrm>
                    <a:prstGeom prst="rect">
                      <a:avLst/>
                    </a:prstGeom>
                    <a:noFill/>
                    <a:ln>
                      <a:noFill/>
                    </a:ln>
                  </pic:spPr>
                </pic:pic>
              </a:graphicData>
            </a:graphic>
          </wp:inline>
        </w:drawing>
      </w:r>
    </w:p>
    <w:p>
      <w:pPr>
        <w:spacing w:line="360" w:lineRule="auto"/>
        <w:ind w:firstLine="491"/>
        <w:jc w:val="center"/>
        <w:rPr>
          <w:rFonts w:hint="eastAsia" w:ascii="宋体" w:hAnsi="宋体"/>
          <w:b/>
          <w:color w:val="auto"/>
          <w:sz w:val="24"/>
          <w:highlight w:val="none"/>
        </w:rPr>
      </w:pPr>
      <w:r>
        <w:rPr>
          <w:rFonts w:hint="eastAsia" w:ascii="宋体" w:hAnsi="宋体"/>
          <w:b/>
          <w:color w:val="auto"/>
          <w:sz w:val="24"/>
          <w:highlight w:val="none"/>
        </w:rPr>
        <w:t>照片</w:t>
      </w:r>
      <w:r>
        <w:rPr>
          <w:rFonts w:hint="eastAsia" w:ascii="宋体" w:hAnsi="宋体"/>
          <w:b/>
          <w:color w:val="auto"/>
          <w:sz w:val="24"/>
          <w:highlight w:val="none"/>
          <w:lang w:val="en-US" w:eastAsia="zh-CN"/>
        </w:rPr>
        <w:t>4</w:t>
      </w:r>
      <w:r>
        <w:rPr>
          <w:rFonts w:hint="eastAsia" w:ascii="宋体" w:hAnsi="宋体"/>
          <w:b/>
          <w:color w:val="auto"/>
          <w:sz w:val="24"/>
          <w:highlight w:val="none"/>
        </w:rPr>
        <w:t>-</w:t>
      </w:r>
      <w:r>
        <w:rPr>
          <w:rFonts w:hint="eastAsia" w:ascii="宋体" w:hAnsi="宋体"/>
          <w:b/>
          <w:color w:val="auto"/>
          <w:sz w:val="24"/>
          <w:highlight w:val="none"/>
          <w:lang w:val="en-US" w:eastAsia="zh-CN"/>
        </w:rPr>
        <w:t>2</w:t>
      </w:r>
      <w:r>
        <w:rPr>
          <w:rFonts w:hint="eastAsia" w:ascii="宋体" w:hAnsi="宋体"/>
          <w:b/>
          <w:color w:val="auto"/>
          <w:sz w:val="24"/>
          <w:highlight w:val="none"/>
        </w:rPr>
        <w:t xml:space="preserve">  办公生活区</w:t>
      </w:r>
    </w:p>
    <w:p>
      <w:pPr>
        <w:adjustRightInd w:val="0"/>
        <w:snapToGrid w:val="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6、矿区道路</w:t>
      </w:r>
    </w:p>
    <w:p>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矿区道路与乡村道路相连通</w:t>
      </w:r>
      <w:r>
        <w:rPr>
          <w:rFonts w:hint="eastAsia" w:ascii="宋体" w:hAnsi="宋体" w:cs="宋体"/>
          <w:color w:val="auto"/>
          <w:sz w:val="24"/>
          <w:highlight w:val="none"/>
          <w:lang w:eastAsia="zh-CN"/>
        </w:rPr>
        <w:t>，</w:t>
      </w:r>
      <w:r>
        <w:rPr>
          <w:rFonts w:hint="eastAsia" w:ascii="宋体" w:hAnsi="宋体" w:cs="宋体"/>
          <w:color w:val="auto"/>
          <w:sz w:val="24"/>
          <w:highlight w:val="none"/>
        </w:rPr>
        <w:t>道路总长</w:t>
      </w:r>
      <w:r>
        <w:rPr>
          <w:rFonts w:hint="eastAsia" w:ascii="宋体" w:hAnsi="宋体" w:cs="宋体"/>
          <w:color w:val="auto"/>
          <w:sz w:val="24"/>
          <w:highlight w:val="none"/>
          <w:lang w:val="en-US" w:eastAsia="zh-CN"/>
        </w:rPr>
        <w:t>1578</w:t>
      </w:r>
      <w:r>
        <w:rPr>
          <w:rFonts w:hint="eastAsia" w:ascii="宋体" w:hAnsi="宋体" w:cs="宋体"/>
          <w:color w:val="auto"/>
          <w:sz w:val="24"/>
          <w:highlight w:val="none"/>
        </w:rPr>
        <w:t>m</w:t>
      </w:r>
      <w:r>
        <w:rPr>
          <w:rFonts w:hint="eastAsia" w:ascii="宋体" w:hAnsi="宋体" w:cs="宋体"/>
          <w:color w:val="auto"/>
          <w:sz w:val="24"/>
          <w:highlight w:val="none"/>
          <w:lang w:eastAsia="zh-CN"/>
        </w:rPr>
        <w:t>，</w:t>
      </w:r>
      <w:r>
        <w:rPr>
          <w:rFonts w:hint="eastAsia" w:ascii="宋体" w:hAnsi="宋体" w:cs="宋体"/>
          <w:color w:val="auto"/>
          <w:sz w:val="24"/>
          <w:highlight w:val="none"/>
        </w:rPr>
        <w:t>路面宽3-4m</w:t>
      </w:r>
      <w:r>
        <w:rPr>
          <w:rFonts w:hint="eastAsia" w:ascii="宋体" w:hAnsi="宋体" w:cs="宋体"/>
          <w:color w:val="auto"/>
          <w:sz w:val="24"/>
          <w:highlight w:val="none"/>
          <w:lang w:eastAsia="zh-CN"/>
        </w:rPr>
        <w:t>，主干路已硬化，</w:t>
      </w:r>
      <w:r>
        <w:rPr>
          <w:rFonts w:hint="eastAsia" w:ascii="宋体" w:hAnsi="宋体" w:cs="宋体"/>
          <w:color w:val="auto"/>
          <w:sz w:val="24"/>
          <w:highlight w:val="none"/>
        </w:rPr>
        <w:t>占地面积为</w:t>
      </w:r>
      <w:r>
        <w:rPr>
          <w:rFonts w:hint="eastAsia" w:ascii="宋体" w:hAnsi="宋体" w:cs="宋体"/>
          <w:color w:val="auto"/>
          <w:sz w:val="24"/>
          <w:highlight w:val="none"/>
          <w:lang w:val="en-US" w:eastAsia="zh-CN"/>
        </w:rPr>
        <w:t>4360</w:t>
      </w:r>
      <w:r>
        <w:rPr>
          <w:rFonts w:hint="eastAsia" w:ascii="宋体" w:hAnsi="宋体" w:cs="宋体"/>
          <w:color w:val="auto"/>
          <w:sz w:val="24"/>
          <w:highlight w:val="none"/>
        </w:rPr>
        <w:t>m</w:t>
      </w:r>
      <w:r>
        <w:rPr>
          <w:rFonts w:hint="eastAsia" w:ascii="宋体" w:hAnsi="宋体" w:cs="宋体"/>
          <w:color w:val="auto"/>
          <w:sz w:val="24"/>
          <w:highlight w:val="none"/>
          <w:vertAlign w:val="superscript"/>
        </w:rPr>
        <w:t>2</w:t>
      </w:r>
      <w:r>
        <w:rPr>
          <w:rFonts w:hint="eastAsia" w:ascii="宋体" w:hAnsi="宋体" w:cs="宋体"/>
          <w:color w:val="auto"/>
          <w:sz w:val="24"/>
          <w:highlight w:val="none"/>
        </w:rPr>
        <w:t>（照片</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3、4-4</w:t>
      </w:r>
      <w:r>
        <w:rPr>
          <w:rFonts w:hint="eastAsia" w:ascii="宋体" w:hAnsi="宋体" w:cs="宋体"/>
          <w:color w:val="auto"/>
          <w:sz w:val="24"/>
          <w:highlight w:val="none"/>
        </w:rPr>
        <w:t>）</w:t>
      </w:r>
      <w:r>
        <w:rPr>
          <w:rFonts w:hint="eastAsia" w:ascii="宋体" w:hAnsi="宋体" w:cs="宋体"/>
          <w:color w:val="auto"/>
          <w:sz w:val="24"/>
          <w:highlight w:val="none"/>
          <w:lang w:eastAsia="zh-CN"/>
        </w:rPr>
        <w:t>，部分通往矿区道路，因矿区多年未开采，已自然恢复植被，</w:t>
      </w:r>
      <w:r>
        <w:rPr>
          <w:rFonts w:hint="eastAsia" w:ascii="宋体" w:hAnsi="宋体" w:cs="宋体"/>
          <w:color w:val="auto"/>
          <w:sz w:val="24"/>
          <w:highlight w:val="none"/>
        </w:rPr>
        <w:t>现状评估对矿山地形地貌景观影响较</w:t>
      </w:r>
      <w:r>
        <w:rPr>
          <w:rFonts w:hint="eastAsia" w:ascii="宋体" w:hAnsi="宋体" w:cs="宋体"/>
          <w:color w:val="auto"/>
          <w:sz w:val="24"/>
          <w:highlight w:val="none"/>
          <w:lang w:eastAsia="zh-CN"/>
        </w:rPr>
        <w:t>轻</w:t>
      </w:r>
      <w:r>
        <w:rPr>
          <w:rFonts w:hint="eastAsia" w:ascii="宋体"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宋体" w:hAnsi="宋体" w:eastAsia="宋体"/>
          <w:bCs/>
          <w:color w:val="auto"/>
          <w:sz w:val="24"/>
          <w:highlight w:val="none"/>
          <w:lang w:val="en-US" w:eastAsia="zh-CN"/>
        </w:rPr>
      </w:pPr>
      <w:r>
        <w:rPr>
          <w:rFonts w:hint="eastAsia" w:ascii="宋体" w:hAnsi="宋体" w:eastAsia="宋体"/>
          <w:bCs/>
          <w:color w:val="auto"/>
          <w:sz w:val="24"/>
          <w:highlight w:val="none"/>
          <w:lang w:eastAsia="zh-CN"/>
        </w:rPr>
        <w:drawing>
          <wp:inline distT="0" distB="0" distL="114300" distR="114300">
            <wp:extent cx="1941830" cy="1459230"/>
            <wp:effectExtent l="0" t="0" r="1270" b="7620"/>
            <wp:docPr id="14" name="图片 7" descr="IMG_20201017_09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0201017_094745"/>
                    <pic:cNvPicPr>
                      <a:picLocks noChangeAspect="1"/>
                    </pic:cNvPicPr>
                  </pic:nvPicPr>
                  <pic:blipFill>
                    <a:blip r:embed="rId22"/>
                    <a:srcRect l="15881" t="15723"/>
                    <a:stretch>
                      <a:fillRect/>
                    </a:stretch>
                  </pic:blipFill>
                  <pic:spPr>
                    <a:xfrm>
                      <a:off x="0" y="0"/>
                      <a:ext cx="1941830" cy="1459230"/>
                    </a:xfrm>
                    <a:prstGeom prst="rect">
                      <a:avLst/>
                    </a:prstGeom>
                    <a:noFill/>
                    <a:ln>
                      <a:noFill/>
                    </a:ln>
                  </pic:spPr>
                </pic:pic>
              </a:graphicData>
            </a:graphic>
          </wp:inline>
        </w:drawing>
      </w:r>
      <w:r>
        <w:rPr>
          <w:rFonts w:hint="eastAsia" w:ascii="宋体" w:hAnsi="宋体" w:eastAsia="宋体"/>
          <w:bCs/>
          <w:color w:val="auto"/>
          <w:sz w:val="24"/>
          <w:highlight w:val="none"/>
          <w:lang w:val="en-US" w:eastAsia="zh-CN"/>
        </w:rPr>
        <w:t xml:space="preserve">   </w:t>
      </w:r>
      <w:r>
        <w:rPr>
          <w:rFonts w:hint="default" w:ascii="宋体" w:hAnsi="宋体" w:eastAsia="宋体"/>
          <w:bCs/>
          <w:color w:val="auto"/>
          <w:sz w:val="24"/>
          <w:highlight w:val="none"/>
          <w:lang w:val="en-US" w:eastAsia="zh-CN"/>
        </w:rPr>
        <w:drawing>
          <wp:inline distT="0" distB="0" distL="114300" distR="114300">
            <wp:extent cx="2038350" cy="2719070"/>
            <wp:effectExtent l="0" t="0" r="0" b="5080"/>
            <wp:docPr id="13" name="图片 8" descr="IMG_20201017_0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0201017_095248"/>
                    <pic:cNvPicPr>
                      <a:picLocks noChangeAspect="1"/>
                    </pic:cNvPicPr>
                  </pic:nvPicPr>
                  <pic:blipFill>
                    <a:blip r:embed="rId23"/>
                    <a:stretch>
                      <a:fillRect/>
                    </a:stretch>
                  </pic:blipFill>
                  <pic:spPr>
                    <a:xfrm>
                      <a:off x="0" y="0"/>
                      <a:ext cx="2038350" cy="27190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1523" w:firstLineChars="632"/>
        <w:jc w:val="both"/>
        <w:textAlignment w:val="auto"/>
        <w:rPr>
          <w:rFonts w:hint="default" w:ascii="宋体" w:hAnsi="宋体" w:eastAsia="宋体"/>
          <w:b/>
          <w:color w:val="auto"/>
          <w:sz w:val="24"/>
          <w:highlight w:val="none"/>
          <w:lang w:val="en-US" w:eastAsia="zh-CN"/>
        </w:rPr>
      </w:pPr>
      <w:r>
        <w:rPr>
          <w:rFonts w:hint="eastAsia" w:ascii="宋体" w:hAnsi="宋体"/>
          <w:b/>
          <w:color w:val="auto"/>
          <w:sz w:val="24"/>
          <w:highlight w:val="none"/>
        </w:rPr>
        <w:t>照片</w:t>
      </w:r>
      <w:r>
        <w:rPr>
          <w:rFonts w:hint="eastAsia" w:ascii="宋体" w:hAnsi="宋体"/>
          <w:b/>
          <w:color w:val="auto"/>
          <w:sz w:val="24"/>
          <w:highlight w:val="none"/>
          <w:lang w:val="en-US" w:eastAsia="zh-CN"/>
        </w:rPr>
        <w:t>4</w:t>
      </w:r>
      <w:r>
        <w:rPr>
          <w:rFonts w:hint="eastAsia" w:ascii="宋体" w:hAnsi="宋体"/>
          <w:b/>
          <w:color w:val="auto"/>
          <w:sz w:val="24"/>
          <w:highlight w:val="none"/>
        </w:rPr>
        <w:t>-</w:t>
      </w:r>
      <w:r>
        <w:rPr>
          <w:rFonts w:hint="eastAsia" w:ascii="宋体" w:hAnsi="宋体"/>
          <w:b/>
          <w:color w:val="auto"/>
          <w:sz w:val="24"/>
          <w:highlight w:val="none"/>
          <w:lang w:val="en-US" w:eastAsia="zh-CN"/>
        </w:rPr>
        <w:t>3</w:t>
      </w:r>
      <w:r>
        <w:rPr>
          <w:rFonts w:hint="eastAsia" w:ascii="宋体" w:hAnsi="宋体"/>
          <w:b/>
          <w:color w:val="auto"/>
          <w:sz w:val="24"/>
          <w:highlight w:val="none"/>
        </w:rPr>
        <w:t xml:space="preserve">  矿区</w:t>
      </w:r>
      <w:r>
        <w:rPr>
          <w:rFonts w:hint="eastAsia" w:ascii="宋体" w:hAnsi="宋体"/>
          <w:b/>
          <w:color w:val="auto"/>
          <w:sz w:val="24"/>
          <w:highlight w:val="none"/>
          <w:lang w:eastAsia="zh-CN"/>
        </w:rPr>
        <w:t>硬化</w:t>
      </w:r>
      <w:r>
        <w:rPr>
          <w:rFonts w:hint="eastAsia" w:ascii="宋体" w:hAnsi="宋体"/>
          <w:b/>
          <w:color w:val="auto"/>
          <w:sz w:val="24"/>
          <w:highlight w:val="none"/>
        </w:rPr>
        <w:t>道路</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照片</w:t>
      </w:r>
      <w:r>
        <w:rPr>
          <w:rFonts w:hint="eastAsia" w:ascii="宋体" w:hAnsi="宋体"/>
          <w:b/>
          <w:color w:val="auto"/>
          <w:sz w:val="24"/>
          <w:highlight w:val="none"/>
          <w:lang w:val="en-US" w:eastAsia="zh-CN"/>
        </w:rPr>
        <w:t>4</w:t>
      </w:r>
      <w:r>
        <w:rPr>
          <w:rFonts w:hint="eastAsia" w:ascii="宋体" w:hAnsi="宋体"/>
          <w:b/>
          <w:color w:val="auto"/>
          <w:sz w:val="24"/>
          <w:highlight w:val="none"/>
        </w:rPr>
        <w:t>-</w:t>
      </w:r>
      <w:r>
        <w:rPr>
          <w:rFonts w:hint="eastAsia" w:ascii="宋体" w:hAnsi="宋体"/>
          <w:b/>
          <w:color w:val="auto"/>
          <w:sz w:val="24"/>
          <w:highlight w:val="none"/>
          <w:lang w:val="en-US" w:eastAsia="zh-CN"/>
        </w:rPr>
        <w:t>4</w:t>
      </w:r>
      <w:r>
        <w:rPr>
          <w:rFonts w:hint="eastAsia" w:ascii="宋体" w:hAnsi="宋体"/>
          <w:b/>
          <w:color w:val="auto"/>
          <w:sz w:val="24"/>
          <w:highlight w:val="none"/>
        </w:rPr>
        <w:t xml:space="preserve">  矿区道路</w:t>
      </w:r>
      <w:r>
        <w:rPr>
          <w:rFonts w:hint="eastAsia" w:ascii="宋体" w:hAnsi="宋体"/>
          <w:b/>
          <w:color w:val="auto"/>
          <w:sz w:val="24"/>
          <w:highlight w:val="none"/>
          <w:lang w:val="en-US" w:eastAsia="zh-CN"/>
        </w:rPr>
        <w:t xml:space="preserve">   </w:t>
      </w:r>
    </w:p>
    <w:p>
      <w:pPr>
        <w:pStyle w:val="15"/>
        <w:tabs>
          <w:tab w:val="left" w:pos="612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eastAsia="zh-CN"/>
        </w:rPr>
        <w:t>北台子幅（K50G053075）、把台沟幅（K50G053076）幅</w:t>
      </w:r>
      <w:r>
        <w:rPr>
          <w:rFonts w:hint="eastAsia" w:ascii="宋体" w:hAnsi="宋体" w:eastAsia="宋体" w:cs="宋体"/>
          <w:color w:val="auto"/>
          <w:sz w:val="24"/>
          <w:highlight w:val="none"/>
        </w:rPr>
        <w:t>1:1土地利用现状图</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现状已损毁破坏的土地资源利用类型</w:t>
      </w:r>
      <w:r>
        <w:rPr>
          <w:rFonts w:hint="eastAsia" w:ascii="宋体" w:hAnsi="宋体" w:eastAsia="宋体" w:cs="宋体"/>
          <w:color w:val="auto"/>
          <w:sz w:val="24"/>
          <w:highlight w:val="none"/>
          <w:lang w:eastAsia="zh-CN"/>
        </w:rPr>
        <w:t>包含其他林地</w:t>
      </w:r>
      <w:r>
        <w:rPr>
          <w:rFonts w:hint="eastAsia" w:ascii="宋体" w:hAnsi="宋体" w:eastAsia="宋体" w:cs="宋体"/>
          <w:color w:val="auto"/>
          <w:sz w:val="24"/>
          <w:highlight w:val="none"/>
          <w:lang w:val="en-US" w:eastAsia="zh-CN"/>
        </w:rPr>
        <w:t>648</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lang w:eastAsia="zh-CN"/>
        </w:rPr>
        <w:t>、有林地</w:t>
      </w:r>
      <w:r>
        <w:rPr>
          <w:rFonts w:hint="eastAsia" w:ascii="宋体" w:hAnsi="宋体" w:eastAsia="宋体" w:cs="宋体"/>
          <w:color w:val="auto"/>
          <w:sz w:val="24"/>
          <w:highlight w:val="none"/>
          <w:lang w:val="en-US" w:eastAsia="zh-CN"/>
        </w:rPr>
        <w:t>2188</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其他草地2144</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vertAlign w:val="baseline"/>
          <w:lang w:eastAsia="zh-CN"/>
        </w:rPr>
        <w:t>、</w:t>
      </w:r>
      <w:r>
        <w:rPr>
          <w:rFonts w:hint="eastAsia" w:ascii="宋体" w:hAnsi="宋体" w:eastAsia="宋体" w:cs="宋体"/>
          <w:color w:val="auto"/>
          <w:sz w:val="24"/>
          <w:highlight w:val="none"/>
          <w:vertAlign w:val="baseline"/>
          <w:lang w:val="en-US" w:eastAsia="zh-CN"/>
        </w:rPr>
        <w:t>裸地2123</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lang w:eastAsia="zh-CN"/>
        </w:rPr>
        <w:t>、内陆滩涂</w:t>
      </w:r>
      <w:r>
        <w:rPr>
          <w:rFonts w:hint="eastAsia" w:ascii="宋体" w:hAnsi="宋体" w:eastAsia="宋体" w:cs="宋体"/>
          <w:color w:val="auto"/>
          <w:sz w:val="24"/>
          <w:highlight w:val="none"/>
          <w:lang w:val="en-US" w:eastAsia="zh-CN"/>
        </w:rPr>
        <w:t>448</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总面积</w:t>
      </w:r>
      <w:r>
        <w:rPr>
          <w:rFonts w:hint="eastAsia" w:ascii="宋体" w:hAnsi="宋体" w:eastAsia="宋体" w:cs="宋体"/>
          <w:color w:val="auto"/>
          <w:sz w:val="24"/>
          <w:highlight w:val="none"/>
          <w:lang w:val="en-US" w:eastAsia="zh-CN"/>
        </w:rPr>
        <w:t>11277</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rPr>
        <w:t>。对照全国第二次土地利用现状调查</w:t>
      </w:r>
      <w:r>
        <w:rPr>
          <w:rFonts w:hint="eastAsia" w:ascii="宋体" w:hAnsi="宋体" w:eastAsia="宋体" w:cs="宋体"/>
          <w:color w:val="auto"/>
          <w:sz w:val="24"/>
          <w:highlight w:val="none"/>
          <w:lang w:eastAsia="zh-CN"/>
        </w:rPr>
        <w:t>宁城县</w:t>
      </w:r>
      <w:r>
        <w:rPr>
          <w:rFonts w:hint="eastAsia" w:ascii="宋体" w:hAnsi="宋体" w:eastAsia="宋体" w:cs="宋体"/>
          <w:color w:val="auto"/>
          <w:sz w:val="24"/>
          <w:highlight w:val="none"/>
        </w:rPr>
        <w:t>资料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土地权属</w:t>
      </w:r>
      <w:r>
        <w:rPr>
          <w:rFonts w:hint="eastAsia" w:ascii="宋体" w:hAnsi="宋体" w:eastAsia="宋体" w:cs="宋体"/>
          <w:color w:val="auto"/>
          <w:sz w:val="24"/>
          <w:highlight w:val="none"/>
          <w:lang w:eastAsia="zh-CN"/>
        </w:rPr>
        <w:t>北台子村</w:t>
      </w:r>
      <w:r>
        <w:rPr>
          <w:rFonts w:hint="eastAsia" w:ascii="宋体" w:hAnsi="宋体" w:eastAsia="宋体" w:cs="宋体"/>
          <w:color w:val="auto"/>
          <w:sz w:val="24"/>
          <w:highlight w:val="none"/>
        </w:rPr>
        <w:t>所有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界线清晰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无争议。现状条件下</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地表各单元对土地损毁情况见表</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p>
    <w:p>
      <w:pPr>
        <w:ind w:firstLine="241" w:firstLineChars="100"/>
        <w:jc w:val="center"/>
        <w:rPr>
          <w:rFonts w:hint="eastAsia" w:ascii="宋体" w:hAnsi="宋体"/>
          <w:b/>
          <w:color w:val="auto"/>
          <w:sz w:val="24"/>
          <w:highlight w:val="none"/>
        </w:rPr>
      </w:pPr>
      <w:r>
        <w:rPr>
          <w:rFonts w:hint="eastAsia" w:ascii="宋体" w:hAnsi="宋体"/>
          <w:b/>
          <w:color w:val="auto"/>
          <w:sz w:val="24"/>
          <w:highlight w:val="none"/>
        </w:rPr>
        <w:t>表</w:t>
      </w:r>
      <w:r>
        <w:rPr>
          <w:rFonts w:hint="eastAsia" w:ascii="宋体" w:hAnsi="宋体"/>
          <w:b/>
          <w:color w:val="auto"/>
          <w:sz w:val="24"/>
          <w:highlight w:val="none"/>
          <w:lang w:val="en-US" w:eastAsia="zh-CN"/>
        </w:rPr>
        <w:t>4</w:t>
      </w:r>
      <w:r>
        <w:rPr>
          <w:rFonts w:hint="eastAsia" w:ascii="宋体" w:hAnsi="宋体"/>
          <w:b/>
          <w:color w:val="auto"/>
          <w:sz w:val="24"/>
          <w:highlight w:val="none"/>
        </w:rPr>
        <w:t>-</w:t>
      </w:r>
      <w:r>
        <w:rPr>
          <w:rFonts w:hint="eastAsia" w:ascii="宋体" w:hAnsi="宋体"/>
          <w:b/>
          <w:color w:val="auto"/>
          <w:sz w:val="24"/>
          <w:highlight w:val="none"/>
          <w:lang w:val="en-US" w:eastAsia="zh-CN"/>
        </w:rPr>
        <w:t>1</w:t>
      </w:r>
      <w:r>
        <w:rPr>
          <w:rFonts w:hint="eastAsia" w:ascii="宋体" w:hAnsi="宋体"/>
          <w:b/>
          <w:color w:val="auto"/>
          <w:sz w:val="24"/>
          <w:highlight w:val="none"/>
        </w:rPr>
        <w:t xml:space="preserve">  现状损毁土地资源情况表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759"/>
        <w:gridCol w:w="1377"/>
        <w:gridCol w:w="1065"/>
        <w:gridCol w:w="1384"/>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位置</w:t>
            </w:r>
          </w:p>
        </w:tc>
        <w:tc>
          <w:tcPr>
            <w:tcW w:w="1252"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一级类</w:t>
            </w:r>
          </w:p>
        </w:tc>
        <w:tc>
          <w:tcPr>
            <w:tcW w:w="1435"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二级类</w:t>
            </w:r>
          </w:p>
        </w:tc>
        <w:tc>
          <w:tcPr>
            <w:tcW w:w="70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面积</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（m</w:t>
            </w:r>
            <w:r>
              <w:rPr>
                <w:rFonts w:hint="eastAsia" w:ascii="宋体" w:hAnsi="宋体"/>
                <w:color w:val="auto"/>
                <w:sz w:val="21"/>
                <w:szCs w:val="21"/>
                <w:highlight w:val="none"/>
                <w:vertAlign w:val="superscript"/>
              </w:rPr>
              <w:t>2</w:t>
            </w:r>
            <w:r>
              <w:rPr>
                <w:rFonts w:hint="eastAsia" w:ascii="宋体" w:hAnsi="宋体"/>
                <w:color w:val="auto"/>
                <w:sz w:val="21"/>
                <w:szCs w:val="21"/>
                <w:highlight w:val="none"/>
              </w:rPr>
              <w:t>）</w:t>
            </w:r>
          </w:p>
        </w:tc>
        <w:tc>
          <w:tcPr>
            <w:tcW w:w="70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土地权属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编号</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名称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编号</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名称</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bookmarkStart w:id="13" w:name="OLE_LINK2" w:colFirst="5" w:colLast="5"/>
            <w:r>
              <w:rPr>
                <w:rFonts w:hint="eastAsia" w:ascii="宋体" w:hAnsi="宋体"/>
                <w:color w:val="auto"/>
                <w:sz w:val="21"/>
                <w:szCs w:val="21"/>
                <w:highlight w:val="none"/>
              </w:rPr>
              <w:t>废石场一</w:t>
            </w: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其它土地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127</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裸地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kern w:val="0"/>
                <w:sz w:val="21"/>
                <w:szCs w:val="21"/>
                <w:highlight w:val="none"/>
              </w:rPr>
            </w:pPr>
            <w:r>
              <w:rPr>
                <w:rFonts w:hint="eastAsia" w:ascii="宋体" w:hAnsi="宋体"/>
                <w:color w:val="auto"/>
                <w:sz w:val="21"/>
                <w:szCs w:val="21"/>
                <w:highlight w:val="none"/>
              </w:rPr>
              <w:t>518</w:t>
            </w:r>
          </w:p>
        </w:tc>
        <w:tc>
          <w:tcPr>
            <w:tcW w:w="70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宁城县大城子镇北台子村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废石场二（包含PD2）</w:t>
            </w: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其它土地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127</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裸地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412</w:t>
            </w:r>
          </w:p>
        </w:tc>
        <w:tc>
          <w:tcPr>
            <w:tcW w:w="7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废石场三（包含PD3）</w:t>
            </w: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04</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草地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043</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其它草地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1351</w:t>
            </w:r>
          </w:p>
        </w:tc>
        <w:tc>
          <w:tcPr>
            <w:tcW w:w="7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其它土地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127</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裸地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71</w:t>
            </w:r>
          </w:p>
        </w:tc>
        <w:tc>
          <w:tcPr>
            <w:tcW w:w="70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废石场五</w:t>
            </w: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04</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草地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043</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其它草地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373</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其它土地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127</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裸地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kern w:val="0"/>
                <w:sz w:val="21"/>
                <w:szCs w:val="21"/>
                <w:highlight w:val="none"/>
              </w:rPr>
            </w:pPr>
            <w:r>
              <w:rPr>
                <w:rFonts w:hint="eastAsia" w:ascii="宋体" w:hAnsi="宋体"/>
                <w:color w:val="auto"/>
                <w:sz w:val="21"/>
                <w:szCs w:val="21"/>
                <w:highlight w:val="none"/>
              </w:rPr>
              <w:t>166</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办公生活区</w:t>
            </w: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03</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林地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033</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其它林地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300</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9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矿区道路</w:t>
            </w:r>
          </w:p>
        </w:tc>
        <w:tc>
          <w:tcPr>
            <w:tcW w:w="44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03</w:t>
            </w:r>
          </w:p>
        </w:tc>
        <w:tc>
          <w:tcPr>
            <w:tcW w:w="80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林地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031</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有林地</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2188</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olor w:val="auto"/>
                <w:sz w:val="21"/>
                <w:szCs w:val="21"/>
                <w:highlight w:val="none"/>
                <w:lang w:eastAsia="zh-CN"/>
              </w:rPr>
            </w:pPr>
          </w:p>
        </w:tc>
        <w:tc>
          <w:tcPr>
            <w:tcW w:w="44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0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033</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eastAsia="zh-CN"/>
              </w:rPr>
              <w:t>其他林地</w:t>
            </w:r>
          </w:p>
        </w:tc>
        <w:tc>
          <w:tcPr>
            <w:tcW w:w="12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olor w:val="auto"/>
                <w:sz w:val="21"/>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348</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olor w:val="auto"/>
                <w:sz w:val="21"/>
                <w:szCs w:val="21"/>
                <w:highlight w:val="none"/>
                <w:lang w:eastAsia="zh-CN"/>
              </w:rPr>
            </w:pP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04</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草地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043</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其它草地</w:t>
            </w:r>
          </w:p>
        </w:tc>
        <w:tc>
          <w:tcPr>
            <w:tcW w:w="12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420</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olor w:val="auto"/>
                <w:sz w:val="21"/>
                <w:szCs w:val="21"/>
                <w:highlight w:val="none"/>
                <w:lang w:eastAsia="zh-CN"/>
              </w:rPr>
            </w:pP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11</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水域及水利设施用地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宋体" w:hAnsi="宋体" w:cs="宋体"/>
                <w:color w:val="auto"/>
                <w:sz w:val="21"/>
                <w:szCs w:val="21"/>
                <w:highlight w:val="none"/>
              </w:rPr>
              <w:t>116</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内陆滩涂</w:t>
            </w:r>
          </w:p>
        </w:tc>
        <w:tc>
          <w:tcPr>
            <w:tcW w:w="12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448</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olor w:val="auto"/>
                <w:sz w:val="21"/>
                <w:szCs w:val="21"/>
                <w:highlight w:val="none"/>
                <w:lang w:eastAsia="zh-CN"/>
              </w:rPr>
            </w:pP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12</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其它土地</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127</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裸地</w:t>
            </w:r>
          </w:p>
        </w:tc>
        <w:tc>
          <w:tcPr>
            <w:tcW w:w="12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956</w:t>
            </w:r>
          </w:p>
        </w:tc>
        <w:tc>
          <w:tcPr>
            <w:tcW w:w="70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合计</w:t>
            </w:r>
          </w:p>
        </w:tc>
        <w:tc>
          <w:tcPr>
            <w:tcW w:w="4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w:t>
            </w:r>
          </w:p>
        </w:tc>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w:t>
            </w:r>
          </w:p>
        </w:tc>
        <w:tc>
          <w:tcPr>
            <w:tcW w:w="62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w:t>
            </w:r>
          </w:p>
        </w:tc>
        <w:tc>
          <w:tcPr>
            <w:tcW w:w="81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11277</w:t>
            </w:r>
          </w:p>
        </w:tc>
        <w:tc>
          <w:tcPr>
            <w:tcW w:w="7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olor w:val="auto"/>
                <w:sz w:val="21"/>
                <w:szCs w:val="21"/>
                <w:highlight w:val="none"/>
              </w:rPr>
            </w:pPr>
            <w:r>
              <w:rPr>
                <w:rFonts w:hint="eastAsia" w:ascii="宋体" w:hAnsi="宋体"/>
                <w:color w:val="auto"/>
                <w:sz w:val="21"/>
                <w:szCs w:val="21"/>
                <w:highlight w:val="none"/>
              </w:rPr>
              <w:t>-</w:t>
            </w:r>
          </w:p>
        </w:tc>
      </w:tr>
    </w:tbl>
    <w:p>
      <w:pP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br w:type="page"/>
      </w:r>
    </w:p>
    <w:p>
      <w:pPr>
        <w:pStyle w:val="2"/>
        <w:spacing w:line="360" w:lineRule="auto"/>
        <w:rPr>
          <w:rFonts w:hint="default" w:ascii="Times New Roman" w:hAnsi="Times New Roman" w:eastAsia="宋体" w:cs="Times New Roman"/>
          <w:color w:val="auto"/>
          <w:highlight w:val="none"/>
        </w:rPr>
      </w:pPr>
    </w:p>
    <w:p>
      <w:pPr>
        <w:pStyle w:val="2"/>
        <w:spacing w:line="36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5278120" cy="4053205"/>
            <wp:effectExtent l="0" t="0" r="10160" b="635"/>
            <wp:docPr id="6" name="图片 6" descr="旭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旭日"/>
                    <pic:cNvPicPr>
                      <a:picLocks noChangeAspect="1"/>
                    </pic:cNvPicPr>
                  </pic:nvPicPr>
                  <pic:blipFill>
                    <a:blip r:embed="rId24"/>
                    <a:stretch>
                      <a:fillRect/>
                    </a:stretch>
                  </pic:blipFill>
                  <pic:spPr>
                    <a:xfrm>
                      <a:off x="0" y="0"/>
                      <a:ext cx="5278120" cy="4053205"/>
                    </a:xfrm>
                    <a:prstGeom prst="rect">
                      <a:avLst/>
                    </a:prstGeom>
                  </pic:spPr>
                </pic:pic>
              </a:graphicData>
            </a:graphic>
          </wp:inline>
        </w:drawing>
      </w:r>
    </w:p>
    <w:p>
      <w:pPr>
        <w:pStyle w:val="2"/>
        <w:spacing w:line="360" w:lineRule="auto"/>
        <w:ind w:left="0" w:leftChars="0" w:firstLine="0" w:firstLineChars="0"/>
        <w:jc w:val="center"/>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图4-</w:t>
      </w:r>
      <w:r>
        <w:rPr>
          <w:rFonts w:hint="eastAsia" w:ascii="Times New Roman" w:cs="Times New Roman"/>
          <w:b/>
          <w:bCs w:val="0"/>
          <w:color w:val="auto"/>
          <w:kern w:val="2"/>
          <w:sz w:val="24"/>
          <w:szCs w:val="24"/>
          <w:highlight w:val="none"/>
          <w:lang w:val="en-US" w:eastAsia="zh-CN" w:bidi="ar-SA"/>
        </w:rPr>
        <w:t>5</w:t>
      </w:r>
      <w:r>
        <w:rPr>
          <w:rFonts w:hint="default" w:ascii="Times New Roman" w:hAnsi="Times New Roman" w:eastAsia="宋体" w:cs="Times New Roman"/>
          <w:b/>
          <w:bCs w:val="0"/>
          <w:color w:val="auto"/>
          <w:kern w:val="2"/>
          <w:sz w:val="24"/>
          <w:szCs w:val="24"/>
          <w:highlight w:val="none"/>
          <w:lang w:val="en-US" w:eastAsia="zh-CN" w:bidi="ar-SA"/>
        </w:rPr>
        <w:t xml:space="preserve">  矿区现状航拍图</w:t>
      </w:r>
      <w:bookmarkStart w:id="14" w:name="_Toc29465"/>
    </w:p>
    <w:p>
      <w:pPr>
        <w:pStyle w:val="2"/>
        <w:spacing w:line="360" w:lineRule="auto"/>
        <w:ind w:left="0" w:leftChars="0" w:firstLine="0" w:firstLineChars="0"/>
        <w:jc w:val="both"/>
        <w:rPr>
          <w:rFonts w:hint="default" w:ascii="Times New Roman" w:hAnsi="Times New Roman" w:eastAsia="宋体" w:cs="Times New Roman"/>
          <w:b/>
          <w:bCs/>
          <w:color w:val="auto"/>
          <w:kern w:val="2"/>
          <w:sz w:val="30"/>
          <w:szCs w:val="30"/>
          <w:highlight w:val="none"/>
          <w:lang w:val="en-US" w:eastAsia="zh-CN" w:bidi="ar-SA"/>
        </w:rPr>
      </w:pPr>
      <w:r>
        <w:rPr>
          <w:rFonts w:hint="default" w:ascii="Times New Roman" w:hAnsi="Times New Roman" w:eastAsia="宋体" w:cs="Times New Roman"/>
          <w:color w:val="auto"/>
          <w:sz w:val="30"/>
          <w:highlight w:val="none"/>
        </w:rPr>
        <w:t>（</w:t>
      </w:r>
      <w:r>
        <w:rPr>
          <w:rFonts w:hint="default" w:ascii="Times New Roman" w:hAnsi="Times New Roman" w:eastAsia="宋体" w:cs="Times New Roman"/>
          <w:color w:val="auto"/>
          <w:sz w:val="30"/>
          <w:highlight w:val="none"/>
          <w:lang w:eastAsia="zh-CN"/>
        </w:rPr>
        <w:t>二</w:t>
      </w:r>
      <w:r>
        <w:rPr>
          <w:rFonts w:hint="default" w:ascii="Times New Roman" w:hAnsi="Times New Roman" w:eastAsia="宋体" w:cs="Times New Roman"/>
          <w:color w:val="auto"/>
          <w:sz w:val="30"/>
          <w:highlight w:val="none"/>
        </w:rPr>
        <w:t>）</w:t>
      </w:r>
      <w:r>
        <w:rPr>
          <w:rFonts w:hint="default" w:ascii="Times New Roman" w:hAnsi="Times New Roman" w:eastAsia="宋体" w:cs="Times New Roman"/>
          <w:b/>
          <w:bCs/>
          <w:color w:val="auto"/>
          <w:kern w:val="2"/>
          <w:sz w:val="30"/>
          <w:szCs w:val="30"/>
          <w:highlight w:val="none"/>
          <w:lang w:val="en-US" w:eastAsia="zh-CN" w:bidi="ar-SA"/>
        </w:rPr>
        <w:t>矿山地质环境问题预测</w:t>
      </w:r>
      <w:bookmarkEnd w:id="14"/>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矿山</w:t>
      </w:r>
      <w:r>
        <w:rPr>
          <w:rFonts w:hint="default" w:ascii="Times New Roman" w:hAnsi="Times New Roman" w:eastAsia="宋体" w:cs="Times New Roman"/>
          <w:color w:val="auto"/>
          <w:szCs w:val="24"/>
          <w:highlight w:val="none"/>
          <w:lang w:eastAsia="zh-CN"/>
        </w:rPr>
        <w:t>现</w:t>
      </w:r>
      <w:r>
        <w:rPr>
          <w:rFonts w:hint="default" w:ascii="Times New Roman" w:hAnsi="Times New Roman" w:eastAsia="宋体" w:cs="Times New Roman"/>
          <w:color w:val="auto"/>
          <w:szCs w:val="24"/>
          <w:highlight w:val="none"/>
        </w:rPr>
        <w:t>处于停产、技改状态，受金矿市场价格及企业自身因素影响矿山本年度不计划进行开采，</w:t>
      </w:r>
      <w:r>
        <w:rPr>
          <w:rFonts w:hint="default" w:ascii="Times New Roman" w:hAnsi="Times New Roman" w:eastAsia="宋体" w:cs="Times New Roman"/>
          <w:color w:val="auto"/>
          <w:szCs w:val="24"/>
          <w:highlight w:val="none"/>
          <w:lang w:eastAsia="zh-CN"/>
        </w:rPr>
        <w:t>本年度</w:t>
      </w:r>
      <w:r>
        <w:rPr>
          <w:rFonts w:hint="default" w:ascii="Times New Roman" w:hAnsi="Times New Roman" w:eastAsia="宋体" w:cs="Times New Roman"/>
          <w:color w:val="auto"/>
          <w:szCs w:val="24"/>
          <w:highlight w:val="none"/>
        </w:rPr>
        <w:t>无开采计划，因此，本年度矿山不会增加建设新的生产单元，预测本年度开采可能影响区域主要矿山地质环境环境问题及拟损毁土地区域与现状保持一致。</w:t>
      </w:r>
    </w:p>
    <w:p>
      <w:pPr>
        <w:ind w:firstLine="0" w:firstLineChars="0"/>
        <w:jc w:val="center"/>
        <w:rPr>
          <w:rFonts w:hint="default" w:ascii="Times New Roman" w:hAnsi="Times New Roman" w:eastAsia="宋体" w:cs="Times New Roman"/>
          <w:b/>
          <w:color w:val="auto"/>
          <w:sz w:val="21"/>
          <w:szCs w:val="21"/>
          <w:highlight w:val="none"/>
        </w:rPr>
      </w:pPr>
    </w:p>
    <w:bookmarkEnd w:id="11"/>
    <w:p>
      <w:pPr>
        <w:pStyle w:val="3"/>
        <w:spacing w:before="120" w:after="120" w:line="360" w:lineRule="auto"/>
        <w:rPr>
          <w:rFonts w:hint="default" w:ascii="Times New Roman" w:hAnsi="Times New Roman" w:eastAsia="宋体" w:cs="Times New Roman"/>
          <w:color w:val="auto"/>
          <w:highlight w:val="none"/>
        </w:rPr>
      </w:pPr>
      <w:bookmarkStart w:id="15" w:name="_Toc3456"/>
      <w:r>
        <w:rPr>
          <w:rFonts w:hint="default" w:ascii="Times New Roman" w:hAnsi="Times New Roman" w:eastAsia="宋体" w:cs="Times New Roman"/>
          <w:color w:val="auto"/>
          <w:sz w:val="36"/>
          <w:szCs w:val="36"/>
          <w:highlight w:val="none"/>
        </w:rPr>
        <w:t>五、矿山地质环境防治工程</w:t>
      </w:r>
      <w:bookmarkEnd w:id="15"/>
      <w:bookmarkStart w:id="16" w:name="_Toc362269332"/>
    </w:p>
    <w:p>
      <w:pPr>
        <w:pStyle w:val="4"/>
        <w:spacing w:before="240" w:beforeLines="100" w:after="120" w:line="360" w:lineRule="auto"/>
        <w:jc w:val="left"/>
        <w:rPr>
          <w:rFonts w:hint="default" w:ascii="Times New Roman" w:hAnsi="Times New Roman" w:eastAsia="宋体" w:cs="Times New Roman"/>
          <w:color w:val="auto"/>
          <w:sz w:val="30"/>
          <w:highlight w:val="none"/>
        </w:rPr>
      </w:pPr>
      <w:bookmarkStart w:id="17" w:name="_Toc2371"/>
      <w:r>
        <w:rPr>
          <w:rFonts w:hint="default" w:ascii="Times New Roman" w:hAnsi="Times New Roman" w:eastAsia="宋体" w:cs="Times New Roman"/>
          <w:color w:val="auto"/>
          <w:sz w:val="30"/>
          <w:highlight w:val="none"/>
        </w:rPr>
        <w:t>（一）矿山地质环境治理区的确定</w:t>
      </w:r>
      <w:bookmarkEnd w:id="17"/>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z w:val="30"/>
          <w:highlight w:val="none"/>
        </w:rPr>
      </w:pPr>
      <w:bookmarkStart w:id="18" w:name="_Toc487613054"/>
      <w:bookmarkStart w:id="19" w:name="_Toc487613509"/>
      <w:bookmarkStart w:id="20" w:name="_Toc487612888"/>
      <w:r>
        <w:rPr>
          <w:rFonts w:hint="eastAsia" w:cs="Times New Roman"/>
          <w:color w:val="auto"/>
          <w:kern w:val="2"/>
          <w:sz w:val="24"/>
          <w:szCs w:val="20"/>
          <w:highlight w:val="none"/>
          <w:lang w:val="en-US" w:eastAsia="zh-CN"/>
        </w:rPr>
        <w:t>根据《综治方案》</w:t>
      </w:r>
      <w:r>
        <w:rPr>
          <w:rFonts w:hint="eastAsia" w:ascii="宋体" w:hAnsi="宋体" w:eastAsia="宋体" w:cs="宋体"/>
          <w:color w:val="auto"/>
          <w:sz w:val="24"/>
          <w:highlight w:val="none"/>
          <w:lang w:val="en-US" w:eastAsia="zh-CN"/>
        </w:rPr>
        <w:t>2024年1月1日</w:t>
      </w:r>
      <w:r>
        <w:rPr>
          <w:rFonts w:hint="eastAsia" w:ascii="宋体" w:hAnsi="宋体" w:eastAsia="宋体" w:cs="宋体"/>
          <w:color w:val="auto"/>
          <w:spacing w:val="-4"/>
          <w:sz w:val="24"/>
          <w:highlight w:val="none"/>
        </w:rPr>
        <w:t>至202</w:t>
      </w:r>
      <w:r>
        <w:rPr>
          <w:rFonts w:hint="eastAsia" w:ascii="宋体" w:hAnsi="宋体" w:eastAsia="宋体" w:cs="宋体"/>
          <w:color w:val="auto"/>
          <w:spacing w:val="-4"/>
          <w:sz w:val="24"/>
          <w:highlight w:val="none"/>
          <w:lang w:val="en-US" w:eastAsia="zh-CN"/>
        </w:rPr>
        <w:t>4</w:t>
      </w:r>
      <w:r>
        <w:rPr>
          <w:rFonts w:hint="eastAsia" w:ascii="宋体" w:hAnsi="宋体" w:eastAsia="宋体" w:cs="宋体"/>
          <w:color w:val="auto"/>
          <w:spacing w:val="-4"/>
          <w:sz w:val="24"/>
          <w:highlight w:val="none"/>
        </w:rPr>
        <w:t>年</w:t>
      </w:r>
      <w:r>
        <w:rPr>
          <w:rFonts w:hint="eastAsia" w:ascii="宋体" w:hAnsi="宋体" w:eastAsia="宋体" w:cs="宋体"/>
          <w:color w:val="auto"/>
          <w:spacing w:val="-4"/>
          <w:sz w:val="24"/>
          <w:highlight w:val="none"/>
          <w:lang w:val="en-US" w:eastAsia="zh-CN"/>
        </w:rPr>
        <w:t>12</w:t>
      </w:r>
      <w:r>
        <w:rPr>
          <w:rFonts w:hint="eastAsia" w:ascii="宋体" w:hAnsi="宋体" w:eastAsia="宋体" w:cs="宋体"/>
          <w:color w:val="auto"/>
          <w:spacing w:val="-4"/>
          <w:sz w:val="24"/>
          <w:highlight w:val="none"/>
          <w:lang w:eastAsia="zh-CN"/>
        </w:rPr>
        <w:t>月</w:t>
      </w:r>
      <w:r>
        <w:rPr>
          <w:rFonts w:hint="eastAsia" w:ascii="宋体" w:hAnsi="宋体" w:eastAsia="宋体" w:cs="宋体"/>
          <w:color w:val="auto"/>
          <w:spacing w:val="-4"/>
          <w:sz w:val="24"/>
          <w:highlight w:val="none"/>
          <w:lang w:val="en-US" w:eastAsia="zh-CN"/>
        </w:rPr>
        <w:t>31</w:t>
      </w:r>
      <w:r>
        <w:rPr>
          <w:rFonts w:hint="eastAsia" w:ascii="宋体" w:hAnsi="宋体" w:eastAsia="宋体" w:cs="宋体"/>
          <w:color w:val="auto"/>
          <w:spacing w:val="-4"/>
          <w:sz w:val="24"/>
          <w:highlight w:val="none"/>
          <w:lang w:eastAsia="zh-CN"/>
        </w:rPr>
        <w:t>日，根据实际开采情况，继续基建工程，</w:t>
      </w:r>
      <w:r>
        <w:rPr>
          <w:rFonts w:hint="eastAsia" w:ascii="宋体" w:hAnsi="宋体" w:eastAsia="宋体" w:cs="宋体"/>
          <w:b w:val="0"/>
          <w:bCs w:val="0"/>
          <w:color w:val="auto"/>
          <w:sz w:val="24"/>
          <w:highlight w:val="none"/>
        </w:rPr>
        <w:t>对</w:t>
      </w:r>
      <w:r>
        <w:rPr>
          <w:rFonts w:hint="eastAsia" w:ascii="宋体" w:hAnsi="宋体" w:cs="宋体"/>
          <w:b w:val="0"/>
          <w:bCs w:val="0"/>
          <w:color w:val="auto"/>
          <w:sz w:val="24"/>
          <w:highlight w:val="none"/>
          <w:lang w:val="en-US" w:eastAsia="zh-CN"/>
        </w:rPr>
        <w:t>拟建</w:t>
      </w:r>
      <w:r>
        <w:rPr>
          <w:rFonts w:hint="eastAsia" w:ascii="宋体" w:hAnsi="宋体" w:eastAsia="宋体" w:cs="宋体"/>
          <w:b w:val="0"/>
          <w:bCs w:val="0"/>
          <w:color w:val="auto"/>
          <w:sz w:val="24"/>
          <w:highlight w:val="none"/>
          <w:lang w:val="en-US" w:eastAsia="zh-CN"/>
        </w:rPr>
        <w:t>排土场</w:t>
      </w:r>
      <w:r>
        <w:rPr>
          <w:rFonts w:hint="eastAsia" w:ascii="宋体" w:hAnsi="宋体" w:eastAsia="宋体" w:cs="宋体"/>
          <w:b w:val="0"/>
          <w:bCs w:val="0"/>
          <w:color w:val="auto"/>
          <w:sz w:val="24"/>
          <w:highlight w:val="none"/>
        </w:rPr>
        <w:t>堆存表土撒播草籽进行保护</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lang w:val="en-US" w:eastAsia="zh-CN"/>
        </w:rPr>
        <w:t>但因矿山一直处于停产阶段，故不涉及对拟建单元设计治理工程，仅对前期治理单元进行维护。</w:t>
      </w:r>
      <w:bookmarkEnd w:id="18"/>
      <w:bookmarkEnd w:id="19"/>
      <w:bookmarkEnd w:id="20"/>
      <w:bookmarkStart w:id="21" w:name="_Toc709"/>
      <w:r>
        <w:rPr>
          <w:rFonts w:hint="eastAsia" w:ascii="宋体" w:hAnsi="宋体" w:cs="宋体"/>
          <w:b w:val="0"/>
          <w:bCs w:val="0"/>
          <w:color w:val="auto"/>
          <w:sz w:val="24"/>
          <w:highlight w:val="none"/>
          <w:lang w:val="en-US" w:eastAsia="zh-CN"/>
        </w:rPr>
        <w:t xml:space="preserve">       </w:t>
      </w:r>
      <w:r>
        <w:rPr>
          <w:rFonts w:hint="default" w:ascii="Times New Roman" w:hAnsi="Times New Roman" w:eastAsia="宋体" w:cs="Times New Roman"/>
          <w:color w:val="auto"/>
          <w:sz w:val="30"/>
          <w:highlight w:val="none"/>
        </w:rPr>
        <w:t>（二）矿山地质环境治理工程</w:t>
      </w:r>
      <w:bookmarkEnd w:id="21"/>
    </w:p>
    <w:p>
      <w:pPr>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对前期治理单元进行维护面积2891，撒播草籽，恢复植被</w:t>
      </w:r>
      <w:r>
        <w:rPr>
          <w:rFonts w:hint="eastAsia" w:cs="Times New Roman"/>
          <w:color w:val="auto"/>
          <w:szCs w:val="24"/>
          <w:highlight w:val="none"/>
          <w:lang w:eastAsia="zh-CN"/>
        </w:rPr>
        <w:t>，</w:t>
      </w:r>
      <w:r>
        <w:rPr>
          <w:rFonts w:hint="default" w:ascii="Times New Roman" w:hAnsi="Times New Roman" w:eastAsia="宋体" w:cs="Times New Roman"/>
          <w:color w:val="auto"/>
          <w:highlight w:val="none"/>
        </w:rPr>
        <w:t>见表5-</w:t>
      </w: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表5-</w:t>
      </w:r>
      <w:r>
        <w:rPr>
          <w:rFonts w:hint="eastAsia"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rPr>
        <w:t xml:space="preserve">  工程量汇总表</w:t>
      </w:r>
    </w:p>
    <w:tbl>
      <w:tblPr>
        <w:tblStyle w:val="11"/>
        <w:tblW w:w="4998" w:type="pct"/>
        <w:tblInd w:w="0" w:type="dxa"/>
        <w:shd w:val="clear" w:color="auto" w:fill="auto"/>
        <w:tblLayout w:type="autofit"/>
        <w:tblCellMar>
          <w:top w:w="0" w:type="dxa"/>
          <w:left w:w="0" w:type="dxa"/>
          <w:bottom w:w="0" w:type="dxa"/>
          <w:right w:w="0" w:type="dxa"/>
        </w:tblCellMar>
      </w:tblPr>
      <w:tblGrid>
        <w:gridCol w:w="3099"/>
        <w:gridCol w:w="2619"/>
        <w:gridCol w:w="2621"/>
      </w:tblGrid>
      <w:tr>
        <w:tblPrEx>
          <w:shd w:val="clear" w:color="auto" w:fill="auto"/>
          <w:tblCellMar>
            <w:top w:w="0" w:type="dxa"/>
            <w:left w:w="0" w:type="dxa"/>
            <w:bottom w:w="0" w:type="dxa"/>
            <w:right w:w="0" w:type="dxa"/>
          </w:tblCellMar>
        </w:tblPrEx>
        <w:trPr>
          <w:trHeight w:val="454" w:hRule="atLeast"/>
        </w:trPr>
        <w:tc>
          <w:tcPr>
            <w:tcW w:w="1858"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kern w:val="0"/>
                <w:szCs w:val="24"/>
                <w:highlight w:val="none"/>
                <w:lang w:val="en-US" w:eastAsia="zh-CN"/>
              </w:rPr>
              <w:t>前期治理单元</w:t>
            </w:r>
          </w:p>
        </w:tc>
        <w:tc>
          <w:tcPr>
            <w:tcW w:w="1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面积</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5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撒播草籽</w:t>
            </w:r>
            <w:r>
              <w:rPr>
                <w:rFonts w:hint="default" w:ascii="Times New Roman" w:hAnsi="Times New Roman" w:eastAsia="宋体" w:cs="Times New Roman"/>
                <w:i w:val="0"/>
                <w:color w:val="auto"/>
                <w:kern w:val="0"/>
                <w:sz w:val="21"/>
                <w:szCs w:val="21"/>
                <w:highlight w:val="none"/>
                <w:u w:val="none"/>
                <w:lang w:val="en-US" w:eastAsia="zh-CN" w:bidi="ar"/>
              </w:rPr>
              <w:t>（m</w:t>
            </w:r>
            <w:r>
              <w:rPr>
                <w:rFonts w:hint="eastAsia" w:cs="Times New Roman"/>
                <w:i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454" w:hRule="atLeast"/>
        </w:trPr>
        <w:tc>
          <w:tcPr>
            <w:tcW w:w="185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2891</w:t>
            </w:r>
          </w:p>
        </w:tc>
        <w:tc>
          <w:tcPr>
            <w:tcW w:w="15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2891</w:t>
            </w:r>
          </w:p>
        </w:tc>
      </w:tr>
    </w:tbl>
    <w:p>
      <w:pPr>
        <w:pStyle w:val="4"/>
        <w:spacing w:before="326" w:beforeLines="100" w:after="163" w:line="360" w:lineRule="auto"/>
        <w:jc w:val="left"/>
        <w:rPr>
          <w:rFonts w:hint="default" w:ascii="Times New Roman" w:hAnsi="Times New Roman" w:eastAsia="宋体" w:cs="Times New Roman"/>
          <w:color w:val="auto"/>
          <w:sz w:val="30"/>
          <w:highlight w:val="none"/>
        </w:rPr>
      </w:pPr>
      <w:bookmarkStart w:id="22" w:name="_Toc9939"/>
      <w:r>
        <w:rPr>
          <w:rFonts w:hint="default" w:ascii="Times New Roman" w:hAnsi="Times New Roman" w:eastAsia="宋体" w:cs="Times New Roman"/>
          <w:color w:val="auto"/>
          <w:sz w:val="30"/>
          <w:highlight w:val="none"/>
        </w:rPr>
        <w:t>（三）矿山地质环境监测工程</w:t>
      </w:r>
      <w:bookmarkEnd w:id="22"/>
    </w:p>
    <w:bookmarkEnd w:id="12"/>
    <w:bookmarkEnd w:id="16"/>
    <w:p>
      <w:pPr>
        <w:spacing w:line="360" w:lineRule="auto"/>
        <w:ind w:right="65" w:rightChars="27" w:firstLine="448" w:firstLineChars="187"/>
        <w:rPr>
          <w:rFonts w:hint="default" w:ascii="Times New Roman" w:hAnsi="Times New Roman" w:eastAsia="宋体" w:cs="Times New Roman"/>
          <w:color w:val="auto"/>
          <w:sz w:val="24"/>
          <w:highlight w:val="none"/>
        </w:rPr>
      </w:pPr>
      <w:bookmarkStart w:id="23" w:name="_Toc436035418"/>
      <w:bookmarkStart w:id="24" w:name="_Toc17433"/>
      <w:r>
        <w:rPr>
          <w:rFonts w:hint="default" w:ascii="Times New Roman" w:hAnsi="Times New Roman" w:eastAsia="宋体" w:cs="Times New Roman"/>
          <w:color w:val="auto"/>
          <w:sz w:val="24"/>
          <w:highlight w:val="none"/>
        </w:rPr>
        <w:t>矿山存在的地质环境问题主要有：预测地面塌陷区地质灾害、土地资源及地形地貌景观的破坏。针对以上矿山地质环境问题进行监测工作布置。</w:t>
      </w:r>
    </w:p>
    <w:p>
      <w:pPr>
        <w:spacing w:line="360" w:lineRule="auto"/>
        <w:ind w:left="-310" w:leftChars="-129" w:right="-518" w:rightChars="-216"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1、监测内容</w:t>
      </w:r>
    </w:p>
    <w:p>
      <w:pPr>
        <w:spacing w:line="360" w:lineRule="auto"/>
        <w:ind w:right="31" w:rightChars="13"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①地面变形监测项目：对预测地面塌陷区进行监测；</w:t>
      </w:r>
    </w:p>
    <w:p>
      <w:pPr>
        <w:spacing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②地形地貌景观、土地资源监测项目：矿山开采对土地、地形地貌景观的破坏监测，防止矿山开采乱采乱挖以及废弃物的随意堆放。</w:t>
      </w:r>
    </w:p>
    <w:p>
      <w:pPr>
        <w:spacing w:line="360" w:lineRule="auto"/>
        <w:ind w:left="-310" w:leftChars="-129" w:right="-518" w:rightChars="-216"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2、监测点布置</w:t>
      </w:r>
    </w:p>
    <w:p>
      <w:pPr>
        <w:spacing w:line="360" w:lineRule="auto"/>
        <w:ind w:right="65" w:rightChars="27"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在预测地面塌陷区上方布设5个地表变形监测点，间距为30m,定期对地表变形及地质灾害进行监测，并做好记录工作。</w:t>
      </w:r>
    </w:p>
    <w:p>
      <w:pPr>
        <w:spacing w:line="360" w:lineRule="auto"/>
        <w:ind w:left="-310" w:leftChars="-129" w:right="-518" w:rightChars="-216"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3、监测方法</w:t>
      </w:r>
    </w:p>
    <w:p>
      <w:pPr>
        <w:spacing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对预测地面塌陷区拟采用相对位移法，在预测塌陷区设置固定桩做为参照物，用经纬仪等测量仪器对地面的水平变形量和垂直变形量进行测量；对人类工程活动区土地、植被进行定期监测；</w:t>
      </w:r>
    </w:p>
    <w:p>
      <w:pPr>
        <w:spacing w:line="360" w:lineRule="auto"/>
        <w:ind w:left="-310" w:leftChars="-129" w:right="-518" w:rightChars="-216"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4、监测频率</w:t>
      </w:r>
    </w:p>
    <w:p>
      <w:pPr>
        <w:spacing w:line="360" w:lineRule="auto"/>
        <w:ind w:right="-518" w:rightChars="-216"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地面变形监测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土地资源、地形地貌景观监测</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次/月。</w:t>
      </w:r>
    </w:p>
    <w:p>
      <w:pPr>
        <w:spacing w:line="360" w:lineRule="auto"/>
        <w:ind w:left="-310" w:leftChars="-129" w:right="-518" w:rightChars="-216"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、监测工程量</w:t>
      </w:r>
    </w:p>
    <w:p>
      <w:pPr>
        <w:spacing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地质环境监测为1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个月。经计算共计监测</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次。</w:t>
      </w:r>
    </w:p>
    <w:p>
      <w:pPr>
        <w:keepNext w:val="0"/>
        <w:keepLines w:val="0"/>
        <w:pageBreakBefore w:val="0"/>
        <w:widowControl w:val="0"/>
        <w:kinsoku/>
        <w:wordWrap/>
        <w:overflowPunct/>
        <w:topLinePunct w:val="0"/>
        <w:autoSpaceDE/>
        <w:autoSpaceDN/>
        <w:bidi w:val="0"/>
        <w:adjustRightInd w:val="0"/>
        <w:snapToGrid w:val="0"/>
        <w:spacing w:before="327" w:beforeLines="100"/>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 xml:space="preserve">表5-2  </w:t>
      </w:r>
      <w:r>
        <w:rPr>
          <w:rFonts w:hint="default" w:ascii="Times New Roman" w:hAnsi="Times New Roman" w:eastAsia="宋体" w:cs="Times New Roman"/>
          <w:b/>
          <w:bCs w:val="0"/>
          <w:color w:val="auto"/>
          <w:sz w:val="21"/>
          <w:szCs w:val="21"/>
          <w:highlight w:val="none"/>
          <w:lang w:eastAsia="zh-CN"/>
        </w:rPr>
        <w:t>本年度</w:t>
      </w:r>
      <w:r>
        <w:rPr>
          <w:rFonts w:hint="default" w:ascii="Times New Roman" w:hAnsi="Times New Roman" w:eastAsia="宋体" w:cs="Times New Roman"/>
          <w:b/>
          <w:bCs w:val="0"/>
          <w:color w:val="auto"/>
          <w:sz w:val="21"/>
          <w:szCs w:val="21"/>
          <w:highlight w:val="none"/>
        </w:rPr>
        <w:t>监测范围主要拐点坐标表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537"/>
        <w:gridCol w:w="2595"/>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05" w:type="pct"/>
            <w:vMerge w:val="restar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分区</w:t>
            </w:r>
          </w:p>
        </w:tc>
        <w:tc>
          <w:tcPr>
            <w:tcW w:w="901" w:type="pct"/>
            <w:vMerge w:val="restar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拐点编号</w:t>
            </w:r>
          </w:p>
        </w:tc>
        <w:tc>
          <w:tcPr>
            <w:tcW w:w="3392" w:type="pct"/>
            <w:gridSpan w:val="2"/>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1980西安坐标系（3°带坐标）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5" w:type="pct"/>
            <w:vMerge w:val="continue"/>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01" w:type="pct"/>
            <w:vMerge w:val="continue"/>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52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187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05" w:type="pct"/>
            <w:vMerge w:val="restar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预测地面塌陷区</w:t>
            </w:r>
          </w:p>
        </w:tc>
        <w:tc>
          <w:tcPr>
            <w:tcW w:w="90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2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4632159.1</w:t>
            </w:r>
          </w:p>
        </w:tc>
        <w:tc>
          <w:tcPr>
            <w:tcW w:w="187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40391110.0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05" w:type="pct"/>
            <w:vMerge w:val="continue"/>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0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2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4632159.1</w:t>
            </w:r>
          </w:p>
        </w:tc>
        <w:tc>
          <w:tcPr>
            <w:tcW w:w="187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40391086.8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05" w:type="pct"/>
            <w:vMerge w:val="continue"/>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0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2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4632133.1</w:t>
            </w:r>
          </w:p>
        </w:tc>
        <w:tc>
          <w:tcPr>
            <w:tcW w:w="187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40391097.8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05" w:type="pct"/>
            <w:vMerge w:val="continue"/>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0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2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4632106.1</w:t>
            </w:r>
          </w:p>
        </w:tc>
        <w:tc>
          <w:tcPr>
            <w:tcW w:w="187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40391087.3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05" w:type="pct"/>
            <w:vMerge w:val="continue"/>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0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2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4632106.0</w:t>
            </w:r>
          </w:p>
        </w:tc>
        <w:tc>
          <w:tcPr>
            <w:tcW w:w="1871" w:type="pct"/>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40391110.2</w:t>
            </w:r>
          </w:p>
        </w:tc>
      </w:tr>
    </w:tbl>
    <w:p>
      <w:pPr>
        <w:pStyle w:val="3"/>
        <w:spacing w:before="163" w:after="163" w:line="360" w:lineRule="auto"/>
        <w:rPr>
          <w:rFonts w:hint="default" w:ascii="Times New Roman" w:hAnsi="Times New Roman" w:eastAsia="宋体" w:cs="Times New Roman"/>
          <w:color w:val="auto"/>
          <w:sz w:val="30"/>
          <w:highlight w:val="none"/>
        </w:rPr>
      </w:pPr>
      <w:r>
        <w:rPr>
          <w:rFonts w:hint="default" w:ascii="Times New Roman" w:hAnsi="Times New Roman" w:eastAsia="宋体" w:cs="Times New Roman"/>
          <w:color w:val="auto"/>
          <w:sz w:val="36"/>
          <w:szCs w:val="36"/>
          <w:highlight w:val="none"/>
        </w:rPr>
        <w:t>六、经费</w:t>
      </w:r>
      <w:bookmarkEnd w:id="23"/>
      <w:r>
        <w:rPr>
          <w:rFonts w:hint="default" w:ascii="Times New Roman" w:hAnsi="Times New Roman" w:eastAsia="宋体" w:cs="Times New Roman"/>
          <w:color w:val="auto"/>
          <w:sz w:val="36"/>
          <w:szCs w:val="36"/>
          <w:highlight w:val="none"/>
        </w:rPr>
        <w:t>预算</w:t>
      </w:r>
      <w:bookmarkEnd w:id="24"/>
    </w:p>
    <w:p>
      <w:pPr>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经概算，宁城县旭日萤石矿矿山地质环境治理工程施</w:t>
      </w:r>
      <w:r>
        <w:rPr>
          <w:rFonts w:hint="default" w:ascii="Times New Roman" w:hAnsi="Times New Roman" w:eastAsia="宋体" w:cs="Times New Roman"/>
          <w:bCs/>
          <w:color w:val="auto"/>
          <w:highlight w:val="none"/>
        </w:rPr>
        <w:t>工费</w:t>
      </w:r>
      <w:r>
        <w:rPr>
          <w:rFonts w:hint="eastAsia" w:cs="Times New Roman"/>
          <w:bCs/>
          <w:color w:val="auto"/>
          <w:highlight w:val="none"/>
          <w:lang w:val="en-US" w:eastAsia="zh-CN"/>
        </w:rPr>
        <w:t>总</w:t>
      </w:r>
      <w:r>
        <w:rPr>
          <w:rFonts w:hint="default" w:ascii="Times New Roman" w:hAnsi="Times New Roman" w:eastAsia="宋体" w:cs="Times New Roman"/>
          <w:bCs/>
          <w:color w:val="auto"/>
          <w:highlight w:val="none"/>
        </w:rPr>
        <w:t>概算为</w:t>
      </w:r>
      <w:r>
        <w:rPr>
          <w:rFonts w:hint="eastAsia" w:cs="Times New Roman"/>
          <w:color w:val="auto"/>
          <w:highlight w:val="none"/>
          <w:lang w:val="en-US" w:eastAsia="zh-CN"/>
        </w:rPr>
        <w:t>0.208</w:t>
      </w:r>
      <w:r>
        <w:rPr>
          <w:rFonts w:hint="default" w:ascii="Times New Roman" w:hAnsi="Times New Roman" w:eastAsia="宋体" w:cs="Times New Roman"/>
          <w:color w:val="auto"/>
          <w:highlight w:val="none"/>
        </w:rPr>
        <w:t>万</w:t>
      </w:r>
      <w:r>
        <w:rPr>
          <w:rFonts w:hint="default" w:ascii="Times New Roman" w:hAnsi="Times New Roman" w:eastAsia="宋体" w:cs="Times New Roman"/>
          <w:bCs/>
          <w:color w:val="auto"/>
          <w:highlight w:val="none"/>
        </w:rPr>
        <w:t>元。详见表6-1至6-</w:t>
      </w:r>
      <w:r>
        <w:rPr>
          <w:rFonts w:hint="eastAsia" w:cs="Times New Roman"/>
          <w:bCs/>
          <w:color w:val="auto"/>
          <w:highlight w:val="none"/>
          <w:lang w:val="en-US" w:eastAsia="zh-CN"/>
        </w:rPr>
        <w:t>5</w:t>
      </w:r>
      <w:r>
        <w:rPr>
          <w:rFonts w:hint="default" w:ascii="Times New Roman" w:hAnsi="Times New Roman" w:eastAsia="宋体" w:cs="Times New Roman"/>
          <w:bCs/>
          <w:color w:val="auto"/>
          <w:highlight w:val="none"/>
        </w:rPr>
        <w:t>。</w:t>
      </w:r>
    </w:p>
    <w:p>
      <w:pPr>
        <w:keepNext w:val="0"/>
        <w:keepLines w:val="0"/>
        <w:pageBreakBefore w:val="0"/>
        <w:widowControl w:val="0"/>
        <w:kinsoku/>
        <w:wordWrap/>
        <w:overflowPunct/>
        <w:topLinePunct w:val="0"/>
        <w:autoSpaceDE/>
        <w:autoSpaceDN/>
        <w:bidi w:val="0"/>
        <w:adjustRightInd w:val="0"/>
        <w:snapToGrid w:val="0"/>
        <w:spacing w:before="327" w:beforeLines="100"/>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表6-1  矿山地质环境保护与恢复治理工程经费概算总表</w:t>
      </w:r>
    </w:p>
    <w:tbl>
      <w:tblPr>
        <w:tblStyle w:val="11"/>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126"/>
        <w:gridCol w:w="2392"/>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1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工程或费用名称</w:t>
            </w:r>
          </w:p>
        </w:tc>
        <w:tc>
          <w:tcPr>
            <w:tcW w:w="2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预算金额(万元)</w:t>
            </w:r>
          </w:p>
        </w:tc>
        <w:tc>
          <w:tcPr>
            <w:tcW w:w="3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各费用占总费用的比例(%)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p>
        </w:tc>
        <w:tc>
          <w:tcPr>
            <w:tcW w:w="21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w:t>
            </w:r>
          </w:p>
        </w:tc>
        <w:tc>
          <w:tcPr>
            <w:tcW w:w="2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(2)</w:t>
            </w:r>
          </w:p>
        </w:tc>
        <w:tc>
          <w:tcPr>
            <w:tcW w:w="3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21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工程施工费</w:t>
            </w:r>
          </w:p>
        </w:tc>
        <w:tc>
          <w:tcPr>
            <w:tcW w:w="2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0.200</w:t>
            </w:r>
          </w:p>
        </w:tc>
        <w:tc>
          <w:tcPr>
            <w:tcW w:w="3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w:t>
            </w:r>
          </w:p>
        </w:tc>
        <w:tc>
          <w:tcPr>
            <w:tcW w:w="21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监测与管护费</w:t>
            </w:r>
          </w:p>
        </w:tc>
        <w:tc>
          <w:tcPr>
            <w:tcW w:w="2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0.042</w:t>
            </w:r>
          </w:p>
        </w:tc>
        <w:tc>
          <w:tcPr>
            <w:tcW w:w="3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92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总              计</w:t>
            </w:r>
          </w:p>
        </w:tc>
        <w:tc>
          <w:tcPr>
            <w:tcW w:w="2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0.242</w:t>
            </w:r>
          </w:p>
        </w:tc>
        <w:tc>
          <w:tcPr>
            <w:tcW w:w="3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100.00</w:t>
            </w:r>
          </w:p>
        </w:tc>
      </w:tr>
    </w:tbl>
    <w:p>
      <w:pPr>
        <w:keepNext w:val="0"/>
        <w:keepLines w:val="0"/>
        <w:pageBreakBefore w:val="0"/>
        <w:widowControl w:val="0"/>
        <w:kinsoku/>
        <w:wordWrap/>
        <w:overflowPunct/>
        <w:topLinePunct w:val="0"/>
        <w:autoSpaceDE/>
        <w:autoSpaceDN/>
        <w:bidi w:val="0"/>
        <w:adjustRightInd w:val="0"/>
        <w:snapToGrid w:val="0"/>
        <w:spacing w:before="327" w:beforeLines="100"/>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表6-2  工程施工费分项概算表</w:t>
      </w:r>
    </w:p>
    <w:tbl>
      <w:tblPr>
        <w:tblStyle w:val="11"/>
        <w:tblW w:w="4997" w:type="pct"/>
        <w:tblInd w:w="0" w:type="dxa"/>
        <w:tblLayout w:type="autofit"/>
        <w:tblCellMar>
          <w:top w:w="0" w:type="dxa"/>
          <w:left w:w="108" w:type="dxa"/>
          <w:bottom w:w="0" w:type="dxa"/>
          <w:right w:w="108" w:type="dxa"/>
        </w:tblCellMar>
      </w:tblPr>
      <w:tblGrid>
        <w:gridCol w:w="784"/>
        <w:gridCol w:w="1287"/>
        <w:gridCol w:w="1732"/>
        <w:gridCol w:w="980"/>
        <w:gridCol w:w="1125"/>
        <w:gridCol w:w="1195"/>
        <w:gridCol w:w="1420"/>
      </w:tblGrid>
      <w:tr>
        <w:tblPrEx>
          <w:tblCellMar>
            <w:top w:w="0" w:type="dxa"/>
            <w:left w:w="108" w:type="dxa"/>
            <w:bottom w:w="0" w:type="dxa"/>
            <w:right w:w="108" w:type="dxa"/>
          </w:tblCellMar>
        </w:tblPrEx>
        <w:trPr>
          <w:trHeight w:val="397" w:hRule="atLeast"/>
        </w:trPr>
        <w:tc>
          <w:tcPr>
            <w:tcW w:w="460" w:type="pct"/>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55" w:type="pct"/>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定额编号</w:t>
            </w:r>
          </w:p>
        </w:tc>
        <w:tc>
          <w:tcPr>
            <w:tcW w:w="1015" w:type="pct"/>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单项名称</w:t>
            </w:r>
          </w:p>
        </w:tc>
        <w:tc>
          <w:tcPr>
            <w:tcW w:w="575" w:type="pct"/>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660" w:type="pct"/>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工程量</w:t>
            </w:r>
          </w:p>
        </w:tc>
        <w:tc>
          <w:tcPr>
            <w:tcW w:w="700" w:type="pct"/>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合计(万元)</w:t>
            </w:r>
          </w:p>
        </w:tc>
        <w:tc>
          <w:tcPr>
            <w:tcW w:w="832" w:type="pct"/>
            <w:vMerge w:val="restart"/>
            <w:tcBorders>
              <w:top w:val="single" w:color="auto" w:sz="8" w:space="0"/>
              <w:left w:val="nil"/>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市场询价</w:t>
            </w:r>
          </w:p>
        </w:tc>
      </w:tr>
      <w:tr>
        <w:tblPrEx>
          <w:tblCellMar>
            <w:top w:w="0" w:type="dxa"/>
            <w:left w:w="108" w:type="dxa"/>
            <w:bottom w:w="0" w:type="dxa"/>
            <w:right w:w="108" w:type="dxa"/>
          </w:tblCellMar>
        </w:tblPrEx>
        <w:trPr>
          <w:trHeight w:val="397" w:hRule="atLeast"/>
        </w:trPr>
        <w:tc>
          <w:tcPr>
            <w:tcW w:w="460" w:type="pct"/>
            <w:tcBorders>
              <w:top w:val="nil"/>
              <w:left w:val="single" w:color="auto" w:sz="8" w:space="0"/>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755"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015"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i w:val="0"/>
                <w:color w:val="auto"/>
                <w:kern w:val="0"/>
                <w:sz w:val="21"/>
                <w:szCs w:val="21"/>
                <w:highlight w:val="none"/>
                <w:u w:val="none"/>
                <w:lang w:val="en-US" w:eastAsia="zh-CN" w:bidi="ar"/>
              </w:rPr>
              <w:t>撒播草籽</w:t>
            </w:r>
          </w:p>
        </w:tc>
        <w:tc>
          <w:tcPr>
            <w:tcW w:w="575"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cs="Times New Roman"/>
                <w:i w:val="0"/>
                <w:color w:val="auto"/>
                <w:kern w:val="0"/>
                <w:sz w:val="21"/>
                <w:szCs w:val="21"/>
                <w:highlight w:val="none"/>
                <w:u w:val="none"/>
                <w:lang w:val="en-US" w:eastAsia="zh-CN" w:bidi="ar"/>
              </w:rPr>
              <w:t>m</w:t>
            </w:r>
            <w:r>
              <w:rPr>
                <w:rFonts w:hint="eastAsia" w:cs="Times New Roman"/>
                <w:i w:val="0"/>
                <w:color w:val="auto"/>
                <w:kern w:val="0"/>
                <w:sz w:val="21"/>
                <w:szCs w:val="21"/>
                <w:highlight w:val="none"/>
                <w:u w:val="none"/>
                <w:vertAlign w:val="superscript"/>
                <w:lang w:val="en-US" w:eastAsia="zh-CN" w:bidi="ar"/>
              </w:rPr>
              <w:t>2</w:t>
            </w:r>
          </w:p>
        </w:tc>
        <w:tc>
          <w:tcPr>
            <w:tcW w:w="660"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2891</w:t>
            </w:r>
          </w:p>
        </w:tc>
        <w:tc>
          <w:tcPr>
            <w:tcW w:w="700"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宋体" w:hAnsi="宋体" w:eastAsia="宋体" w:cs="Times New Roman"/>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0.2</w:t>
            </w:r>
          </w:p>
        </w:tc>
        <w:tc>
          <w:tcPr>
            <w:tcW w:w="832" w:type="pct"/>
            <w:vMerge w:val="continue"/>
            <w:tcBorders>
              <w:left w:val="nil"/>
              <w:right w:val="single" w:color="auto" w:sz="8" w:space="0"/>
            </w:tcBorders>
            <w:vAlign w:val="center"/>
          </w:tcPr>
          <w:p>
            <w:pPr>
              <w:spacing w:line="240" w:lineRule="auto"/>
              <w:ind w:firstLine="0" w:firstLineChars="0"/>
              <w:jc w:val="center"/>
              <w:rPr>
                <w:rFonts w:hint="default" w:ascii="宋体" w:hAnsi="宋体"/>
                <w:color w:val="auto"/>
                <w:kern w:val="0"/>
                <w:sz w:val="21"/>
                <w:szCs w:val="21"/>
                <w:highlight w:val="none"/>
                <w:lang w:val="en-US" w:eastAsia="zh-CN"/>
              </w:rPr>
            </w:pPr>
          </w:p>
        </w:tc>
      </w:tr>
      <w:tr>
        <w:tblPrEx>
          <w:tblCellMar>
            <w:top w:w="0" w:type="dxa"/>
            <w:left w:w="108" w:type="dxa"/>
            <w:bottom w:w="0" w:type="dxa"/>
            <w:right w:w="108" w:type="dxa"/>
          </w:tblCellMar>
        </w:tblPrEx>
        <w:trPr>
          <w:trHeight w:val="397" w:hRule="atLeast"/>
        </w:trPr>
        <w:tc>
          <w:tcPr>
            <w:tcW w:w="2231" w:type="pct"/>
            <w:gridSpan w:val="3"/>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总          计</w:t>
            </w:r>
          </w:p>
        </w:tc>
        <w:tc>
          <w:tcPr>
            <w:tcW w:w="575"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w:t>
            </w:r>
          </w:p>
        </w:tc>
        <w:tc>
          <w:tcPr>
            <w:tcW w:w="660"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700" w:type="pct"/>
            <w:tcBorders>
              <w:top w:val="nil"/>
              <w:left w:val="nil"/>
              <w:bottom w:val="single" w:color="auto" w:sz="8" w:space="0"/>
              <w:right w:val="single" w:color="auto" w:sz="8" w:space="0"/>
            </w:tcBorders>
            <w:vAlign w:val="center"/>
          </w:tcPr>
          <w:p>
            <w:pPr>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0.2</w:t>
            </w:r>
          </w:p>
        </w:tc>
        <w:tc>
          <w:tcPr>
            <w:tcW w:w="832" w:type="pct"/>
            <w:vMerge w:val="continue"/>
            <w:tcBorders>
              <w:left w:val="nil"/>
              <w:bottom w:val="single" w:color="auto" w:sz="8" w:space="0"/>
              <w:right w:val="single" w:color="auto" w:sz="8"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bCs/>
                <w:color w:val="auto"/>
                <w:kern w:val="0"/>
                <w:sz w:val="21"/>
                <w:szCs w:val="21"/>
                <w:highlight w:val="none"/>
                <w:lang w:val="en-US"/>
              </w:rPr>
            </w:pPr>
          </w:p>
        </w:tc>
      </w:tr>
    </w:tbl>
    <w:p>
      <w:pPr>
        <w:keepNext w:val="0"/>
        <w:keepLines w:val="0"/>
        <w:pageBreakBefore w:val="0"/>
        <w:widowControl w:val="0"/>
        <w:kinsoku/>
        <w:wordWrap/>
        <w:overflowPunct/>
        <w:topLinePunct w:val="0"/>
        <w:autoSpaceDE/>
        <w:autoSpaceDN/>
        <w:bidi w:val="0"/>
        <w:adjustRightInd w:val="0"/>
        <w:snapToGrid w:val="0"/>
        <w:spacing w:before="327" w:beforeLines="100"/>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表6-</w:t>
      </w:r>
      <w:r>
        <w:rPr>
          <w:rFonts w:hint="eastAsia"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rPr>
        <w:t>监测管护费计算表</w:t>
      </w:r>
    </w:p>
    <w:tbl>
      <w:tblPr>
        <w:tblStyle w:val="11"/>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82"/>
        <w:gridCol w:w="1382"/>
        <w:gridCol w:w="1382"/>
        <w:gridCol w:w="1382"/>
        <w:gridCol w:w="1385"/>
        <w:gridCol w:w="16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33" w:type="pct"/>
            <w:vMerge w:val="restar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序号</w:t>
            </w:r>
          </w:p>
        </w:tc>
        <w:tc>
          <w:tcPr>
            <w:tcW w:w="833" w:type="pct"/>
            <w:vMerge w:val="restar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费用名称</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工程施工费</w:t>
            </w:r>
          </w:p>
        </w:tc>
        <w:tc>
          <w:tcPr>
            <w:tcW w:w="833" w:type="pct"/>
            <w:vMerge w:val="restar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费率</w:t>
            </w:r>
          </w:p>
        </w:tc>
        <w:tc>
          <w:tcPr>
            <w:tcW w:w="835" w:type="pct"/>
            <w:vMerge w:val="restar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次数</w:t>
            </w:r>
          </w:p>
        </w:tc>
        <w:tc>
          <w:tcPr>
            <w:tcW w:w="833" w:type="pct"/>
            <w:vMerge w:val="restar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费用(万元)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33" w:type="pct"/>
            <w:vMerge w:val="continue"/>
            <w:shd w:val="clear" w:color="auto" w:fill="auto"/>
            <w:vAlign w:val="center"/>
          </w:tcPr>
          <w:p>
            <w:pPr>
              <w:spacing w:line="240" w:lineRule="auto"/>
              <w:ind w:firstLine="0" w:firstLineChars="0"/>
              <w:rPr>
                <w:rFonts w:hint="default" w:ascii="Times New Roman" w:hAnsi="Times New Roman" w:eastAsia="宋体" w:cs="Times New Roman"/>
                <w:color w:val="auto"/>
                <w:kern w:val="0"/>
                <w:sz w:val="22"/>
                <w:szCs w:val="22"/>
                <w:highlight w:val="none"/>
              </w:rPr>
            </w:pPr>
          </w:p>
        </w:tc>
        <w:tc>
          <w:tcPr>
            <w:tcW w:w="833" w:type="pct"/>
            <w:vMerge w:val="continue"/>
            <w:shd w:val="clear" w:color="auto" w:fill="auto"/>
            <w:vAlign w:val="center"/>
          </w:tcPr>
          <w:p>
            <w:pPr>
              <w:spacing w:line="240" w:lineRule="auto"/>
              <w:ind w:firstLine="0" w:firstLineChars="0"/>
              <w:rPr>
                <w:rFonts w:hint="default" w:ascii="Times New Roman" w:hAnsi="Times New Roman" w:eastAsia="宋体" w:cs="Times New Roman"/>
                <w:color w:val="auto"/>
                <w:kern w:val="0"/>
                <w:sz w:val="22"/>
                <w:szCs w:val="22"/>
                <w:highlight w:val="none"/>
              </w:rPr>
            </w:pP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(万元)</w:t>
            </w:r>
          </w:p>
        </w:tc>
        <w:tc>
          <w:tcPr>
            <w:tcW w:w="833" w:type="pct"/>
            <w:vMerge w:val="continue"/>
            <w:vAlign w:val="center"/>
          </w:tcPr>
          <w:p>
            <w:pPr>
              <w:spacing w:line="240" w:lineRule="auto"/>
              <w:ind w:firstLine="0" w:firstLineChars="0"/>
              <w:rPr>
                <w:rFonts w:hint="default" w:ascii="Times New Roman" w:hAnsi="Times New Roman" w:eastAsia="宋体" w:cs="Times New Roman"/>
                <w:color w:val="auto"/>
                <w:kern w:val="0"/>
                <w:sz w:val="22"/>
                <w:szCs w:val="22"/>
                <w:highlight w:val="none"/>
              </w:rPr>
            </w:pPr>
          </w:p>
        </w:tc>
        <w:tc>
          <w:tcPr>
            <w:tcW w:w="835" w:type="pct"/>
            <w:vMerge w:val="continue"/>
            <w:vAlign w:val="center"/>
          </w:tcPr>
          <w:p>
            <w:pPr>
              <w:spacing w:line="240" w:lineRule="auto"/>
              <w:ind w:firstLine="0" w:firstLineChars="0"/>
              <w:rPr>
                <w:rFonts w:hint="default" w:ascii="Times New Roman" w:hAnsi="Times New Roman" w:eastAsia="宋体" w:cs="Times New Roman"/>
                <w:color w:val="auto"/>
                <w:kern w:val="0"/>
                <w:sz w:val="22"/>
                <w:szCs w:val="22"/>
                <w:highlight w:val="none"/>
              </w:rPr>
            </w:pPr>
          </w:p>
        </w:tc>
        <w:tc>
          <w:tcPr>
            <w:tcW w:w="833" w:type="pct"/>
            <w:vMerge w:val="continue"/>
            <w:vAlign w:val="center"/>
          </w:tcPr>
          <w:p>
            <w:pPr>
              <w:spacing w:line="240" w:lineRule="auto"/>
              <w:ind w:firstLine="0" w:firstLineChars="0"/>
              <w:rPr>
                <w:rFonts w:hint="default" w:ascii="Times New Roman" w:hAnsi="Times New Roman" w:eastAsia="宋体" w:cs="Times New Roman"/>
                <w:color w:val="auto"/>
                <w:kern w:val="0"/>
                <w:sz w:val="22"/>
                <w:szCs w:val="2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33" w:type="pct"/>
            <w:vMerge w:val="continue"/>
            <w:shd w:val="clear" w:color="auto" w:fill="auto"/>
            <w:vAlign w:val="center"/>
          </w:tcPr>
          <w:p>
            <w:pPr>
              <w:spacing w:line="240" w:lineRule="auto"/>
              <w:ind w:firstLine="0" w:firstLineChars="0"/>
              <w:rPr>
                <w:rFonts w:hint="default" w:ascii="Times New Roman" w:hAnsi="Times New Roman" w:eastAsia="宋体" w:cs="Times New Roman"/>
                <w:color w:val="auto"/>
                <w:kern w:val="0"/>
                <w:sz w:val="22"/>
                <w:szCs w:val="22"/>
                <w:highlight w:val="none"/>
              </w:rPr>
            </w:pP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(1)</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(2)</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(3)</w:t>
            </w:r>
          </w:p>
        </w:tc>
        <w:tc>
          <w:tcPr>
            <w:tcW w:w="835"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(4)</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(1)=(2)×(3)×(4)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1</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监测费</w:t>
            </w:r>
          </w:p>
        </w:tc>
        <w:tc>
          <w:tcPr>
            <w:tcW w:w="1477"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2</w:t>
            </w:r>
          </w:p>
        </w:tc>
        <w:tc>
          <w:tcPr>
            <w:tcW w:w="1477"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48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61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2</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管护费</w:t>
            </w:r>
          </w:p>
        </w:tc>
        <w:tc>
          <w:tcPr>
            <w:tcW w:w="1477"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2</w:t>
            </w:r>
          </w:p>
        </w:tc>
        <w:tc>
          <w:tcPr>
            <w:tcW w:w="1477"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48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61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67" w:type="pct"/>
            <w:gridSpan w:val="5"/>
            <w:shd w:val="clear" w:color="auto" w:fill="auto"/>
            <w:vAlign w:val="center"/>
          </w:tcPr>
          <w:p>
            <w:pPr>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总计</w:t>
            </w:r>
          </w:p>
        </w:tc>
        <w:tc>
          <w:tcPr>
            <w:tcW w:w="833" w:type="pct"/>
            <w:shd w:val="clear" w:color="auto" w:fill="auto"/>
            <w:vAlign w:val="center"/>
          </w:tcPr>
          <w:p>
            <w:pPr>
              <w:spacing w:line="240" w:lineRule="auto"/>
              <w:ind w:firstLine="0" w:firstLineChars="0"/>
              <w:jc w:val="center"/>
              <w:rPr>
                <w:rFonts w:hint="default" w:ascii="Times New Roman" w:hAnsi="Times New Roman" w:eastAsia="宋体" w:cs="Times New Roman"/>
                <w:b/>
                <w:bCs/>
                <w:color w:val="auto"/>
                <w:kern w:val="0"/>
                <w:sz w:val="22"/>
                <w:szCs w:val="22"/>
                <w:highlight w:val="none"/>
                <w:lang w:val="en-US" w:eastAsia="zh-CN"/>
              </w:rPr>
            </w:pPr>
            <w:r>
              <w:rPr>
                <w:rFonts w:hint="eastAsia" w:cs="Times New Roman"/>
                <w:b/>
                <w:bCs/>
                <w:color w:val="auto"/>
                <w:kern w:val="0"/>
                <w:sz w:val="22"/>
                <w:szCs w:val="22"/>
                <w:highlight w:val="none"/>
                <w:lang w:val="en-US" w:eastAsia="zh-CN"/>
              </w:rPr>
              <w:t>0.042</w:t>
            </w:r>
          </w:p>
        </w:tc>
      </w:tr>
    </w:tbl>
    <w:p>
      <w:pPr>
        <w:pStyle w:val="2"/>
        <w:rPr>
          <w:rFonts w:hint="default"/>
          <w:lang w:val="en-US" w:eastAsia="zh-CN"/>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219" w:right="1797" w:bottom="1440" w:left="1797" w:header="851" w:footer="992"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4"/>
      </w:rPr>
    </w:pPr>
    <w:r>
      <w:fldChar w:fldCharType="begin"/>
    </w:r>
    <w:r>
      <w:rPr>
        <w:rStyle w:val="14"/>
      </w:rPr>
      <w:instrText xml:space="preserve">PAGE  </w:instrText>
    </w:r>
    <w:r>
      <w:fldChar w:fldCharType="end"/>
    </w:r>
  </w:p>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rPr>
        <w:rFonts w:ascii="Times New Roman" w:hAnsi="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59</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ind w:firstLine="360"/>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59</w:t>
                    </w:r>
                    <w:r>
                      <w:rPr>
                        <w:rFonts w:ascii="Times New Roman" w:hAnsi="Times New Roman"/>
                      </w:rPr>
                      <w:fldChar w:fldCharType="end"/>
                    </w:r>
                  </w:p>
                </w:txbxContent>
              </v:textbox>
            </v:shape>
          </w:pict>
        </mc:Fallback>
      </mc:AlternateContent>
    </w:r>
  </w:p>
  <w:p>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8E353"/>
    <w:multiLevelType w:val="singleLevel"/>
    <w:tmpl w:val="2348E35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zMzM2N2NjMzQ3MDM4ZWRhYTA0NDEzZDcyZjdkMWQifQ=="/>
  </w:docVars>
  <w:rsids>
    <w:rsidRoot w:val="76B43A24"/>
    <w:rsid w:val="00061648"/>
    <w:rsid w:val="001833FF"/>
    <w:rsid w:val="0027010E"/>
    <w:rsid w:val="002B4F75"/>
    <w:rsid w:val="0058630E"/>
    <w:rsid w:val="005939EC"/>
    <w:rsid w:val="006413D3"/>
    <w:rsid w:val="007A27FE"/>
    <w:rsid w:val="007B1105"/>
    <w:rsid w:val="00836AD0"/>
    <w:rsid w:val="00841584"/>
    <w:rsid w:val="00877554"/>
    <w:rsid w:val="008B2F07"/>
    <w:rsid w:val="008D30EC"/>
    <w:rsid w:val="009B052C"/>
    <w:rsid w:val="009B3364"/>
    <w:rsid w:val="009D61A4"/>
    <w:rsid w:val="00A458FC"/>
    <w:rsid w:val="00B1476D"/>
    <w:rsid w:val="00BF012D"/>
    <w:rsid w:val="00E42251"/>
    <w:rsid w:val="00FD78B7"/>
    <w:rsid w:val="00FE4651"/>
    <w:rsid w:val="01090CC4"/>
    <w:rsid w:val="012805D4"/>
    <w:rsid w:val="014F11B6"/>
    <w:rsid w:val="01900C99"/>
    <w:rsid w:val="01D039E6"/>
    <w:rsid w:val="01DC03D8"/>
    <w:rsid w:val="01F202A0"/>
    <w:rsid w:val="02080F80"/>
    <w:rsid w:val="021C6026"/>
    <w:rsid w:val="02244529"/>
    <w:rsid w:val="02644226"/>
    <w:rsid w:val="027C58F8"/>
    <w:rsid w:val="0300052B"/>
    <w:rsid w:val="03C22C90"/>
    <w:rsid w:val="042E65B2"/>
    <w:rsid w:val="044643C9"/>
    <w:rsid w:val="047C4B05"/>
    <w:rsid w:val="049432C0"/>
    <w:rsid w:val="04AE3494"/>
    <w:rsid w:val="04F954AB"/>
    <w:rsid w:val="051B396A"/>
    <w:rsid w:val="05824120"/>
    <w:rsid w:val="05D63936"/>
    <w:rsid w:val="05F77D3B"/>
    <w:rsid w:val="05FA203D"/>
    <w:rsid w:val="06192B76"/>
    <w:rsid w:val="06597633"/>
    <w:rsid w:val="068E3512"/>
    <w:rsid w:val="06A96A25"/>
    <w:rsid w:val="06E47299"/>
    <w:rsid w:val="073B3BBE"/>
    <w:rsid w:val="07907431"/>
    <w:rsid w:val="07C21027"/>
    <w:rsid w:val="07F02841"/>
    <w:rsid w:val="081A1F9B"/>
    <w:rsid w:val="0823263C"/>
    <w:rsid w:val="08853271"/>
    <w:rsid w:val="08A43DE9"/>
    <w:rsid w:val="08D37EB9"/>
    <w:rsid w:val="08E71CA2"/>
    <w:rsid w:val="095206C1"/>
    <w:rsid w:val="097F632F"/>
    <w:rsid w:val="099C21F0"/>
    <w:rsid w:val="09BC70AC"/>
    <w:rsid w:val="09C9279F"/>
    <w:rsid w:val="09E304E0"/>
    <w:rsid w:val="0A2B21F9"/>
    <w:rsid w:val="0A380260"/>
    <w:rsid w:val="0A55657A"/>
    <w:rsid w:val="0ABD64FE"/>
    <w:rsid w:val="0AE155AE"/>
    <w:rsid w:val="0B2852DB"/>
    <w:rsid w:val="0B393E1F"/>
    <w:rsid w:val="0BA8311E"/>
    <w:rsid w:val="0BC1105E"/>
    <w:rsid w:val="0CF348E4"/>
    <w:rsid w:val="0D807377"/>
    <w:rsid w:val="0DD92136"/>
    <w:rsid w:val="0E490CC1"/>
    <w:rsid w:val="0E4D1449"/>
    <w:rsid w:val="0E75351D"/>
    <w:rsid w:val="0E976266"/>
    <w:rsid w:val="0EF468A4"/>
    <w:rsid w:val="0F0C1B78"/>
    <w:rsid w:val="0F0F1DD3"/>
    <w:rsid w:val="0F366EEB"/>
    <w:rsid w:val="0F455132"/>
    <w:rsid w:val="0F485DCF"/>
    <w:rsid w:val="0F8F3253"/>
    <w:rsid w:val="0FA6323C"/>
    <w:rsid w:val="10503021"/>
    <w:rsid w:val="1098107D"/>
    <w:rsid w:val="10AE2FCD"/>
    <w:rsid w:val="10FB4BD1"/>
    <w:rsid w:val="11216593"/>
    <w:rsid w:val="1144021E"/>
    <w:rsid w:val="11994B02"/>
    <w:rsid w:val="11A13006"/>
    <w:rsid w:val="1240528E"/>
    <w:rsid w:val="125F2966"/>
    <w:rsid w:val="12944875"/>
    <w:rsid w:val="133A0304"/>
    <w:rsid w:val="1405003F"/>
    <w:rsid w:val="14591210"/>
    <w:rsid w:val="1464224A"/>
    <w:rsid w:val="146C301F"/>
    <w:rsid w:val="148D6A3F"/>
    <w:rsid w:val="15235E88"/>
    <w:rsid w:val="15691543"/>
    <w:rsid w:val="15B3045A"/>
    <w:rsid w:val="15B70E05"/>
    <w:rsid w:val="15C2325C"/>
    <w:rsid w:val="15DE7796"/>
    <w:rsid w:val="161661E2"/>
    <w:rsid w:val="164E353C"/>
    <w:rsid w:val="16B12969"/>
    <w:rsid w:val="170806E1"/>
    <w:rsid w:val="17140A47"/>
    <w:rsid w:val="177E56A8"/>
    <w:rsid w:val="17D82E9E"/>
    <w:rsid w:val="180821E2"/>
    <w:rsid w:val="18700291"/>
    <w:rsid w:val="18A77BD7"/>
    <w:rsid w:val="18B00B10"/>
    <w:rsid w:val="190D709A"/>
    <w:rsid w:val="193245D4"/>
    <w:rsid w:val="1A2D7EF6"/>
    <w:rsid w:val="1A31354A"/>
    <w:rsid w:val="1A7B398D"/>
    <w:rsid w:val="1AA920AA"/>
    <w:rsid w:val="1ACC4A33"/>
    <w:rsid w:val="1AD634B9"/>
    <w:rsid w:val="1AFC4CEC"/>
    <w:rsid w:val="1B2130D2"/>
    <w:rsid w:val="1B5C7CE6"/>
    <w:rsid w:val="1B703F7F"/>
    <w:rsid w:val="1BCF0229"/>
    <w:rsid w:val="1C072ECD"/>
    <w:rsid w:val="1C0767AA"/>
    <w:rsid w:val="1C3A6030"/>
    <w:rsid w:val="1C605C48"/>
    <w:rsid w:val="1C697653"/>
    <w:rsid w:val="1C70267E"/>
    <w:rsid w:val="1CBE4993"/>
    <w:rsid w:val="1D0166FB"/>
    <w:rsid w:val="1D1D108A"/>
    <w:rsid w:val="1D430549"/>
    <w:rsid w:val="1D6B04D0"/>
    <w:rsid w:val="1D7E27A9"/>
    <w:rsid w:val="1D932180"/>
    <w:rsid w:val="1E526225"/>
    <w:rsid w:val="1EBA13A4"/>
    <w:rsid w:val="1EC01EA1"/>
    <w:rsid w:val="1F251AF8"/>
    <w:rsid w:val="1F7A6049"/>
    <w:rsid w:val="20072D51"/>
    <w:rsid w:val="2045211D"/>
    <w:rsid w:val="20595A84"/>
    <w:rsid w:val="205F6BA7"/>
    <w:rsid w:val="20B0107A"/>
    <w:rsid w:val="20B6184F"/>
    <w:rsid w:val="20B96E62"/>
    <w:rsid w:val="20CC647C"/>
    <w:rsid w:val="21BC673B"/>
    <w:rsid w:val="21C31D92"/>
    <w:rsid w:val="22390ADA"/>
    <w:rsid w:val="22470E8C"/>
    <w:rsid w:val="225A7199"/>
    <w:rsid w:val="22A02A4B"/>
    <w:rsid w:val="22A930FB"/>
    <w:rsid w:val="231A340C"/>
    <w:rsid w:val="232E5EF7"/>
    <w:rsid w:val="233C7A74"/>
    <w:rsid w:val="23541E0D"/>
    <w:rsid w:val="23817391"/>
    <w:rsid w:val="23AB1F43"/>
    <w:rsid w:val="2416559B"/>
    <w:rsid w:val="24703FBC"/>
    <w:rsid w:val="24854692"/>
    <w:rsid w:val="24D05714"/>
    <w:rsid w:val="250332F8"/>
    <w:rsid w:val="25110FAE"/>
    <w:rsid w:val="25266F3C"/>
    <w:rsid w:val="255B44B5"/>
    <w:rsid w:val="257E1E5A"/>
    <w:rsid w:val="258E1084"/>
    <w:rsid w:val="25DB5129"/>
    <w:rsid w:val="25E13D10"/>
    <w:rsid w:val="25E43E8F"/>
    <w:rsid w:val="26591E4D"/>
    <w:rsid w:val="267C0631"/>
    <w:rsid w:val="26F173F5"/>
    <w:rsid w:val="26F62EAC"/>
    <w:rsid w:val="27341DB9"/>
    <w:rsid w:val="273C1112"/>
    <w:rsid w:val="274F39B2"/>
    <w:rsid w:val="27BE0D0E"/>
    <w:rsid w:val="27C14D9D"/>
    <w:rsid w:val="27F330BB"/>
    <w:rsid w:val="280D2DF4"/>
    <w:rsid w:val="284D2379"/>
    <w:rsid w:val="286609F5"/>
    <w:rsid w:val="28A20E72"/>
    <w:rsid w:val="29323E76"/>
    <w:rsid w:val="29975481"/>
    <w:rsid w:val="29E4049E"/>
    <w:rsid w:val="2A1E36CF"/>
    <w:rsid w:val="2A49028B"/>
    <w:rsid w:val="2A945FAC"/>
    <w:rsid w:val="2ABE639B"/>
    <w:rsid w:val="2B0A75CE"/>
    <w:rsid w:val="2B1D5FAB"/>
    <w:rsid w:val="2B2F5006"/>
    <w:rsid w:val="2B346B07"/>
    <w:rsid w:val="2B3E7E2F"/>
    <w:rsid w:val="2B7D762D"/>
    <w:rsid w:val="2BE52DD3"/>
    <w:rsid w:val="2BF57B55"/>
    <w:rsid w:val="2C2E2943"/>
    <w:rsid w:val="2C4B52D3"/>
    <w:rsid w:val="2CDD6E7E"/>
    <w:rsid w:val="2CF87CD8"/>
    <w:rsid w:val="2D0232BB"/>
    <w:rsid w:val="2E4A0476"/>
    <w:rsid w:val="2E720974"/>
    <w:rsid w:val="2EC626DE"/>
    <w:rsid w:val="2F015EEA"/>
    <w:rsid w:val="2F3D5F39"/>
    <w:rsid w:val="2F455B03"/>
    <w:rsid w:val="2F4A1DD6"/>
    <w:rsid w:val="2F8E5B95"/>
    <w:rsid w:val="2FB7058A"/>
    <w:rsid w:val="2FC3156B"/>
    <w:rsid w:val="2FFA0463"/>
    <w:rsid w:val="30434A1F"/>
    <w:rsid w:val="30480634"/>
    <w:rsid w:val="304A30B7"/>
    <w:rsid w:val="30623AAA"/>
    <w:rsid w:val="30B82081"/>
    <w:rsid w:val="30BD577F"/>
    <w:rsid w:val="30FC3EAE"/>
    <w:rsid w:val="31043042"/>
    <w:rsid w:val="3165140E"/>
    <w:rsid w:val="31767CAB"/>
    <w:rsid w:val="32A5347B"/>
    <w:rsid w:val="32C66783"/>
    <w:rsid w:val="334D5BF5"/>
    <w:rsid w:val="338035AE"/>
    <w:rsid w:val="347544C8"/>
    <w:rsid w:val="34C62990"/>
    <w:rsid w:val="34D26677"/>
    <w:rsid w:val="35773CA0"/>
    <w:rsid w:val="35A64C46"/>
    <w:rsid w:val="35AA59EC"/>
    <w:rsid w:val="35BF5852"/>
    <w:rsid w:val="35E93BB3"/>
    <w:rsid w:val="35EA18A9"/>
    <w:rsid w:val="360878B6"/>
    <w:rsid w:val="36174266"/>
    <w:rsid w:val="36280263"/>
    <w:rsid w:val="36676D0F"/>
    <w:rsid w:val="36752753"/>
    <w:rsid w:val="36AC20B1"/>
    <w:rsid w:val="36BA6CA8"/>
    <w:rsid w:val="372639DF"/>
    <w:rsid w:val="3728034B"/>
    <w:rsid w:val="37784A8F"/>
    <w:rsid w:val="378160BF"/>
    <w:rsid w:val="37A9619D"/>
    <w:rsid w:val="37AD1C1A"/>
    <w:rsid w:val="37D053FD"/>
    <w:rsid w:val="37DC3704"/>
    <w:rsid w:val="37F57F98"/>
    <w:rsid w:val="3812321B"/>
    <w:rsid w:val="383006F3"/>
    <w:rsid w:val="383C58FF"/>
    <w:rsid w:val="38411606"/>
    <w:rsid w:val="38A57571"/>
    <w:rsid w:val="38D512EF"/>
    <w:rsid w:val="38F85C43"/>
    <w:rsid w:val="390F4B13"/>
    <w:rsid w:val="392432BE"/>
    <w:rsid w:val="39685A04"/>
    <w:rsid w:val="39862EF0"/>
    <w:rsid w:val="399B21F0"/>
    <w:rsid w:val="39E11CF5"/>
    <w:rsid w:val="39E97788"/>
    <w:rsid w:val="3A662480"/>
    <w:rsid w:val="3B0D0C60"/>
    <w:rsid w:val="3B0F15A3"/>
    <w:rsid w:val="3B1F13F5"/>
    <w:rsid w:val="3B224FC3"/>
    <w:rsid w:val="3B2C6211"/>
    <w:rsid w:val="3B431FE5"/>
    <w:rsid w:val="3B9037DB"/>
    <w:rsid w:val="3BB508B7"/>
    <w:rsid w:val="3BC70066"/>
    <w:rsid w:val="3C0E48A1"/>
    <w:rsid w:val="3C742B13"/>
    <w:rsid w:val="3C864411"/>
    <w:rsid w:val="3CE9031B"/>
    <w:rsid w:val="3CEB1CB0"/>
    <w:rsid w:val="3D1C334C"/>
    <w:rsid w:val="3D530520"/>
    <w:rsid w:val="3DB36281"/>
    <w:rsid w:val="3DCF6A15"/>
    <w:rsid w:val="3DEA38F6"/>
    <w:rsid w:val="3E8D29A1"/>
    <w:rsid w:val="3E915C55"/>
    <w:rsid w:val="3EAA45DA"/>
    <w:rsid w:val="3ECB1868"/>
    <w:rsid w:val="3EFA671B"/>
    <w:rsid w:val="3F222D71"/>
    <w:rsid w:val="3F66629D"/>
    <w:rsid w:val="3F840733"/>
    <w:rsid w:val="401A6987"/>
    <w:rsid w:val="40E94CCF"/>
    <w:rsid w:val="413C3B3A"/>
    <w:rsid w:val="419F0B14"/>
    <w:rsid w:val="41CC6756"/>
    <w:rsid w:val="41CF5EF7"/>
    <w:rsid w:val="41DF1FBE"/>
    <w:rsid w:val="41E00E8E"/>
    <w:rsid w:val="41ED03B3"/>
    <w:rsid w:val="421F7C2D"/>
    <w:rsid w:val="425B2D2D"/>
    <w:rsid w:val="42953666"/>
    <w:rsid w:val="42B75B58"/>
    <w:rsid w:val="42ED6E26"/>
    <w:rsid w:val="43010D0D"/>
    <w:rsid w:val="431A50EB"/>
    <w:rsid w:val="43795299"/>
    <w:rsid w:val="438066F6"/>
    <w:rsid w:val="439126E1"/>
    <w:rsid w:val="43B564A2"/>
    <w:rsid w:val="44917138"/>
    <w:rsid w:val="44987EE6"/>
    <w:rsid w:val="44AA4F4A"/>
    <w:rsid w:val="44C75EA4"/>
    <w:rsid w:val="45364F05"/>
    <w:rsid w:val="45576887"/>
    <w:rsid w:val="45B26485"/>
    <w:rsid w:val="46125032"/>
    <w:rsid w:val="4627406A"/>
    <w:rsid w:val="46CF37C4"/>
    <w:rsid w:val="46D963FC"/>
    <w:rsid w:val="47214EDF"/>
    <w:rsid w:val="47356FBE"/>
    <w:rsid w:val="47F9603C"/>
    <w:rsid w:val="48627B3C"/>
    <w:rsid w:val="48BF45D4"/>
    <w:rsid w:val="48F567EB"/>
    <w:rsid w:val="490F67CE"/>
    <w:rsid w:val="493A5912"/>
    <w:rsid w:val="49854C16"/>
    <w:rsid w:val="49A777C0"/>
    <w:rsid w:val="49D1022B"/>
    <w:rsid w:val="4A127DB5"/>
    <w:rsid w:val="4A9C7EDC"/>
    <w:rsid w:val="4AB91E0F"/>
    <w:rsid w:val="4AC5070C"/>
    <w:rsid w:val="4B093234"/>
    <w:rsid w:val="4B2916DA"/>
    <w:rsid w:val="4B8A523F"/>
    <w:rsid w:val="4BA2306C"/>
    <w:rsid w:val="4BD878B4"/>
    <w:rsid w:val="4BED1E50"/>
    <w:rsid w:val="4C0B7C5F"/>
    <w:rsid w:val="4C356733"/>
    <w:rsid w:val="4C6664D9"/>
    <w:rsid w:val="4C934CC8"/>
    <w:rsid w:val="4CA61A08"/>
    <w:rsid w:val="4D3608DC"/>
    <w:rsid w:val="4DAC4351"/>
    <w:rsid w:val="4DAC4800"/>
    <w:rsid w:val="4E6A4B6D"/>
    <w:rsid w:val="4EBC4D27"/>
    <w:rsid w:val="4ED3121C"/>
    <w:rsid w:val="4EDC031A"/>
    <w:rsid w:val="4EF56A8F"/>
    <w:rsid w:val="4F0448F4"/>
    <w:rsid w:val="4F9F514C"/>
    <w:rsid w:val="4FA3310F"/>
    <w:rsid w:val="4FD50B66"/>
    <w:rsid w:val="4FE41EB1"/>
    <w:rsid w:val="4FF3560C"/>
    <w:rsid w:val="500A2019"/>
    <w:rsid w:val="500C2981"/>
    <w:rsid w:val="502A10FD"/>
    <w:rsid w:val="50D337E9"/>
    <w:rsid w:val="511D0E02"/>
    <w:rsid w:val="51725FF4"/>
    <w:rsid w:val="51846CF3"/>
    <w:rsid w:val="51940D0E"/>
    <w:rsid w:val="51BC7459"/>
    <w:rsid w:val="51F223E7"/>
    <w:rsid w:val="521A2EDD"/>
    <w:rsid w:val="525D6962"/>
    <w:rsid w:val="52B60CA8"/>
    <w:rsid w:val="530F186B"/>
    <w:rsid w:val="5349492B"/>
    <w:rsid w:val="53513ED7"/>
    <w:rsid w:val="537B0887"/>
    <w:rsid w:val="538D73D2"/>
    <w:rsid w:val="53C14D6F"/>
    <w:rsid w:val="53C74C41"/>
    <w:rsid w:val="53DB66D6"/>
    <w:rsid w:val="541F2591"/>
    <w:rsid w:val="54214814"/>
    <w:rsid w:val="546E57E8"/>
    <w:rsid w:val="54B534BC"/>
    <w:rsid w:val="54F72CAF"/>
    <w:rsid w:val="55276463"/>
    <w:rsid w:val="557D7174"/>
    <w:rsid w:val="55830C82"/>
    <w:rsid w:val="55F70124"/>
    <w:rsid w:val="56326503"/>
    <w:rsid w:val="569C1A91"/>
    <w:rsid w:val="56BA409A"/>
    <w:rsid w:val="56E22D67"/>
    <w:rsid w:val="572062E1"/>
    <w:rsid w:val="57255849"/>
    <w:rsid w:val="57B8489D"/>
    <w:rsid w:val="583B3851"/>
    <w:rsid w:val="58A957A1"/>
    <w:rsid w:val="58DA7EEA"/>
    <w:rsid w:val="590F1EF4"/>
    <w:rsid w:val="595F33B1"/>
    <w:rsid w:val="59A461A5"/>
    <w:rsid w:val="59C27C17"/>
    <w:rsid w:val="59CC3858"/>
    <w:rsid w:val="59F64778"/>
    <w:rsid w:val="5A3A375E"/>
    <w:rsid w:val="5A7F3AB5"/>
    <w:rsid w:val="5A83416A"/>
    <w:rsid w:val="5A851CC1"/>
    <w:rsid w:val="5AA4368F"/>
    <w:rsid w:val="5AF76DF4"/>
    <w:rsid w:val="5AF93B6B"/>
    <w:rsid w:val="5B1D265B"/>
    <w:rsid w:val="5B9F0644"/>
    <w:rsid w:val="5BBA58A9"/>
    <w:rsid w:val="5BFB52F1"/>
    <w:rsid w:val="5C4111AA"/>
    <w:rsid w:val="5C8E3A07"/>
    <w:rsid w:val="5C921C6F"/>
    <w:rsid w:val="5C9F31B5"/>
    <w:rsid w:val="5CCA4EFE"/>
    <w:rsid w:val="5CDD7962"/>
    <w:rsid w:val="5CEC125B"/>
    <w:rsid w:val="5D074947"/>
    <w:rsid w:val="5D7E5CB2"/>
    <w:rsid w:val="5D877226"/>
    <w:rsid w:val="5DAC3CE3"/>
    <w:rsid w:val="5DB85B5A"/>
    <w:rsid w:val="5DE93139"/>
    <w:rsid w:val="5E0A5AE3"/>
    <w:rsid w:val="5E467CD7"/>
    <w:rsid w:val="5E7B1688"/>
    <w:rsid w:val="5EC045F3"/>
    <w:rsid w:val="5EC54C25"/>
    <w:rsid w:val="5F753B6F"/>
    <w:rsid w:val="5F9529FF"/>
    <w:rsid w:val="5FC436F3"/>
    <w:rsid w:val="60157323"/>
    <w:rsid w:val="60576219"/>
    <w:rsid w:val="60D24DF0"/>
    <w:rsid w:val="60D60CB8"/>
    <w:rsid w:val="61586A66"/>
    <w:rsid w:val="61594301"/>
    <w:rsid w:val="61BA2FA9"/>
    <w:rsid w:val="61FE3933"/>
    <w:rsid w:val="627143D0"/>
    <w:rsid w:val="627F18E6"/>
    <w:rsid w:val="62A12700"/>
    <w:rsid w:val="63254056"/>
    <w:rsid w:val="63B11655"/>
    <w:rsid w:val="63CD139E"/>
    <w:rsid w:val="640D71D9"/>
    <w:rsid w:val="640F5C44"/>
    <w:rsid w:val="641B6C1D"/>
    <w:rsid w:val="6435745E"/>
    <w:rsid w:val="651806C7"/>
    <w:rsid w:val="659E08F0"/>
    <w:rsid w:val="65E37771"/>
    <w:rsid w:val="65FF7451"/>
    <w:rsid w:val="6640233F"/>
    <w:rsid w:val="66976AB8"/>
    <w:rsid w:val="66B31457"/>
    <w:rsid w:val="670169AD"/>
    <w:rsid w:val="67021B53"/>
    <w:rsid w:val="67583D78"/>
    <w:rsid w:val="67A10204"/>
    <w:rsid w:val="67FE7257"/>
    <w:rsid w:val="684316C3"/>
    <w:rsid w:val="68532957"/>
    <w:rsid w:val="685655F3"/>
    <w:rsid w:val="685B615F"/>
    <w:rsid w:val="68DD3AE7"/>
    <w:rsid w:val="6957144F"/>
    <w:rsid w:val="6959507C"/>
    <w:rsid w:val="695C5E52"/>
    <w:rsid w:val="696A1E06"/>
    <w:rsid w:val="698308CD"/>
    <w:rsid w:val="69957ED4"/>
    <w:rsid w:val="699F339D"/>
    <w:rsid w:val="69A708AF"/>
    <w:rsid w:val="6A782E59"/>
    <w:rsid w:val="6AA96239"/>
    <w:rsid w:val="6AB63580"/>
    <w:rsid w:val="6B435B20"/>
    <w:rsid w:val="6B536CFA"/>
    <w:rsid w:val="6B562F62"/>
    <w:rsid w:val="6B8C33C1"/>
    <w:rsid w:val="6C036BB3"/>
    <w:rsid w:val="6C5E3800"/>
    <w:rsid w:val="6C637823"/>
    <w:rsid w:val="6C8040F3"/>
    <w:rsid w:val="6CFF13C7"/>
    <w:rsid w:val="6D0066D5"/>
    <w:rsid w:val="6D011335"/>
    <w:rsid w:val="6D130D6D"/>
    <w:rsid w:val="6D495F71"/>
    <w:rsid w:val="6DE940EA"/>
    <w:rsid w:val="6E4A1735"/>
    <w:rsid w:val="6E786426"/>
    <w:rsid w:val="6EAB3975"/>
    <w:rsid w:val="6EC67B69"/>
    <w:rsid w:val="6EF65E5D"/>
    <w:rsid w:val="6F5E13CC"/>
    <w:rsid w:val="6F6324B5"/>
    <w:rsid w:val="6F690801"/>
    <w:rsid w:val="6F8009E9"/>
    <w:rsid w:val="6FB872BB"/>
    <w:rsid w:val="6FBB77A6"/>
    <w:rsid w:val="70A248F8"/>
    <w:rsid w:val="71240E1C"/>
    <w:rsid w:val="713652FF"/>
    <w:rsid w:val="71CA7136"/>
    <w:rsid w:val="71F728B6"/>
    <w:rsid w:val="72263617"/>
    <w:rsid w:val="72337D19"/>
    <w:rsid w:val="72455033"/>
    <w:rsid w:val="724645C6"/>
    <w:rsid w:val="72562322"/>
    <w:rsid w:val="725A2444"/>
    <w:rsid w:val="73C03F52"/>
    <w:rsid w:val="73F66C66"/>
    <w:rsid w:val="74111B71"/>
    <w:rsid w:val="749D0501"/>
    <w:rsid w:val="74C3250F"/>
    <w:rsid w:val="74C65E93"/>
    <w:rsid w:val="74CE1173"/>
    <w:rsid w:val="74F56012"/>
    <w:rsid w:val="75090CA9"/>
    <w:rsid w:val="752A6C73"/>
    <w:rsid w:val="75442A9A"/>
    <w:rsid w:val="75635C34"/>
    <w:rsid w:val="757A76E3"/>
    <w:rsid w:val="757B7F3C"/>
    <w:rsid w:val="75A97285"/>
    <w:rsid w:val="75AF069F"/>
    <w:rsid w:val="75B907D3"/>
    <w:rsid w:val="762750DA"/>
    <w:rsid w:val="762B71EB"/>
    <w:rsid w:val="7640716A"/>
    <w:rsid w:val="766916F1"/>
    <w:rsid w:val="767B680C"/>
    <w:rsid w:val="767C50CE"/>
    <w:rsid w:val="7681705B"/>
    <w:rsid w:val="76B43A24"/>
    <w:rsid w:val="772A7571"/>
    <w:rsid w:val="77306D95"/>
    <w:rsid w:val="782468AB"/>
    <w:rsid w:val="782853E1"/>
    <w:rsid w:val="789206AF"/>
    <w:rsid w:val="791677D6"/>
    <w:rsid w:val="792D4A81"/>
    <w:rsid w:val="794A6D84"/>
    <w:rsid w:val="79AC560E"/>
    <w:rsid w:val="79B24DFB"/>
    <w:rsid w:val="79E02738"/>
    <w:rsid w:val="79E2370F"/>
    <w:rsid w:val="79EA7204"/>
    <w:rsid w:val="79FB56D5"/>
    <w:rsid w:val="7A06571B"/>
    <w:rsid w:val="7A34506E"/>
    <w:rsid w:val="7A540837"/>
    <w:rsid w:val="7A7374FF"/>
    <w:rsid w:val="7A933FD1"/>
    <w:rsid w:val="7ACC355C"/>
    <w:rsid w:val="7AD241A1"/>
    <w:rsid w:val="7AE123E1"/>
    <w:rsid w:val="7AEF2C3E"/>
    <w:rsid w:val="7AFE6AB6"/>
    <w:rsid w:val="7BB74E0E"/>
    <w:rsid w:val="7BC11C3E"/>
    <w:rsid w:val="7BC8735D"/>
    <w:rsid w:val="7BD55F21"/>
    <w:rsid w:val="7CB577F2"/>
    <w:rsid w:val="7DA475AA"/>
    <w:rsid w:val="7DF95094"/>
    <w:rsid w:val="7DFA631C"/>
    <w:rsid w:val="7E5661BF"/>
    <w:rsid w:val="7E754829"/>
    <w:rsid w:val="7EB56E39"/>
    <w:rsid w:val="7F197B07"/>
    <w:rsid w:val="7F2F2E35"/>
    <w:rsid w:val="7F7A2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autoRedefine/>
    <w:qFormat/>
    <w:uiPriority w:val="0"/>
    <w:pPr>
      <w:keepNext/>
      <w:keepLines/>
      <w:pageBreakBefore/>
      <w:spacing w:before="156" w:beforeLines="50" w:after="156" w:afterLines="50" w:line="600" w:lineRule="exact"/>
      <w:ind w:firstLine="0" w:firstLineChars="0"/>
      <w:jc w:val="center"/>
      <w:outlineLvl w:val="0"/>
    </w:pPr>
    <w:rPr>
      <w:rFonts w:ascii="黑体" w:hAnsi="Calibri" w:eastAsia="黑体"/>
      <w:bCs/>
      <w:kern w:val="44"/>
      <w:sz w:val="32"/>
      <w:szCs w:val="44"/>
    </w:rPr>
  </w:style>
  <w:style w:type="paragraph" w:styleId="4">
    <w:name w:val="heading 2"/>
    <w:basedOn w:val="1"/>
    <w:next w:val="1"/>
    <w:autoRedefine/>
    <w:qFormat/>
    <w:uiPriority w:val="0"/>
    <w:pPr>
      <w:keepNext/>
      <w:keepLines/>
      <w:spacing w:before="156" w:beforeLines="50" w:after="156" w:afterLines="50" w:line="600" w:lineRule="exact"/>
      <w:ind w:firstLine="0" w:firstLineChars="0"/>
      <w:jc w:val="center"/>
      <w:outlineLvl w:val="1"/>
    </w:pPr>
    <w:rPr>
      <w:rFonts w:ascii="宋体" w:hAnsi="宋体"/>
      <w:b/>
      <w:bCs/>
      <w:color w:val="000000"/>
      <w:sz w:val="32"/>
      <w:szCs w:val="30"/>
    </w:rPr>
  </w:style>
  <w:style w:type="character" w:default="1" w:styleId="13">
    <w:name w:val="Default Paragraph Font"/>
    <w:autoRedefine/>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Body Text Indent"/>
    <w:basedOn w:val="1"/>
    <w:qFormat/>
    <w:uiPriority w:val="99"/>
    <w:pPr>
      <w:spacing w:after="120"/>
      <w:ind w:left="420" w:leftChars="200"/>
    </w:pPr>
  </w:style>
  <w:style w:type="paragraph" w:styleId="6">
    <w:name w:val="Plain Text"/>
    <w:basedOn w:val="1"/>
    <w:autoRedefine/>
    <w:unhideWhenUsed/>
    <w:qFormat/>
    <w:uiPriority w:val="0"/>
    <w:rPr>
      <w:rFonts w:ascii="宋体" w:hAnsi="Courier New"/>
      <w:sz w:val="21"/>
    </w:rPr>
  </w:style>
  <w:style w:type="paragraph" w:styleId="7">
    <w:name w:val="footer"/>
    <w:basedOn w:val="1"/>
    <w:link w:val="23"/>
    <w:unhideWhenUsed/>
    <w:qFormat/>
    <w:uiPriority w:val="99"/>
    <w:pPr>
      <w:tabs>
        <w:tab w:val="center" w:pos="4153"/>
        <w:tab w:val="right" w:pos="8306"/>
      </w:tabs>
      <w:jc w:val="left"/>
    </w:pPr>
    <w:rPr>
      <w:rFonts w:ascii="Calibri" w:hAnsi="Calibri"/>
      <w:kern w:val="0"/>
      <w:sz w:val="18"/>
      <w:szCs w:val="18"/>
    </w:rPr>
  </w:style>
  <w:style w:type="paragraph" w:styleId="8">
    <w:name w:val="header"/>
    <w:basedOn w:val="1"/>
    <w:unhideWhenUsed/>
    <w:qFormat/>
    <w:uiPriority w:val="0"/>
    <w:pPr>
      <w:tabs>
        <w:tab w:val="center" w:pos="4153"/>
        <w:tab w:val="right" w:pos="8306"/>
      </w:tabs>
      <w:jc w:val="center"/>
    </w:pPr>
    <w:rPr>
      <w:rFonts w:ascii="Calibri" w:hAnsi="Calibri"/>
      <w:sz w:val="18"/>
      <w:szCs w:val="18"/>
    </w:rPr>
  </w:style>
  <w:style w:type="paragraph" w:styleId="9">
    <w:name w:val="toc 1"/>
    <w:basedOn w:val="1"/>
    <w:next w:val="1"/>
    <w:autoRedefine/>
    <w:qFormat/>
    <w:uiPriority w:val="39"/>
    <w:pPr>
      <w:adjustRightInd/>
      <w:snapToGrid/>
      <w:spacing w:before="120" w:after="120" w:line="240" w:lineRule="auto"/>
      <w:ind w:firstLine="0" w:firstLineChars="0"/>
      <w:jc w:val="left"/>
    </w:pPr>
    <w:rPr>
      <w:b/>
      <w:bCs/>
      <w:caps/>
    </w:rPr>
  </w:style>
  <w:style w:type="paragraph" w:styleId="10">
    <w:name w:val="toc 2"/>
    <w:basedOn w:val="1"/>
    <w:next w:val="1"/>
    <w:qFormat/>
    <w:uiPriority w:val="39"/>
    <w:pPr>
      <w:adjustRightInd/>
      <w:snapToGrid/>
      <w:spacing w:line="240" w:lineRule="auto"/>
      <w:ind w:left="301" w:firstLine="0" w:firstLineChars="0"/>
      <w:jc w:val="left"/>
    </w:pPr>
    <w:rPr>
      <w:smallCaps/>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_正文格式"/>
    <w:basedOn w:val="1"/>
    <w:qFormat/>
    <w:uiPriority w:val="0"/>
    <w:pPr>
      <w:adjustRightInd/>
      <w:snapToGrid/>
      <w:spacing w:line="560" w:lineRule="exact"/>
    </w:pPr>
    <w:rPr>
      <w:rFonts w:ascii="Calibri" w:hAnsi="Calibri" w:eastAsia="仿宋_GB2312"/>
      <w:sz w:val="28"/>
      <w:szCs w:val="24"/>
    </w:rPr>
  </w:style>
  <w:style w:type="character" w:customStyle="1" w:styleId="16">
    <w:name w:val="表头 Char Char"/>
    <w:autoRedefine/>
    <w:qFormat/>
    <w:uiPriority w:val="0"/>
    <w:rPr>
      <w:rFonts w:ascii="黑体" w:hAnsi="Calibri" w:eastAsia="黑体"/>
      <w:kern w:val="0"/>
    </w:rPr>
  </w:style>
  <w:style w:type="paragraph" w:customStyle="1" w:styleId="17">
    <w:name w:val="表头"/>
    <w:basedOn w:val="1"/>
    <w:link w:val="21"/>
    <w:autoRedefine/>
    <w:qFormat/>
    <w:uiPriority w:val="0"/>
    <w:pPr>
      <w:adjustRightInd/>
      <w:snapToGrid/>
      <w:ind w:firstLine="0" w:firstLineChars="0"/>
      <w:jc w:val="center"/>
    </w:pPr>
    <w:rPr>
      <w:rFonts w:ascii="黑体" w:hAnsi="Calibri" w:eastAsia="黑体"/>
      <w:kern w:val="0"/>
    </w:rPr>
  </w:style>
  <w:style w:type="paragraph" w:customStyle="1" w:styleId="18">
    <w:name w:val="p0"/>
    <w:basedOn w:val="1"/>
    <w:qFormat/>
    <w:uiPriority w:val="0"/>
    <w:pPr>
      <w:widowControl/>
      <w:adjustRightInd/>
      <w:snapToGrid/>
      <w:spacing w:line="240" w:lineRule="auto"/>
      <w:ind w:firstLine="0" w:firstLineChars="0"/>
    </w:pPr>
    <w:rPr>
      <w:kern w:val="0"/>
      <w:sz w:val="21"/>
      <w:szCs w:val="21"/>
    </w:rPr>
  </w:style>
  <w:style w:type="character" w:customStyle="1" w:styleId="19">
    <w:name w:val="font41"/>
    <w:autoRedefine/>
    <w:qFormat/>
    <w:uiPriority w:val="0"/>
    <w:rPr>
      <w:rFonts w:hint="eastAsia" w:ascii="宋体" w:hAnsi="宋体" w:eastAsia="宋体" w:cs="宋体"/>
      <w:color w:val="000000"/>
      <w:sz w:val="21"/>
      <w:szCs w:val="21"/>
      <w:u w:val="none"/>
    </w:rPr>
  </w:style>
  <w:style w:type="character" w:customStyle="1" w:styleId="20">
    <w:name w:val="font71"/>
    <w:autoRedefine/>
    <w:qFormat/>
    <w:uiPriority w:val="0"/>
    <w:rPr>
      <w:rFonts w:hint="eastAsia" w:ascii="Times New Roman" w:hAnsi="Times New Roman" w:cs="Times New Roman"/>
      <w:color w:val="000000"/>
      <w:sz w:val="21"/>
      <w:szCs w:val="21"/>
      <w:u w:val="none"/>
    </w:rPr>
  </w:style>
  <w:style w:type="character" w:customStyle="1" w:styleId="21">
    <w:name w:val="表头 Char"/>
    <w:link w:val="17"/>
    <w:autoRedefine/>
    <w:qFormat/>
    <w:uiPriority w:val="0"/>
    <w:rPr>
      <w:rFonts w:eastAsia="黑体"/>
      <w:sz w:val="24"/>
      <w:lang w:bidi="ar-SA"/>
    </w:rPr>
  </w:style>
  <w:style w:type="paragraph" w:styleId="22">
    <w:name w:val="List Paragraph"/>
    <w:basedOn w:val="1"/>
    <w:autoRedefine/>
    <w:qFormat/>
    <w:uiPriority w:val="0"/>
    <w:pPr>
      <w:ind w:firstLine="420"/>
    </w:pPr>
  </w:style>
  <w:style w:type="character" w:customStyle="1" w:styleId="23">
    <w:name w:val="页脚 字符"/>
    <w:basedOn w:val="13"/>
    <w:link w:val="7"/>
    <w:autoRedefine/>
    <w:qFormat/>
    <w:uiPriority w:val="99"/>
    <w:rPr>
      <w:rFonts w:ascii="Calibri" w:hAnsi="Calibri"/>
      <w:sz w:val="18"/>
      <w:szCs w:val="18"/>
    </w:rPr>
  </w:style>
  <w:style w:type="character" w:customStyle="1" w:styleId="24">
    <w:name w:val="font01"/>
    <w:basedOn w:val="13"/>
    <w:autoRedefine/>
    <w:qFormat/>
    <w:uiPriority w:val="0"/>
    <w:rPr>
      <w:rFonts w:hint="default" w:ascii="Times New Roman" w:hAnsi="Times New Roman" w:cs="Times New Roman"/>
      <w:color w:val="000000"/>
      <w:sz w:val="20"/>
      <w:szCs w:val="20"/>
      <w:u w:val="none"/>
    </w:rPr>
  </w:style>
  <w:style w:type="character" w:customStyle="1" w:styleId="25">
    <w:name w:val="font31"/>
    <w:basedOn w:val="13"/>
    <w:autoRedefine/>
    <w:qFormat/>
    <w:uiPriority w:val="0"/>
    <w:rPr>
      <w:rFonts w:hint="default" w:ascii="Times New Roman" w:hAnsi="Times New Roman" w:cs="Times New Roman"/>
      <w:color w:val="000000"/>
      <w:sz w:val="21"/>
      <w:szCs w:val="21"/>
      <w:u w:val="none"/>
      <w:vertAlign w:val="superscript"/>
    </w:rPr>
  </w:style>
  <w:style w:type="character" w:customStyle="1" w:styleId="26">
    <w:name w:val="font11"/>
    <w:basedOn w:val="13"/>
    <w:autoRedefine/>
    <w:qFormat/>
    <w:uiPriority w:val="0"/>
    <w:rPr>
      <w:rFonts w:hint="default" w:ascii="Times New Roman" w:hAnsi="Times New Roman" w:cs="Times New Roman"/>
      <w:color w:val="000000"/>
      <w:sz w:val="21"/>
      <w:szCs w:val="21"/>
      <w:u w:val="none"/>
    </w:rPr>
  </w:style>
  <w:style w:type="character" w:customStyle="1" w:styleId="27">
    <w:name w:val="font21"/>
    <w:basedOn w:val="13"/>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D0012-4780-4DA1-BEF1-101651F367FE}">
  <ds:schemaRefs/>
</ds:datastoreItem>
</file>

<file path=docProps/app.xml><?xml version="1.0" encoding="utf-8"?>
<Properties xmlns="http://schemas.openxmlformats.org/officeDocument/2006/extended-properties" xmlns:vt="http://schemas.openxmlformats.org/officeDocument/2006/docPropsVTypes">
  <Template>Normal</Template>
  <Pages>23</Pages>
  <Words>5884</Words>
  <Characters>8089</Characters>
  <Lines>254</Lines>
  <Paragraphs>71</Paragraphs>
  <TotalTime>10</TotalTime>
  <ScaleCrop>false</ScaleCrop>
  <LinksUpToDate>false</LinksUpToDate>
  <CharactersWithSpaces>8522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2020-03-31T08:54:00Z</dcterms:created>
  <dc:creator>Administrator</dc:creator>
  <cp:lastModifiedBy>RedKui</cp:lastModifiedBy>
  <dcterms:modified xsi:type="dcterms:W3CDTF">2024-03-11T01:07:12Z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FE872713F6C543DC9E730A71391A7761_13</vt:lpwstr>
  </property>
</Properties>
</file>