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sz w:val="44"/>
          <w:szCs w:val="44"/>
        </w:rPr>
      </w:pPr>
      <w:bookmarkStart w:id="0" w:name="_Toc317067920"/>
      <w:bookmarkStart w:id="1" w:name="_Toc317067894"/>
      <w:bookmarkStart w:id="36" w:name="_GoBack"/>
      <w:bookmarkEnd w:id="36"/>
    </w:p>
    <w:p>
      <w:pPr>
        <w:spacing w:line="360" w:lineRule="auto"/>
        <w:jc w:val="center"/>
        <w:rPr>
          <w:rFonts w:hint="eastAsia"/>
          <w:sz w:val="44"/>
          <w:szCs w:val="44"/>
        </w:rPr>
      </w:pPr>
    </w:p>
    <w:p>
      <w:pPr>
        <w:spacing w:line="360" w:lineRule="auto"/>
        <w:jc w:val="center"/>
        <w:rPr>
          <w:rFonts w:hint="eastAsia"/>
          <w:sz w:val="44"/>
          <w:szCs w:val="44"/>
        </w:rPr>
      </w:pPr>
      <w:r>
        <w:rPr>
          <w:rFonts w:hint="eastAsia"/>
          <w:sz w:val="44"/>
          <w:szCs w:val="44"/>
        </w:rPr>
        <w:t>宁城县宝石山矿业有限公司</w:t>
      </w:r>
    </w:p>
    <w:p>
      <w:pPr>
        <w:spacing w:line="360" w:lineRule="auto"/>
        <w:jc w:val="center"/>
        <w:rPr>
          <w:sz w:val="44"/>
          <w:szCs w:val="44"/>
        </w:rPr>
      </w:pPr>
      <w:r>
        <w:rPr>
          <w:sz w:val="44"/>
          <w:szCs w:val="44"/>
        </w:rPr>
        <w:t>龙宝山高岭土矿</w:t>
      </w:r>
    </w:p>
    <w:p>
      <w:pPr>
        <w:spacing w:line="360" w:lineRule="auto"/>
        <w:jc w:val="center"/>
        <w:rPr>
          <w:rFonts w:ascii="宋体" w:hAnsi="宋体"/>
          <w:sz w:val="44"/>
          <w:szCs w:val="44"/>
        </w:rPr>
      </w:pPr>
      <w:r>
        <w:rPr>
          <w:rFonts w:ascii="宋体" w:hAnsi="宋体"/>
          <w:sz w:val="44"/>
          <w:szCs w:val="44"/>
        </w:rPr>
        <w:t>20</w:t>
      </w:r>
      <w:r>
        <w:rPr>
          <w:rFonts w:hint="eastAsia" w:ascii="宋体" w:hAnsi="宋体"/>
          <w:sz w:val="44"/>
          <w:szCs w:val="44"/>
        </w:rPr>
        <w:t>2</w:t>
      </w:r>
      <w:r>
        <w:rPr>
          <w:rFonts w:hint="eastAsia" w:ascii="宋体" w:hAnsi="宋体"/>
          <w:sz w:val="44"/>
          <w:szCs w:val="44"/>
          <w:lang w:val="en-US" w:eastAsia="zh-CN"/>
        </w:rPr>
        <w:t>4</w:t>
      </w:r>
      <w:r>
        <w:rPr>
          <w:rFonts w:ascii="宋体" w:hAnsi="宋体"/>
          <w:sz w:val="44"/>
          <w:szCs w:val="44"/>
        </w:rPr>
        <w:t>年度矿山地质环境治理计划书</w:t>
      </w:r>
    </w:p>
    <w:p>
      <w:pPr>
        <w:autoSpaceDE w:val="0"/>
        <w:autoSpaceDN w:val="0"/>
        <w:adjustRightInd w:val="0"/>
        <w:spacing w:line="360" w:lineRule="auto"/>
        <w:rPr>
          <w:rFonts w:hint="eastAsia" w:eastAsia="黑体"/>
          <w:bCs/>
          <w:sz w:val="24"/>
          <w:lang w:val="zh-CN"/>
        </w:rPr>
      </w:pPr>
    </w:p>
    <w:p>
      <w:pPr>
        <w:autoSpaceDE w:val="0"/>
        <w:autoSpaceDN w:val="0"/>
        <w:adjustRightInd w:val="0"/>
        <w:spacing w:line="360" w:lineRule="auto"/>
        <w:rPr>
          <w:rFonts w:eastAsia="黑体"/>
          <w:bCs/>
          <w:sz w:val="24"/>
          <w:lang w:val="zh-CN"/>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
    <w:p/>
    <w:p/>
    <w:p/>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pacing w:line="360" w:lineRule="auto"/>
        <w:jc w:val="center"/>
        <w:rPr>
          <w:sz w:val="32"/>
          <w:szCs w:val="32"/>
        </w:rPr>
      </w:pPr>
      <w:r>
        <w:rPr>
          <w:rFonts w:hint="eastAsia"/>
          <w:sz w:val="32"/>
          <w:szCs w:val="32"/>
        </w:rPr>
        <w:t>宁城县宝石山矿业有限公司</w:t>
      </w:r>
    </w:p>
    <w:p>
      <w:pPr>
        <w:widowControl/>
        <w:spacing w:line="360" w:lineRule="auto"/>
        <w:ind w:firstLine="3600" w:firstLineChars="1200"/>
        <w:jc w:val="left"/>
        <w:rPr>
          <w:sz w:val="30"/>
          <w:szCs w:val="30"/>
        </w:rPr>
      </w:pPr>
      <w:r>
        <w:rPr>
          <w:sz w:val="30"/>
          <w:szCs w:val="30"/>
        </w:rPr>
        <w:t>202</w:t>
      </w:r>
      <w:r>
        <w:rPr>
          <w:rFonts w:hint="eastAsia"/>
          <w:sz w:val="30"/>
          <w:szCs w:val="30"/>
          <w:lang w:val="en-US" w:eastAsia="zh-CN"/>
        </w:rPr>
        <w:t>4</w:t>
      </w:r>
      <w:r>
        <w:rPr>
          <w:sz w:val="30"/>
          <w:szCs w:val="30"/>
        </w:rPr>
        <w:t>年</w:t>
      </w:r>
      <w:r>
        <w:rPr>
          <w:rFonts w:hint="eastAsia"/>
          <w:sz w:val="30"/>
          <w:szCs w:val="30"/>
          <w:lang w:val="en-US" w:eastAsia="zh-CN"/>
        </w:rPr>
        <w:t>3</w:t>
      </w:r>
      <w:r>
        <w:rPr>
          <w:sz w:val="30"/>
          <w:szCs w:val="30"/>
        </w:rPr>
        <w:t>月</w:t>
      </w:r>
    </w:p>
    <w:p>
      <w:pPr>
        <w:rPr>
          <w:rFonts w:hint="eastAsia"/>
        </w:rPr>
      </w:pPr>
    </w:p>
    <w:p>
      <w:pPr>
        <w:rPr>
          <w:rFonts w:hint="eastAsia"/>
        </w:rPr>
      </w:pPr>
    </w:p>
    <w:p>
      <w:pPr>
        <w:rPr>
          <w:rFonts w:hint="eastAsia"/>
        </w:rPr>
      </w:pPr>
    </w:p>
    <w:p>
      <w:pPr>
        <w:pStyle w:val="54"/>
        <w:jc w:val="center"/>
        <w:rPr>
          <w:color w:val="auto"/>
        </w:rPr>
      </w:pPr>
      <w:r>
        <w:rPr>
          <w:color w:val="auto"/>
          <w:lang w:val="zh-CN"/>
        </w:rPr>
        <w:t>目</w:t>
      </w:r>
      <w:r>
        <w:rPr>
          <w:rFonts w:hint="eastAsia"/>
          <w:color w:val="auto"/>
          <w:lang w:val="zh-CN"/>
        </w:rPr>
        <w:t xml:space="preserve">   </w:t>
      </w:r>
      <w:r>
        <w:rPr>
          <w:color w:val="auto"/>
          <w:lang w:val="zh-CN"/>
        </w:rPr>
        <w:t>录</w:t>
      </w:r>
    </w:p>
    <w:p>
      <w:pPr>
        <w:pStyle w:val="18"/>
        <w:tabs>
          <w:tab w:val="right" w:leader="dot" w:pos="9054"/>
        </w:tabs>
        <w:rPr>
          <w:rFonts w:ascii="等线" w:hAnsi="等线" w:eastAsia="等线" w:cs="Times New Roman"/>
          <w:b w:val="0"/>
          <w:bCs w:val="0"/>
          <w:caps w:val="0"/>
          <w:sz w:val="21"/>
          <w:szCs w:val="22"/>
          <w:lang/>
        </w:rPr>
      </w:pPr>
      <w:r>
        <w:rPr>
          <w:rFonts w:ascii="宋体" w:hAnsi="宋体"/>
          <w:b w:val="0"/>
          <w:bCs w:val="0"/>
          <w:caps w:val="0"/>
          <w:sz w:val="28"/>
          <w:szCs w:val="28"/>
        </w:rPr>
        <w:fldChar w:fldCharType="begin"/>
      </w:r>
      <w:r>
        <w:rPr>
          <w:rFonts w:ascii="宋体" w:hAnsi="宋体"/>
          <w:b w:val="0"/>
          <w:bCs w:val="0"/>
          <w:caps w:val="0"/>
          <w:sz w:val="28"/>
          <w:szCs w:val="28"/>
        </w:rPr>
        <w:instrText xml:space="preserve"> TOC \o "1-3" \h \z \u </w:instrText>
      </w:r>
      <w:r>
        <w:rPr>
          <w:rFonts w:ascii="宋体" w:hAnsi="宋体"/>
          <w:b w:val="0"/>
          <w:bCs w:val="0"/>
          <w:caps w:val="0"/>
          <w:sz w:val="28"/>
          <w:szCs w:val="28"/>
        </w:rPr>
        <w:fldChar w:fldCharType="separate"/>
      </w:r>
      <w:r>
        <w:rPr>
          <w:rStyle w:val="28"/>
          <w:color w:val="auto"/>
          <w:lang/>
        </w:rPr>
        <w:fldChar w:fldCharType="begin"/>
      </w:r>
      <w:r>
        <w:rPr>
          <w:rStyle w:val="28"/>
          <w:color w:val="auto"/>
          <w:lang/>
        </w:rPr>
        <w:instrText xml:space="preserve"> </w:instrText>
      </w:r>
      <w:r>
        <w:rPr>
          <w:lang/>
        </w:rPr>
        <w:instrText xml:space="preserve">HYPERLINK \l "_Toc148251060"</w:instrText>
      </w:r>
      <w:r>
        <w:rPr>
          <w:rStyle w:val="28"/>
          <w:color w:val="auto"/>
          <w:lang/>
        </w:rPr>
        <w:instrText xml:space="preserve"> </w:instrText>
      </w:r>
      <w:r>
        <w:rPr>
          <w:rStyle w:val="28"/>
          <w:color w:val="auto"/>
          <w:lang/>
        </w:rPr>
        <w:fldChar w:fldCharType="separate"/>
      </w:r>
      <w:r>
        <w:rPr>
          <w:rStyle w:val="28"/>
          <w:rFonts w:ascii="宋体" w:hAnsi="宋体"/>
          <w:color w:val="auto"/>
          <w:lang/>
        </w:rPr>
        <w:t>一、矿山基本情况</w:t>
      </w:r>
      <w:r>
        <w:rPr>
          <w:lang/>
        </w:rPr>
        <w:tab/>
      </w:r>
      <w:r>
        <w:rPr>
          <w:lang/>
        </w:rPr>
        <w:fldChar w:fldCharType="begin"/>
      </w:r>
      <w:r>
        <w:rPr>
          <w:lang/>
        </w:rPr>
        <w:instrText xml:space="preserve"> PAGEREF _Toc148251060 \h </w:instrText>
      </w:r>
      <w:r>
        <w:rPr>
          <w:lang/>
        </w:rPr>
        <w:fldChar w:fldCharType="separate"/>
      </w:r>
      <w:r>
        <w:rPr>
          <w:lang/>
        </w:rPr>
        <w:t>3</w:t>
      </w:r>
      <w:r>
        <w:rPr>
          <w:lang/>
        </w:rPr>
        <w:fldChar w:fldCharType="end"/>
      </w:r>
      <w:r>
        <w:rPr>
          <w:rStyle w:val="28"/>
          <w:color w:val="auto"/>
          <w:lang/>
        </w:rPr>
        <w:fldChar w:fldCharType="end"/>
      </w:r>
    </w:p>
    <w:p>
      <w:pPr>
        <w:pStyle w:val="18"/>
        <w:tabs>
          <w:tab w:val="right" w:leader="dot" w:pos="9054"/>
        </w:tabs>
        <w:rPr>
          <w:rFonts w:ascii="等线" w:hAnsi="等线" w:eastAsia="等线" w:cs="Times New Roman"/>
          <w:b w:val="0"/>
          <w:bCs w:val="0"/>
          <w:caps w:val="0"/>
          <w:sz w:val="21"/>
          <w:szCs w:val="22"/>
          <w:lang/>
        </w:rPr>
      </w:pPr>
      <w:r>
        <w:rPr>
          <w:rStyle w:val="28"/>
          <w:color w:val="auto"/>
          <w:lang/>
        </w:rPr>
        <w:fldChar w:fldCharType="begin"/>
      </w:r>
      <w:r>
        <w:rPr>
          <w:rStyle w:val="28"/>
          <w:color w:val="auto"/>
          <w:lang/>
        </w:rPr>
        <w:instrText xml:space="preserve"> </w:instrText>
      </w:r>
      <w:r>
        <w:rPr>
          <w:lang/>
        </w:rPr>
        <w:instrText xml:space="preserve">HYPERLINK \l "_Toc148251061"</w:instrText>
      </w:r>
      <w:r>
        <w:rPr>
          <w:rStyle w:val="28"/>
          <w:color w:val="auto"/>
          <w:lang/>
        </w:rPr>
        <w:instrText xml:space="preserve"> </w:instrText>
      </w:r>
      <w:r>
        <w:rPr>
          <w:rStyle w:val="28"/>
          <w:color w:val="auto"/>
          <w:lang/>
        </w:rPr>
        <w:fldChar w:fldCharType="separate"/>
      </w:r>
      <w:r>
        <w:rPr>
          <w:rStyle w:val="28"/>
          <w:rFonts w:ascii="宋体" w:hAnsi="宋体"/>
          <w:color w:val="auto"/>
          <w:lang/>
        </w:rPr>
        <w:t>二、矿山地质环境治理的编制</w:t>
      </w:r>
      <w:r>
        <w:rPr>
          <w:lang/>
        </w:rPr>
        <w:tab/>
      </w:r>
      <w:r>
        <w:rPr>
          <w:lang/>
        </w:rPr>
        <w:fldChar w:fldCharType="begin"/>
      </w:r>
      <w:r>
        <w:rPr>
          <w:lang/>
        </w:rPr>
        <w:instrText xml:space="preserve"> PAGEREF _Toc148251061 \h </w:instrText>
      </w:r>
      <w:r>
        <w:rPr>
          <w:lang/>
        </w:rPr>
        <w:fldChar w:fldCharType="separate"/>
      </w:r>
      <w:r>
        <w:rPr>
          <w:lang/>
        </w:rPr>
        <w:t>4</w:t>
      </w:r>
      <w:r>
        <w:rPr>
          <w:lang/>
        </w:rPr>
        <w:fldChar w:fldCharType="end"/>
      </w:r>
      <w:r>
        <w:rPr>
          <w:rStyle w:val="28"/>
          <w:color w:val="auto"/>
          <w:lang/>
        </w:rPr>
        <w:fldChar w:fldCharType="end"/>
      </w:r>
    </w:p>
    <w:p>
      <w:pPr>
        <w:pStyle w:val="18"/>
        <w:tabs>
          <w:tab w:val="right" w:leader="dot" w:pos="9054"/>
        </w:tabs>
        <w:rPr>
          <w:rFonts w:ascii="等线" w:hAnsi="等线" w:eastAsia="等线" w:cs="Times New Roman"/>
          <w:b w:val="0"/>
          <w:bCs w:val="0"/>
          <w:caps w:val="0"/>
          <w:sz w:val="21"/>
          <w:szCs w:val="22"/>
          <w:lang/>
        </w:rPr>
      </w:pPr>
      <w:r>
        <w:rPr>
          <w:rStyle w:val="28"/>
          <w:color w:val="auto"/>
          <w:lang/>
        </w:rPr>
        <w:fldChar w:fldCharType="begin"/>
      </w:r>
      <w:r>
        <w:rPr>
          <w:rStyle w:val="28"/>
          <w:color w:val="auto"/>
          <w:lang/>
        </w:rPr>
        <w:instrText xml:space="preserve"> </w:instrText>
      </w:r>
      <w:r>
        <w:rPr>
          <w:lang/>
        </w:rPr>
        <w:instrText xml:space="preserve">HYPERLINK \l "_Toc148251062"</w:instrText>
      </w:r>
      <w:r>
        <w:rPr>
          <w:rStyle w:val="28"/>
          <w:color w:val="auto"/>
          <w:lang/>
        </w:rPr>
        <w:instrText xml:space="preserve"> </w:instrText>
      </w:r>
      <w:r>
        <w:rPr>
          <w:rStyle w:val="28"/>
          <w:color w:val="auto"/>
          <w:lang/>
        </w:rPr>
        <w:fldChar w:fldCharType="separate"/>
      </w:r>
      <w:r>
        <w:rPr>
          <w:rStyle w:val="28"/>
          <w:rFonts w:ascii="宋体" w:hAnsi="宋体"/>
          <w:color w:val="auto"/>
          <w:lang/>
        </w:rPr>
        <w:t>二、本年度矿山生产计划</w:t>
      </w:r>
      <w:r>
        <w:rPr>
          <w:lang/>
        </w:rPr>
        <w:tab/>
      </w:r>
      <w:r>
        <w:rPr>
          <w:lang/>
        </w:rPr>
        <w:fldChar w:fldCharType="begin"/>
      </w:r>
      <w:r>
        <w:rPr>
          <w:lang/>
        </w:rPr>
        <w:instrText xml:space="preserve"> PAGEREF _Toc148251062 \h </w:instrText>
      </w:r>
      <w:r>
        <w:rPr>
          <w:lang/>
        </w:rPr>
        <w:fldChar w:fldCharType="separate"/>
      </w:r>
      <w:r>
        <w:rPr>
          <w:lang/>
        </w:rPr>
        <w:t>9</w:t>
      </w:r>
      <w:r>
        <w:rPr>
          <w:lang/>
        </w:rPr>
        <w:fldChar w:fldCharType="end"/>
      </w:r>
      <w:r>
        <w:rPr>
          <w:rStyle w:val="28"/>
          <w:color w:val="auto"/>
          <w:lang/>
        </w:rPr>
        <w:fldChar w:fldCharType="end"/>
      </w:r>
    </w:p>
    <w:p>
      <w:pPr>
        <w:pStyle w:val="18"/>
        <w:tabs>
          <w:tab w:val="right" w:leader="dot" w:pos="9054"/>
        </w:tabs>
        <w:rPr>
          <w:rFonts w:ascii="等线" w:hAnsi="等线" w:eastAsia="等线" w:cs="Times New Roman"/>
          <w:b w:val="0"/>
          <w:bCs w:val="0"/>
          <w:caps w:val="0"/>
          <w:sz w:val="21"/>
          <w:szCs w:val="22"/>
          <w:lang/>
        </w:rPr>
      </w:pPr>
      <w:r>
        <w:rPr>
          <w:rStyle w:val="28"/>
          <w:color w:val="auto"/>
          <w:lang/>
        </w:rPr>
        <w:fldChar w:fldCharType="begin"/>
      </w:r>
      <w:r>
        <w:rPr>
          <w:rStyle w:val="28"/>
          <w:color w:val="auto"/>
          <w:lang/>
        </w:rPr>
        <w:instrText xml:space="preserve"> </w:instrText>
      </w:r>
      <w:r>
        <w:rPr>
          <w:lang/>
        </w:rPr>
        <w:instrText xml:space="preserve">HYPERLINK \l "_Toc148251063"</w:instrText>
      </w:r>
      <w:r>
        <w:rPr>
          <w:rStyle w:val="28"/>
          <w:color w:val="auto"/>
          <w:lang/>
        </w:rPr>
        <w:instrText xml:space="preserve"> </w:instrText>
      </w:r>
      <w:r>
        <w:rPr>
          <w:rStyle w:val="28"/>
          <w:color w:val="auto"/>
          <w:lang/>
        </w:rPr>
        <w:fldChar w:fldCharType="separate"/>
      </w:r>
      <w:r>
        <w:rPr>
          <w:rStyle w:val="28"/>
          <w:rFonts w:ascii="宋体" w:hAnsi="宋体"/>
          <w:color w:val="auto"/>
          <w:lang/>
        </w:rPr>
        <w:t>三、矿山地质环境问题</w:t>
      </w:r>
      <w:r>
        <w:rPr>
          <w:lang/>
        </w:rPr>
        <w:tab/>
      </w:r>
      <w:r>
        <w:rPr>
          <w:lang/>
        </w:rPr>
        <w:fldChar w:fldCharType="begin"/>
      </w:r>
      <w:r>
        <w:rPr>
          <w:lang/>
        </w:rPr>
        <w:instrText xml:space="preserve"> PAGEREF _Toc148251063 \h </w:instrText>
      </w:r>
      <w:r>
        <w:rPr>
          <w:lang/>
        </w:rPr>
        <w:fldChar w:fldCharType="separate"/>
      </w:r>
      <w:r>
        <w:rPr>
          <w:lang/>
        </w:rPr>
        <w:t>9</w:t>
      </w:r>
      <w:r>
        <w:rPr>
          <w:lang/>
        </w:rPr>
        <w:fldChar w:fldCharType="end"/>
      </w:r>
      <w:r>
        <w:rPr>
          <w:rStyle w:val="28"/>
          <w:color w:val="auto"/>
          <w:lang/>
        </w:rPr>
        <w:fldChar w:fldCharType="end"/>
      </w:r>
    </w:p>
    <w:p>
      <w:pPr>
        <w:pStyle w:val="18"/>
        <w:tabs>
          <w:tab w:val="right" w:leader="dot" w:pos="9054"/>
        </w:tabs>
        <w:rPr>
          <w:rFonts w:ascii="等线" w:hAnsi="等线" w:eastAsia="等线" w:cs="Times New Roman"/>
          <w:b w:val="0"/>
          <w:bCs w:val="0"/>
          <w:caps w:val="0"/>
          <w:sz w:val="21"/>
          <w:szCs w:val="22"/>
          <w:lang/>
        </w:rPr>
      </w:pPr>
      <w:r>
        <w:rPr>
          <w:rStyle w:val="28"/>
          <w:color w:val="auto"/>
          <w:lang/>
        </w:rPr>
        <w:fldChar w:fldCharType="begin"/>
      </w:r>
      <w:r>
        <w:rPr>
          <w:rStyle w:val="28"/>
          <w:color w:val="auto"/>
          <w:lang/>
        </w:rPr>
        <w:instrText xml:space="preserve"> </w:instrText>
      </w:r>
      <w:r>
        <w:rPr>
          <w:lang/>
        </w:rPr>
        <w:instrText xml:space="preserve">HYPERLINK \l "_Toc148251064"</w:instrText>
      </w:r>
      <w:r>
        <w:rPr>
          <w:rStyle w:val="28"/>
          <w:color w:val="auto"/>
          <w:lang/>
        </w:rPr>
        <w:instrText xml:space="preserve"> </w:instrText>
      </w:r>
      <w:r>
        <w:rPr>
          <w:rStyle w:val="28"/>
          <w:color w:val="auto"/>
          <w:lang/>
        </w:rPr>
        <w:fldChar w:fldCharType="separate"/>
      </w:r>
      <w:r>
        <w:rPr>
          <w:rStyle w:val="28"/>
          <w:rFonts w:ascii="宋体" w:hAnsi="宋体"/>
          <w:color w:val="auto"/>
          <w:lang/>
        </w:rPr>
        <w:t>三、矿山土地损毁现状</w:t>
      </w:r>
      <w:r>
        <w:rPr>
          <w:lang/>
        </w:rPr>
        <w:tab/>
      </w:r>
      <w:r>
        <w:rPr>
          <w:lang/>
        </w:rPr>
        <w:fldChar w:fldCharType="begin"/>
      </w:r>
      <w:r>
        <w:rPr>
          <w:lang/>
        </w:rPr>
        <w:instrText xml:space="preserve"> PAGEREF _Toc148251064 \h </w:instrText>
      </w:r>
      <w:r>
        <w:rPr>
          <w:lang/>
        </w:rPr>
        <w:fldChar w:fldCharType="separate"/>
      </w:r>
      <w:r>
        <w:rPr>
          <w:lang/>
        </w:rPr>
        <w:t>16</w:t>
      </w:r>
      <w:r>
        <w:rPr>
          <w:lang/>
        </w:rPr>
        <w:fldChar w:fldCharType="end"/>
      </w:r>
      <w:r>
        <w:rPr>
          <w:rStyle w:val="28"/>
          <w:color w:val="auto"/>
          <w:lang/>
        </w:rPr>
        <w:fldChar w:fldCharType="end"/>
      </w:r>
    </w:p>
    <w:p>
      <w:pPr>
        <w:pStyle w:val="11"/>
        <w:tabs>
          <w:tab w:val="right" w:leader="dot" w:pos="9054"/>
        </w:tabs>
        <w:rPr>
          <w:rFonts w:ascii="等线" w:hAnsi="等线" w:eastAsia="等线" w:cs="Times New Roman"/>
          <w:i w:val="0"/>
          <w:iCs w:val="0"/>
          <w:sz w:val="21"/>
          <w:szCs w:val="22"/>
          <w:lang/>
        </w:rPr>
      </w:pPr>
      <w:r>
        <w:rPr>
          <w:rStyle w:val="28"/>
          <w:i w:val="0"/>
          <w:color w:val="auto"/>
          <w:lang/>
        </w:rPr>
        <w:fldChar w:fldCharType="begin"/>
      </w:r>
      <w:r>
        <w:rPr>
          <w:rStyle w:val="28"/>
          <w:i w:val="0"/>
          <w:color w:val="auto"/>
          <w:lang/>
        </w:rPr>
        <w:instrText xml:space="preserve"> </w:instrText>
      </w:r>
      <w:r>
        <w:rPr>
          <w:i w:val="0"/>
          <w:lang/>
        </w:rPr>
        <w:instrText xml:space="preserve">HYPERLINK \l "_Toc148251065"</w:instrText>
      </w:r>
      <w:r>
        <w:rPr>
          <w:rStyle w:val="28"/>
          <w:i w:val="0"/>
          <w:color w:val="auto"/>
          <w:lang/>
        </w:rPr>
        <w:instrText xml:space="preserve"> </w:instrText>
      </w:r>
      <w:r>
        <w:rPr>
          <w:rStyle w:val="28"/>
          <w:i w:val="0"/>
          <w:color w:val="auto"/>
          <w:lang/>
        </w:rPr>
        <w:fldChar w:fldCharType="separate"/>
      </w:r>
      <w:r>
        <w:rPr>
          <w:rStyle w:val="28"/>
          <w:rFonts w:ascii="宋体" w:hAnsi="宋体"/>
          <w:i w:val="0"/>
          <w:color w:val="auto"/>
          <w:lang/>
        </w:rPr>
        <w:t>（二）监测设计</w:t>
      </w:r>
      <w:r>
        <w:rPr>
          <w:i w:val="0"/>
          <w:lang/>
        </w:rPr>
        <w:tab/>
      </w:r>
      <w:r>
        <w:rPr>
          <w:i w:val="0"/>
          <w:lang/>
        </w:rPr>
        <w:fldChar w:fldCharType="begin"/>
      </w:r>
      <w:r>
        <w:rPr>
          <w:i w:val="0"/>
          <w:lang/>
        </w:rPr>
        <w:instrText xml:space="preserve"> PAGEREF _Toc148251065 \h </w:instrText>
      </w:r>
      <w:r>
        <w:rPr>
          <w:i w:val="0"/>
          <w:lang/>
        </w:rPr>
        <w:fldChar w:fldCharType="separate"/>
      </w:r>
      <w:r>
        <w:rPr>
          <w:i w:val="0"/>
          <w:lang/>
        </w:rPr>
        <w:t>18</w:t>
      </w:r>
      <w:r>
        <w:rPr>
          <w:i w:val="0"/>
          <w:lang/>
        </w:rPr>
        <w:fldChar w:fldCharType="end"/>
      </w:r>
      <w:r>
        <w:rPr>
          <w:rStyle w:val="28"/>
          <w:i w:val="0"/>
          <w:color w:val="auto"/>
          <w:lang/>
        </w:rPr>
        <w:fldChar w:fldCharType="end"/>
      </w:r>
    </w:p>
    <w:p>
      <w:pPr>
        <w:pStyle w:val="18"/>
        <w:tabs>
          <w:tab w:val="right" w:leader="dot" w:pos="9054"/>
        </w:tabs>
        <w:rPr>
          <w:rFonts w:ascii="等线" w:hAnsi="等线" w:eastAsia="等线" w:cs="Times New Roman"/>
          <w:b w:val="0"/>
          <w:bCs w:val="0"/>
          <w:caps w:val="0"/>
          <w:sz w:val="21"/>
          <w:szCs w:val="22"/>
          <w:lang/>
        </w:rPr>
      </w:pPr>
      <w:r>
        <w:rPr>
          <w:rStyle w:val="28"/>
          <w:color w:val="auto"/>
          <w:lang/>
        </w:rPr>
        <w:fldChar w:fldCharType="begin"/>
      </w:r>
      <w:r>
        <w:rPr>
          <w:rStyle w:val="28"/>
          <w:color w:val="auto"/>
          <w:lang/>
        </w:rPr>
        <w:instrText xml:space="preserve"> </w:instrText>
      </w:r>
      <w:r>
        <w:rPr>
          <w:lang/>
        </w:rPr>
        <w:instrText xml:space="preserve">HYPERLINK \l "_Toc148251066"</w:instrText>
      </w:r>
      <w:r>
        <w:rPr>
          <w:rStyle w:val="28"/>
          <w:color w:val="auto"/>
          <w:lang/>
        </w:rPr>
        <w:instrText xml:space="preserve"> </w:instrText>
      </w:r>
      <w:r>
        <w:rPr>
          <w:rStyle w:val="28"/>
          <w:color w:val="auto"/>
          <w:lang/>
        </w:rPr>
        <w:fldChar w:fldCharType="separate"/>
      </w:r>
      <w:r>
        <w:rPr>
          <w:rStyle w:val="28"/>
          <w:rFonts w:ascii="宋体" w:hAnsi="宋体"/>
          <w:color w:val="auto"/>
          <w:lang/>
        </w:rPr>
        <w:t>五、本年度矿山治理计划</w:t>
      </w:r>
      <w:r>
        <w:rPr>
          <w:lang/>
        </w:rPr>
        <w:tab/>
      </w:r>
      <w:r>
        <w:rPr>
          <w:lang/>
        </w:rPr>
        <w:fldChar w:fldCharType="begin"/>
      </w:r>
      <w:r>
        <w:rPr>
          <w:lang/>
        </w:rPr>
        <w:instrText xml:space="preserve"> PAGEREF _Toc148251066 \h </w:instrText>
      </w:r>
      <w:r>
        <w:rPr>
          <w:lang/>
        </w:rPr>
        <w:fldChar w:fldCharType="separate"/>
      </w:r>
      <w:r>
        <w:rPr>
          <w:lang/>
        </w:rPr>
        <w:t>20</w:t>
      </w:r>
      <w:r>
        <w:rPr>
          <w:lang/>
        </w:rPr>
        <w:fldChar w:fldCharType="end"/>
      </w:r>
      <w:r>
        <w:rPr>
          <w:rStyle w:val="28"/>
          <w:color w:val="auto"/>
          <w:lang/>
        </w:rPr>
        <w:fldChar w:fldCharType="end"/>
      </w:r>
    </w:p>
    <w:p>
      <w:pPr>
        <w:pStyle w:val="21"/>
        <w:tabs>
          <w:tab w:val="right" w:leader="dot" w:pos="9054"/>
        </w:tabs>
        <w:rPr>
          <w:rFonts w:ascii="等线" w:hAnsi="等线" w:eastAsia="等线" w:cs="Times New Roman"/>
          <w:smallCaps w:val="0"/>
          <w:sz w:val="21"/>
          <w:szCs w:val="22"/>
          <w:lang/>
        </w:rPr>
      </w:pPr>
      <w:r>
        <w:rPr>
          <w:rStyle w:val="28"/>
          <w:color w:val="auto"/>
          <w:lang/>
        </w:rPr>
        <w:fldChar w:fldCharType="begin"/>
      </w:r>
      <w:r>
        <w:rPr>
          <w:rStyle w:val="28"/>
          <w:color w:val="auto"/>
          <w:lang/>
        </w:rPr>
        <w:instrText xml:space="preserve"> </w:instrText>
      </w:r>
      <w:r>
        <w:rPr>
          <w:lang/>
        </w:rPr>
        <w:instrText xml:space="preserve">HYPERLINK \l "_Toc148251067"</w:instrText>
      </w:r>
      <w:r>
        <w:rPr>
          <w:rStyle w:val="28"/>
          <w:color w:val="auto"/>
          <w:lang/>
        </w:rPr>
        <w:instrText xml:space="preserve"> </w:instrText>
      </w:r>
      <w:r>
        <w:rPr>
          <w:rStyle w:val="28"/>
          <w:color w:val="auto"/>
          <w:lang/>
        </w:rPr>
        <w:fldChar w:fldCharType="separate"/>
      </w:r>
      <w:r>
        <w:rPr>
          <w:rStyle w:val="28"/>
          <w:rFonts w:ascii="宋体" w:hAnsi="宋体"/>
          <w:color w:val="auto"/>
          <w:lang/>
        </w:rPr>
        <w:t>（一）主要工程内容：</w:t>
      </w:r>
      <w:r>
        <w:rPr>
          <w:lang/>
        </w:rPr>
        <w:tab/>
      </w:r>
      <w:r>
        <w:rPr>
          <w:lang/>
        </w:rPr>
        <w:fldChar w:fldCharType="begin"/>
      </w:r>
      <w:r>
        <w:rPr>
          <w:lang/>
        </w:rPr>
        <w:instrText xml:space="preserve"> PAGEREF _Toc148251067 \h </w:instrText>
      </w:r>
      <w:r>
        <w:rPr>
          <w:lang/>
        </w:rPr>
        <w:fldChar w:fldCharType="separate"/>
      </w:r>
      <w:r>
        <w:rPr>
          <w:lang/>
        </w:rPr>
        <w:t>21</w:t>
      </w:r>
      <w:r>
        <w:rPr>
          <w:lang/>
        </w:rPr>
        <w:fldChar w:fldCharType="end"/>
      </w:r>
      <w:r>
        <w:rPr>
          <w:rStyle w:val="28"/>
          <w:color w:val="auto"/>
          <w:lang/>
        </w:rPr>
        <w:fldChar w:fldCharType="end"/>
      </w:r>
    </w:p>
    <w:p>
      <w:pPr>
        <w:pStyle w:val="21"/>
        <w:tabs>
          <w:tab w:val="right" w:leader="dot" w:pos="9054"/>
        </w:tabs>
        <w:rPr>
          <w:rFonts w:ascii="等线" w:hAnsi="等线" w:eastAsia="等线" w:cs="Times New Roman"/>
          <w:smallCaps w:val="0"/>
          <w:sz w:val="21"/>
          <w:szCs w:val="22"/>
          <w:lang/>
        </w:rPr>
      </w:pPr>
      <w:r>
        <w:rPr>
          <w:rStyle w:val="28"/>
          <w:color w:val="auto"/>
          <w:lang/>
        </w:rPr>
        <w:fldChar w:fldCharType="begin"/>
      </w:r>
      <w:r>
        <w:rPr>
          <w:rStyle w:val="28"/>
          <w:color w:val="auto"/>
          <w:lang/>
        </w:rPr>
        <w:instrText xml:space="preserve"> </w:instrText>
      </w:r>
      <w:r>
        <w:rPr>
          <w:lang/>
        </w:rPr>
        <w:instrText xml:space="preserve">HYPERLINK \l "_Toc148251068"</w:instrText>
      </w:r>
      <w:r>
        <w:rPr>
          <w:rStyle w:val="28"/>
          <w:color w:val="auto"/>
          <w:lang/>
        </w:rPr>
        <w:instrText xml:space="preserve"> </w:instrText>
      </w:r>
      <w:r>
        <w:rPr>
          <w:rStyle w:val="28"/>
          <w:color w:val="auto"/>
          <w:lang/>
        </w:rPr>
        <w:fldChar w:fldCharType="separate"/>
      </w:r>
      <w:r>
        <w:rPr>
          <w:rStyle w:val="28"/>
          <w:rFonts w:ascii="宋体" w:hAnsi="宋体"/>
          <w:color w:val="auto"/>
          <w:lang/>
        </w:rPr>
        <w:t>（二）工程实施方案</w:t>
      </w:r>
      <w:r>
        <w:rPr>
          <w:lang/>
        </w:rPr>
        <w:tab/>
      </w:r>
      <w:r>
        <w:rPr>
          <w:lang/>
        </w:rPr>
        <w:fldChar w:fldCharType="begin"/>
      </w:r>
      <w:r>
        <w:rPr>
          <w:lang/>
        </w:rPr>
        <w:instrText xml:space="preserve"> PAGEREF _Toc148251068 \h </w:instrText>
      </w:r>
      <w:r>
        <w:rPr>
          <w:lang/>
        </w:rPr>
        <w:fldChar w:fldCharType="separate"/>
      </w:r>
      <w:r>
        <w:rPr>
          <w:lang/>
        </w:rPr>
        <w:t>22</w:t>
      </w:r>
      <w:r>
        <w:rPr>
          <w:lang/>
        </w:rPr>
        <w:fldChar w:fldCharType="end"/>
      </w:r>
      <w:r>
        <w:rPr>
          <w:rStyle w:val="28"/>
          <w:color w:val="auto"/>
          <w:lang/>
        </w:rPr>
        <w:fldChar w:fldCharType="end"/>
      </w:r>
    </w:p>
    <w:p>
      <w:pPr>
        <w:pStyle w:val="21"/>
        <w:tabs>
          <w:tab w:val="right" w:leader="dot" w:pos="9054"/>
        </w:tabs>
        <w:rPr>
          <w:rFonts w:ascii="等线" w:hAnsi="等线" w:eastAsia="等线" w:cs="Times New Roman"/>
          <w:smallCaps w:val="0"/>
          <w:sz w:val="21"/>
          <w:szCs w:val="22"/>
          <w:lang/>
        </w:rPr>
      </w:pPr>
      <w:r>
        <w:rPr>
          <w:rStyle w:val="28"/>
          <w:color w:val="auto"/>
          <w:lang/>
        </w:rPr>
        <w:fldChar w:fldCharType="begin"/>
      </w:r>
      <w:r>
        <w:rPr>
          <w:rStyle w:val="28"/>
          <w:color w:val="auto"/>
          <w:lang/>
        </w:rPr>
        <w:instrText xml:space="preserve"> </w:instrText>
      </w:r>
      <w:r>
        <w:rPr>
          <w:lang/>
        </w:rPr>
        <w:instrText xml:space="preserve">HYPERLINK \l "_Toc148251069"</w:instrText>
      </w:r>
      <w:r>
        <w:rPr>
          <w:rStyle w:val="28"/>
          <w:color w:val="auto"/>
          <w:lang/>
        </w:rPr>
        <w:instrText xml:space="preserve"> </w:instrText>
      </w:r>
      <w:r>
        <w:rPr>
          <w:rStyle w:val="28"/>
          <w:color w:val="auto"/>
          <w:lang/>
        </w:rPr>
        <w:fldChar w:fldCharType="separate"/>
      </w:r>
      <w:r>
        <w:rPr>
          <w:rStyle w:val="28"/>
          <w:rFonts w:ascii="宋体" w:hAnsi="宋体"/>
          <w:color w:val="auto"/>
          <w:lang/>
        </w:rPr>
        <w:t>（三）治理工程量</w:t>
      </w:r>
      <w:r>
        <w:rPr>
          <w:lang/>
        </w:rPr>
        <w:tab/>
      </w:r>
      <w:r>
        <w:rPr>
          <w:lang/>
        </w:rPr>
        <w:fldChar w:fldCharType="begin"/>
      </w:r>
      <w:r>
        <w:rPr>
          <w:lang/>
        </w:rPr>
        <w:instrText xml:space="preserve"> PAGEREF _Toc148251069 \h </w:instrText>
      </w:r>
      <w:r>
        <w:rPr>
          <w:lang/>
        </w:rPr>
        <w:fldChar w:fldCharType="separate"/>
      </w:r>
      <w:r>
        <w:rPr>
          <w:lang/>
        </w:rPr>
        <w:t>22</w:t>
      </w:r>
      <w:r>
        <w:rPr>
          <w:lang/>
        </w:rPr>
        <w:fldChar w:fldCharType="end"/>
      </w:r>
      <w:r>
        <w:rPr>
          <w:rStyle w:val="28"/>
          <w:color w:val="auto"/>
          <w:lang/>
        </w:rPr>
        <w:fldChar w:fldCharType="end"/>
      </w:r>
    </w:p>
    <w:p>
      <w:pPr>
        <w:pStyle w:val="18"/>
        <w:tabs>
          <w:tab w:val="right" w:leader="dot" w:pos="9054"/>
        </w:tabs>
        <w:rPr>
          <w:rFonts w:ascii="等线" w:hAnsi="等线" w:eastAsia="等线" w:cs="Times New Roman"/>
          <w:b w:val="0"/>
          <w:bCs w:val="0"/>
          <w:caps w:val="0"/>
          <w:sz w:val="21"/>
          <w:szCs w:val="22"/>
          <w:lang/>
        </w:rPr>
      </w:pPr>
      <w:r>
        <w:rPr>
          <w:rStyle w:val="28"/>
          <w:color w:val="auto"/>
          <w:lang/>
        </w:rPr>
        <w:fldChar w:fldCharType="begin"/>
      </w:r>
      <w:r>
        <w:rPr>
          <w:rStyle w:val="28"/>
          <w:color w:val="auto"/>
          <w:lang/>
        </w:rPr>
        <w:instrText xml:space="preserve"> </w:instrText>
      </w:r>
      <w:r>
        <w:rPr>
          <w:lang/>
        </w:rPr>
        <w:instrText xml:space="preserve">HYPERLINK \l "_Toc148251070"</w:instrText>
      </w:r>
      <w:r>
        <w:rPr>
          <w:rStyle w:val="28"/>
          <w:color w:val="auto"/>
          <w:lang/>
        </w:rPr>
        <w:instrText xml:space="preserve"> </w:instrText>
      </w:r>
      <w:r>
        <w:rPr>
          <w:rStyle w:val="28"/>
          <w:color w:val="auto"/>
          <w:lang/>
        </w:rPr>
        <w:fldChar w:fldCharType="separate"/>
      </w:r>
      <w:r>
        <w:rPr>
          <w:rStyle w:val="28"/>
          <w:rFonts w:ascii="宋体" w:hAnsi="宋体"/>
          <w:color w:val="auto"/>
          <w:lang/>
        </w:rPr>
        <w:t>六、经费预算</w:t>
      </w:r>
      <w:r>
        <w:rPr>
          <w:lang/>
        </w:rPr>
        <w:tab/>
      </w:r>
      <w:r>
        <w:rPr>
          <w:lang/>
        </w:rPr>
        <w:fldChar w:fldCharType="begin"/>
      </w:r>
      <w:r>
        <w:rPr>
          <w:lang/>
        </w:rPr>
        <w:instrText xml:space="preserve"> PAGEREF _Toc148251070 \h </w:instrText>
      </w:r>
      <w:r>
        <w:rPr>
          <w:lang/>
        </w:rPr>
        <w:fldChar w:fldCharType="separate"/>
      </w:r>
      <w:r>
        <w:rPr>
          <w:lang/>
        </w:rPr>
        <w:t>22</w:t>
      </w:r>
      <w:r>
        <w:rPr>
          <w:lang/>
        </w:rPr>
        <w:fldChar w:fldCharType="end"/>
      </w:r>
      <w:r>
        <w:rPr>
          <w:rStyle w:val="28"/>
          <w:color w:val="auto"/>
          <w:lang/>
        </w:rPr>
        <w:fldChar w:fldCharType="end"/>
      </w:r>
    </w:p>
    <w:p>
      <w:pPr>
        <w:pStyle w:val="21"/>
        <w:tabs>
          <w:tab w:val="right" w:leader="dot" w:pos="9054"/>
        </w:tabs>
        <w:rPr>
          <w:rFonts w:ascii="等线" w:hAnsi="等线" w:eastAsia="等线" w:cs="Times New Roman"/>
          <w:smallCaps w:val="0"/>
          <w:sz w:val="21"/>
          <w:szCs w:val="22"/>
          <w:lang/>
        </w:rPr>
      </w:pPr>
      <w:r>
        <w:rPr>
          <w:rStyle w:val="28"/>
          <w:color w:val="auto"/>
          <w:lang/>
        </w:rPr>
        <w:fldChar w:fldCharType="begin"/>
      </w:r>
      <w:r>
        <w:rPr>
          <w:rStyle w:val="28"/>
          <w:color w:val="auto"/>
          <w:lang/>
        </w:rPr>
        <w:instrText xml:space="preserve"> </w:instrText>
      </w:r>
      <w:r>
        <w:rPr>
          <w:lang/>
        </w:rPr>
        <w:instrText xml:space="preserve">HYPERLINK \l "_Toc148251071"</w:instrText>
      </w:r>
      <w:r>
        <w:rPr>
          <w:rStyle w:val="28"/>
          <w:color w:val="auto"/>
          <w:lang/>
        </w:rPr>
        <w:instrText xml:space="preserve"> </w:instrText>
      </w:r>
      <w:r>
        <w:rPr>
          <w:rStyle w:val="28"/>
          <w:color w:val="auto"/>
          <w:lang/>
        </w:rPr>
        <w:fldChar w:fldCharType="separate"/>
      </w:r>
      <w:r>
        <w:rPr>
          <w:rStyle w:val="28"/>
          <w:rFonts w:ascii="宋体" w:hAnsi="宋体"/>
          <w:color w:val="auto"/>
          <w:lang/>
        </w:rPr>
        <w:t>（一）预算编制依据</w:t>
      </w:r>
      <w:r>
        <w:rPr>
          <w:lang/>
        </w:rPr>
        <w:tab/>
      </w:r>
      <w:r>
        <w:rPr>
          <w:lang/>
        </w:rPr>
        <w:fldChar w:fldCharType="begin"/>
      </w:r>
      <w:r>
        <w:rPr>
          <w:lang/>
        </w:rPr>
        <w:instrText xml:space="preserve"> PAGEREF _Toc148251071 \h </w:instrText>
      </w:r>
      <w:r>
        <w:rPr>
          <w:lang/>
        </w:rPr>
        <w:fldChar w:fldCharType="separate"/>
      </w:r>
      <w:r>
        <w:rPr>
          <w:lang/>
        </w:rPr>
        <w:t>22</w:t>
      </w:r>
      <w:r>
        <w:rPr>
          <w:lang/>
        </w:rPr>
        <w:fldChar w:fldCharType="end"/>
      </w:r>
      <w:r>
        <w:rPr>
          <w:rStyle w:val="28"/>
          <w:color w:val="auto"/>
          <w:lang/>
        </w:rPr>
        <w:fldChar w:fldCharType="end"/>
      </w:r>
    </w:p>
    <w:p>
      <w:pPr>
        <w:pStyle w:val="21"/>
        <w:tabs>
          <w:tab w:val="right" w:leader="dot" w:pos="9054"/>
        </w:tabs>
        <w:rPr>
          <w:rFonts w:ascii="等线" w:hAnsi="等线" w:eastAsia="等线" w:cs="Times New Roman"/>
          <w:smallCaps w:val="0"/>
          <w:sz w:val="21"/>
          <w:szCs w:val="22"/>
          <w:lang/>
        </w:rPr>
      </w:pPr>
      <w:r>
        <w:rPr>
          <w:rStyle w:val="28"/>
          <w:color w:val="auto"/>
          <w:lang/>
        </w:rPr>
        <w:fldChar w:fldCharType="begin"/>
      </w:r>
      <w:r>
        <w:rPr>
          <w:rStyle w:val="28"/>
          <w:color w:val="auto"/>
          <w:lang/>
        </w:rPr>
        <w:instrText xml:space="preserve"> </w:instrText>
      </w:r>
      <w:r>
        <w:rPr>
          <w:lang/>
        </w:rPr>
        <w:instrText xml:space="preserve">HYPERLINK \l "_Toc148251072"</w:instrText>
      </w:r>
      <w:r>
        <w:rPr>
          <w:rStyle w:val="28"/>
          <w:color w:val="auto"/>
          <w:lang/>
        </w:rPr>
        <w:instrText xml:space="preserve"> </w:instrText>
      </w:r>
      <w:r>
        <w:rPr>
          <w:rStyle w:val="28"/>
          <w:color w:val="auto"/>
          <w:lang/>
        </w:rPr>
        <w:fldChar w:fldCharType="separate"/>
      </w:r>
      <w:r>
        <w:rPr>
          <w:rStyle w:val="28"/>
          <w:rFonts w:ascii="宋体" w:hAnsi="宋体"/>
          <w:color w:val="auto"/>
          <w:lang/>
        </w:rPr>
        <w:t>(二)矿山地质环境治理工程经费估算</w:t>
      </w:r>
      <w:r>
        <w:rPr>
          <w:lang/>
        </w:rPr>
        <w:tab/>
      </w:r>
      <w:r>
        <w:rPr>
          <w:lang/>
        </w:rPr>
        <w:fldChar w:fldCharType="begin"/>
      </w:r>
      <w:r>
        <w:rPr>
          <w:lang/>
        </w:rPr>
        <w:instrText xml:space="preserve"> PAGEREF _Toc148251072 \h </w:instrText>
      </w:r>
      <w:r>
        <w:rPr>
          <w:lang/>
        </w:rPr>
        <w:fldChar w:fldCharType="separate"/>
      </w:r>
      <w:r>
        <w:rPr>
          <w:lang/>
        </w:rPr>
        <w:t>25</w:t>
      </w:r>
      <w:r>
        <w:rPr>
          <w:lang/>
        </w:rPr>
        <w:fldChar w:fldCharType="end"/>
      </w:r>
      <w:r>
        <w:rPr>
          <w:rStyle w:val="28"/>
          <w:color w:val="auto"/>
          <w:lang/>
        </w:rPr>
        <w:fldChar w:fldCharType="end"/>
      </w:r>
    </w:p>
    <w:p>
      <w:pPr>
        <w:spacing w:line="360" w:lineRule="auto"/>
      </w:pPr>
      <w:r>
        <w:rPr>
          <w:rFonts w:ascii="宋体" w:hAnsi="宋体" w:cs="Calibri"/>
          <w:b/>
          <w:bCs/>
          <w:caps/>
          <w:sz w:val="28"/>
          <w:szCs w:val="28"/>
        </w:rPr>
        <w:fldChar w:fldCharType="end"/>
      </w:r>
    </w:p>
    <w:p>
      <w:pPr>
        <w:spacing w:line="360" w:lineRule="auto"/>
        <w:rPr>
          <w:rFonts w:hint="eastAsia" w:ascii="宋体" w:hAnsi="宋体"/>
          <w:sz w:val="36"/>
          <w:szCs w:val="36"/>
        </w:rPr>
      </w:pPr>
    </w:p>
    <w:p>
      <w:pPr>
        <w:spacing w:line="360" w:lineRule="auto"/>
        <w:rPr>
          <w:rFonts w:hint="eastAsia" w:ascii="宋体" w:hAnsi="宋体"/>
          <w:sz w:val="36"/>
          <w:szCs w:val="36"/>
        </w:rPr>
      </w:pPr>
    </w:p>
    <w:p>
      <w:pPr>
        <w:spacing w:line="360" w:lineRule="auto"/>
        <w:rPr>
          <w:rFonts w:hint="eastAsia" w:ascii="宋体" w:hAnsi="宋体"/>
          <w:sz w:val="36"/>
          <w:szCs w:val="36"/>
        </w:rPr>
      </w:pPr>
    </w:p>
    <w:p>
      <w:pPr>
        <w:spacing w:line="360" w:lineRule="auto"/>
        <w:rPr>
          <w:rFonts w:hint="eastAsia" w:ascii="宋体" w:hAnsi="宋体"/>
          <w:sz w:val="36"/>
          <w:szCs w:val="36"/>
        </w:rPr>
      </w:pPr>
    </w:p>
    <w:p>
      <w:pPr>
        <w:spacing w:line="360" w:lineRule="auto"/>
        <w:rPr>
          <w:rFonts w:ascii="宋体" w:hAnsi="宋体"/>
          <w:sz w:val="36"/>
          <w:szCs w:val="36"/>
        </w:rPr>
        <w:sectPr>
          <w:headerReference r:id="rId3" w:type="default"/>
          <w:footerReference r:id="rId4" w:type="default"/>
          <w:pgSz w:w="11900" w:h="16840"/>
          <w:pgMar w:top="1418" w:right="1418" w:bottom="1418" w:left="1418" w:header="567" w:footer="907" w:gutter="0"/>
          <w:pgNumType w:start="1"/>
          <w:cols w:space="720" w:num="1"/>
        </w:sectPr>
      </w:pPr>
    </w:p>
    <w:p>
      <w:pPr>
        <w:pStyle w:val="2"/>
        <w:jc w:val="center"/>
        <w:rPr>
          <w:rFonts w:hint="eastAsia" w:ascii="宋体" w:hAnsi="宋体" w:eastAsia="宋体"/>
          <w:sz w:val="36"/>
          <w:szCs w:val="36"/>
        </w:rPr>
      </w:pPr>
      <w:bookmarkStart w:id="2" w:name="_Toc148251060"/>
      <w:bookmarkStart w:id="3" w:name="_Toc145756551"/>
      <w:bookmarkStart w:id="4" w:name="_Toc145756505"/>
      <w:bookmarkStart w:id="5" w:name="_Toc145756807"/>
      <w:r>
        <w:rPr>
          <w:rFonts w:hint="eastAsia" w:ascii="宋体" w:hAnsi="宋体" w:eastAsia="宋体"/>
          <w:sz w:val="36"/>
          <w:szCs w:val="36"/>
        </w:rPr>
        <w:t>一、矿山基本情况</w:t>
      </w:r>
      <w:bookmarkEnd w:id="2"/>
    </w:p>
    <w:p>
      <w:pPr>
        <w:autoSpaceDE w:val="0"/>
        <w:autoSpaceDN w:val="0"/>
        <w:adjustRightInd w:val="0"/>
        <w:jc w:val="center"/>
        <w:rPr>
          <w:rFonts w:ascii="宋体" w:hAnsi="宋体"/>
          <w:b/>
          <w:sz w:val="32"/>
          <w:szCs w:val="32"/>
          <w:lang w:val="zh-CN"/>
        </w:rPr>
      </w:pPr>
      <w:r>
        <w:rPr>
          <w:rFonts w:hint="eastAsia" w:ascii="宋体" w:hAnsi="宋体"/>
          <w:b/>
          <w:sz w:val="32"/>
          <w:szCs w:val="32"/>
          <w:lang w:val="zh-CN"/>
        </w:rPr>
        <w:t>矿山基本信息表</w:t>
      </w:r>
      <w:bookmarkEnd w:id="3"/>
      <w:bookmarkEnd w:id="4"/>
    </w:p>
    <w:tbl>
      <w:tblPr>
        <w:tblStyle w:val="24"/>
        <w:tblW w:w="9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2"/>
        <w:gridCol w:w="3668"/>
        <w:gridCol w:w="1491"/>
        <w:gridCol w:w="3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jc w:val="center"/>
        </w:trPr>
        <w:tc>
          <w:tcPr>
            <w:tcW w:w="9740" w:type="dxa"/>
            <w:gridSpan w:val="4"/>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矿山企业基本信息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572"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矿山名称</w:t>
            </w:r>
          </w:p>
        </w:tc>
        <w:tc>
          <w:tcPr>
            <w:tcW w:w="8168" w:type="dxa"/>
            <w:gridSpan w:val="3"/>
            <w:noWrap w:val="0"/>
            <w:vAlign w:val="center"/>
          </w:tcPr>
          <w:p>
            <w:pPr>
              <w:autoSpaceDE w:val="0"/>
              <w:autoSpaceDN w:val="0"/>
              <w:adjustRightInd w:val="0"/>
              <w:jc w:val="center"/>
              <w:rPr>
                <w:rFonts w:ascii="宋体" w:hAnsi="宋体"/>
                <w:szCs w:val="21"/>
                <w:lang w:val="zh-CN"/>
              </w:rPr>
            </w:pPr>
            <w:r>
              <w:rPr>
                <w:rFonts w:ascii="宋体" w:hAnsi="宋体"/>
                <w:spacing w:val="-8"/>
                <w:szCs w:val="21"/>
              </w:rPr>
              <w:t>龙宝山高岭土矿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72" w:type="dxa"/>
            <w:noWrap w:val="0"/>
            <w:vAlign w:val="center"/>
          </w:tcPr>
          <w:p>
            <w:pPr>
              <w:autoSpaceDE w:val="0"/>
              <w:autoSpaceDN w:val="0"/>
              <w:adjustRightInd w:val="0"/>
              <w:jc w:val="center"/>
              <w:rPr>
                <w:rFonts w:ascii="宋体" w:hAnsi="宋体"/>
                <w:szCs w:val="21"/>
              </w:rPr>
            </w:pPr>
            <w:r>
              <w:rPr>
                <w:rFonts w:hint="eastAsia" w:ascii="宋体" w:hAnsi="宋体"/>
                <w:szCs w:val="21"/>
              </w:rPr>
              <w:t>采矿权人</w:t>
            </w:r>
          </w:p>
        </w:tc>
        <w:tc>
          <w:tcPr>
            <w:tcW w:w="3668" w:type="dxa"/>
            <w:noWrap w:val="0"/>
            <w:vAlign w:val="center"/>
          </w:tcPr>
          <w:p>
            <w:pPr>
              <w:autoSpaceDE w:val="0"/>
              <w:autoSpaceDN w:val="0"/>
              <w:adjustRightInd w:val="0"/>
              <w:jc w:val="center"/>
              <w:rPr>
                <w:rFonts w:ascii="宋体" w:hAnsi="宋体"/>
                <w:szCs w:val="21"/>
              </w:rPr>
            </w:pPr>
            <w:r>
              <w:rPr>
                <w:rFonts w:ascii="宋体" w:hAnsi="宋体"/>
                <w:szCs w:val="21"/>
              </w:rPr>
              <w:t>宁城县宝石山矿业有限公司</w:t>
            </w:r>
          </w:p>
        </w:tc>
        <w:tc>
          <w:tcPr>
            <w:tcW w:w="1491"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法人代表</w:t>
            </w:r>
          </w:p>
        </w:tc>
        <w:tc>
          <w:tcPr>
            <w:tcW w:w="3009"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王国海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72"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采矿许可证号</w:t>
            </w:r>
          </w:p>
        </w:tc>
        <w:tc>
          <w:tcPr>
            <w:tcW w:w="3668" w:type="dxa"/>
            <w:noWrap w:val="0"/>
            <w:vAlign w:val="center"/>
          </w:tcPr>
          <w:p>
            <w:pPr>
              <w:autoSpaceDE w:val="0"/>
              <w:autoSpaceDN w:val="0"/>
              <w:adjustRightInd w:val="0"/>
              <w:jc w:val="center"/>
              <w:rPr>
                <w:rFonts w:ascii="宋体" w:hAnsi="宋体"/>
                <w:szCs w:val="21"/>
                <w:lang w:val="zh-CN"/>
              </w:rPr>
            </w:pPr>
            <w:r>
              <w:rPr>
                <w:rFonts w:ascii="宋体" w:hAnsi="宋体"/>
                <w:szCs w:val="21"/>
                <w:lang w:val="zh-CN"/>
              </w:rPr>
              <w:t>C1504002011077120115435</w:t>
            </w:r>
          </w:p>
        </w:tc>
        <w:tc>
          <w:tcPr>
            <w:tcW w:w="1491"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发证机关</w:t>
            </w:r>
          </w:p>
        </w:tc>
        <w:tc>
          <w:tcPr>
            <w:tcW w:w="3009"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赤峰市自然资源局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72"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有效期限</w:t>
            </w:r>
          </w:p>
        </w:tc>
        <w:tc>
          <w:tcPr>
            <w:tcW w:w="3668"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2022</w:t>
            </w:r>
            <w:r>
              <w:rPr>
                <w:rFonts w:ascii="宋体" w:hAnsi="宋体"/>
                <w:szCs w:val="21"/>
                <w:lang w:val="zh-CN"/>
              </w:rPr>
              <w:t>-0</w:t>
            </w:r>
            <w:r>
              <w:rPr>
                <w:rFonts w:hint="eastAsia" w:ascii="宋体" w:hAnsi="宋体"/>
                <w:szCs w:val="21"/>
                <w:lang w:val="zh-CN"/>
              </w:rPr>
              <w:t>8</w:t>
            </w:r>
            <w:r>
              <w:rPr>
                <w:rFonts w:ascii="宋体" w:hAnsi="宋体"/>
                <w:szCs w:val="21"/>
                <w:lang w:val="zh-CN"/>
              </w:rPr>
              <w:t>-</w:t>
            </w:r>
            <w:r>
              <w:rPr>
                <w:rFonts w:hint="eastAsia" w:ascii="宋体" w:hAnsi="宋体"/>
                <w:szCs w:val="21"/>
                <w:lang w:val="zh-CN"/>
              </w:rPr>
              <w:t>20</w:t>
            </w:r>
            <w:r>
              <w:rPr>
                <w:rFonts w:ascii="宋体" w:hAnsi="宋体"/>
                <w:szCs w:val="21"/>
                <w:lang w:val="zh-CN"/>
              </w:rPr>
              <w:t xml:space="preserve">  </w:t>
            </w:r>
            <w:r>
              <w:rPr>
                <w:rFonts w:hint="eastAsia" w:ascii="宋体" w:hAnsi="宋体"/>
                <w:szCs w:val="21"/>
                <w:lang w:val="zh-CN"/>
              </w:rPr>
              <w:t>至</w:t>
            </w:r>
            <w:r>
              <w:rPr>
                <w:rFonts w:ascii="宋体" w:hAnsi="宋体"/>
                <w:szCs w:val="21"/>
                <w:lang w:val="zh-CN"/>
              </w:rPr>
              <w:t xml:space="preserve">  202</w:t>
            </w:r>
            <w:r>
              <w:rPr>
                <w:rFonts w:hint="eastAsia" w:ascii="宋体" w:hAnsi="宋体"/>
                <w:szCs w:val="21"/>
                <w:lang w:val="zh-CN"/>
              </w:rPr>
              <w:t>4</w:t>
            </w:r>
            <w:r>
              <w:rPr>
                <w:rFonts w:ascii="宋体" w:hAnsi="宋体"/>
                <w:szCs w:val="21"/>
                <w:lang w:val="zh-CN"/>
              </w:rPr>
              <w:t>-0</w:t>
            </w:r>
            <w:r>
              <w:rPr>
                <w:rFonts w:hint="eastAsia" w:ascii="宋体" w:hAnsi="宋体"/>
                <w:szCs w:val="21"/>
                <w:lang w:val="zh-CN"/>
              </w:rPr>
              <w:t>8</w:t>
            </w:r>
            <w:r>
              <w:rPr>
                <w:rFonts w:ascii="宋体" w:hAnsi="宋体"/>
                <w:szCs w:val="21"/>
                <w:lang w:val="zh-CN"/>
              </w:rPr>
              <w:t>-</w:t>
            </w:r>
            <w:r>
              <w:rPr>
                <w:rFonts w:hint="eastAsia" w:ascii="宋体" w:hAnsi="宋体"/>
                <w:szCs w:val="21"/>
                <w:lang w:val="zh-CN"/>
              </w:rPr>
              <w:t>20</w:t>
            </w:r>
          </w:p>
        </w:tc>
        <w:tc>
          <w:tcPr>
            <w:tcW w:w="1491"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发证日期</w:t>
            </w:r>
          </w:p>
        </w:tc>
        <w:tc>
          <w:tcPr>
            <w:tcW w:w="3009" w:type="dxa"/>
            <w:noWrap w:val="0"/>
            <w:vAlign w:val="center"/>
          </w:tcPr>
          <w:p>
            <w:pPr>
              <w:autoSpaceDE w:val="0"/>
              <w:autoSpaceDN w:val="0"/>
              <w:adjustRightInd w:val="0"/>
              <w:jc w:val="center"/>
              <w:rPr>
                <w:rFonts w:ascii="宋体" w:hAnsi="宋体"/>
                <w:szCs w:val="21"/>
                <w:lang w:val="zh-CN"/>
              </w:rPr>
            </w:pPr>
            <w:r>
              <w:rPr>
                <w:rFonts w:ascii="宋体" w:hAnsi="宋体"/>
                <w:szCs w:val="21"/>
                <w:lang w:val="zh-CN"/>
              </w:rPr>
              <w:t>20</w:t>
            </w:r>
            <w:r>
              <w:rPr>
                <w:rFonts w:hint="eastAsia" w:ascii="宋体" w:hAnsi="宋体"/>
                <w:szCs w:val="21"/>
                <w:lang w:val="zh-CN"/>
              </w:rPr>
              <w:t>19</w:t>
            </w:r>
            <w:r>
              <w:rPr>
                <w:rFonts w:ascii="宋体" w:hAnsi="宋体"/>
                <w:szCs w:val="21"/>
                <w:lang w:val="zh-CN"/>
              </w:rPr>
              <w:t>-</w:t>
            </w:r>
            <w:r>
              <w:rPr>
                <w:rFonts w:hint="eastAsia" w:ascii="宋体" w:hAnsi="宋体"/>
                <w:szCs w:val="21"/>
                <w:lang w:val="zh-CN"/>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572"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矿区地址</w:t>
            </w:r>
          </w:p>
        </w:tc>
        <w:tc>
          <w:tcPr>
            <w:tcW w:w="8168" w:type="dxa"/>
            <w:gridSpan w:val="3"/>
            <w:noWrap w:val="0"/>
            <w:vAlign w:val="center"/>
          </w:tcPr>
          <w:p>
            <w:pPr>
              <w:autoSpaceDE w:val="0"/>
              <w:autoSpaceDN w:val="0"/>
              <w:adjustRightInd w:val="0"/>
              <w:jc w:val="center"/>
              <w:rPr>
                <w:rFonts w:ascii="宋体" w:hAnsi="宋体"/>
                <w:szCs w:val="21"/>
                <w:lang w:val="zh-CN"/>
              </w:rPr>
            </w:pPr>
            <w:r>
              <w:rPr>
                <w:rFonts w:ascii="宋体" w:hAnsi="宋体"/>
                <w:szCs w:val="21"/>
                <w:lang w:val="zh-CN"/>
              </w:rPr>
              <w:t>宁城县忙农镇东沟丘村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72"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经纬度坐标</w:t>
            </w:r>
          </w:p>
        </w:tc>
        <w:tc>
          <w:tcPr>
            <w:tcW w:w="8168" w:type="dxa"/>
            <w:gridSpan w:val="3"/>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东经</w:t>
            </w:r>
            <w:r>
              <w:rPr>
                <w:rFonts w:ascii="宋体" w:hAnsi="宋体"/>
                <w:szCs w:val="21"/>
                <w:lang w:val="zh-CN"/>
              </w:rPr>
              <w:t>：11</w:t>
            </w:r>
            <w:r>
              <w:rPr>
                <w:rFonts w:hint="eastAsia" w:ascii="宋体" w:hAnsi="宋体"/>
                <w:szCs w:val="21"/>
                <w:lang w:val="zh-CN"/>
              </w:rPr>
              <w:t>9</w:t>
            </w:r>
            <w:r>
              <w:rPr>
                <w:rFonts w:ascii="宋体" w:hAnsi="宋体"/>
                <w:szCs w:val="21"/>
                <w:lang w:val="zh-CN"/>
              </w:rPr>
              <w:t>°</w:t>
            </w:r>
            <w:r>
              <w:rPr>
                <w:rFonts w:hint="eastAsia" w:ascii="宋体" w:hAnsi="宋体"/>
                <w:szCs w:val="21"/>
                <w:lang w:val="zh-CN"/>
              </w:rPr>
              <w:t>22</w:t>
            </w:r>
            <w:r>
              <w:rPr>
                <w:rFonts w:ascii="宋体" w:hAnsi="宋体"/>
                <w:szCs w:val="21"/>
                <w:lang w:val="zh-CN"/>
              </w:rPr>
              <w:t>’</w:t>
            </w:r>
            <w:r>
              <w:rPr>
                <w:rFonts w:hint="eastAsia" w:ascii="宋体" w:hAnsi="宋体"/>
                <w:szCs w:val="21"/>
                <w:lang w:val="zh-CN"/>
              </w:rPr>
              <w:t>04</w:t>
            </w:r>
            <w:r>
              <w:rPr>
                <w:rFonts w:ascii="宋体" w:hAnsi="宋体"/>
                <w:szCs w:val="21"/>
                <w:lang w:val="zh-CN"/>
              </w:rPr>
              <w:t>″～11</w:t>
            </w:r>
            <w:r>
              <w:rPr>
                <w:rFonts w:hint="eastAsia" w:ascii="宋体" w:hAnsi="宋体"/>
                <w:szCs w:val="21"/>
                <w:lang w:val="zh-CN"/>
              </w:rPr>
              <w:t>9</w:t>
            </w:r>
            <w:r>
              <w:rPr>
                <w:rFonts w:ascii="宋体" w:hAnsi="宋体"/>
                <w:szCs w:val="21"/>
                <w:lang w:val="zh-CN"/>
              </w:rPr>
              <w:t>°</w:t>
            </w:r>
            <w:r>
              <w:rPr>
                <w:rFonts w:hint="eastAsia" w:ascii="宋体" w:hAnsi="宋体"/>
                <w:szCs w:val="21"/>
                <w:lang w:val="zh-CN"/>
              </w:rPr>
              <w:t>21</w:t>
            </w:r>
            <w:r>
              <w:rPr>
                <w:rFonts w:ascii="宋体" w:hAnsi="宋体"/>
                <w:szCs w:val="21"/>
                <w:lang w:val="zh-CN"/>
              </w:rPr>
              <w:t>′</w:t>
            </w:r>
            <w:r>
              <w:rPr>
                <w:rFonts w:hint="eastAsia" w:ascii="宋体" w:hAnsi="宋体"/>
                <w:szCs w:val="21"/>
                <w:lang w:val="zh-CN"/>
              </w:rPr>
              <w:t>52</w:t>
            </w:r>
            <w:r>
              <w:rPr>
                <w:rFonts w:ascii="宋体" w:hAnsi="宋体"/>
                <w:szCs w:val="21"/>
                <w:lang w:val="zh-CN"/>
              </w:rPr>
              <w:t>″</w:t>
            </w:r>
            <w:r>
              <w:rPr>
                <w:rFonts w:hint="eastAsia" w:ascii="宋体" w:hAnsi="宋体"/>
                <w:szCs w:val="21"/>
                <w:lang w:val="zh-CN"/>
              </w:rPr>
              <w:t>；北纬：</w:t>
            </w:r>
            <w:r>
              <w:rPr>
                <w:rFonts w:ascii="宋体" w:hAnsi="宋体"/>
                <w:szCs w:val="21"/>
                <w:lang w:val="zh-CN"/>
              </w:rPr>
              <w:t>4</w:t>
            </w:r>
            <w:r>
              <w:rPr>
                <w:rFonts w:hint="eastAsia" w:ascii="宋体" w:hAnsi="宋体"/>
                <w:szCs w:val="21"/>
                <w:lang w:val="zh-CN"/>
              </w:rPr>
              <w:t>1</w:t>
            </w:r>
            <w:r>
              <w:rPr>
                <w:rFonts w:ascii="宋体" w:hAnsi="宋体"/>
                <w:szCs w:val="21"/>
                <w:lang w:val="zh-CN"/>
              </w:rPr>
              <w:t>°</w:t>
            </w:r>
            <w:r>
              <w:rPr>
                <w:rFonts w:hint="eastAsia" w:ascii="宋体" w:hAnsi="宋体"/>
                <w:szCs w:val="21"/>
                <w:lang w:val="zh-CN"/>
              </w:rPr>
              <w:t>25</w:t>
            </w:r>
            <w:r>
              <w:rPr>
                <w:rFonts w:ascii="宋体" w:hAnsi="宋体"/>
                <w:szCs w:val="21"/>
                <w:lang w:val="zh-CN"/>
              </w:rPr>
              <w:t>′</w:t>
            </w:r>
            <w:r>
              <w:rPr>
                <w:rFonts w:hint="eastAsia" w:ascii="宋体" w:hAnsi="宋体"/>
                <w:szCs w:val="21"/>
                <w:lang w:val="zh-CN"/>
              </w:rPr>
              <w:t>16</w:t>
            </w:r>
            <w:r>
              <w:rPr>
                <w:rFonts w:ascii="宋体" w:hAnsi="宋体"/>
                <w:szCs w:val="21"/>
                <w:lang w:val="zh-CN"/>
              </w:rPr>
              <w:t>″～4</w:t>
            </w:r>
            <w:r>
              <w:rPr>
                <w:rFonts w:hint="eastAsia" w:ascii="宋体" w:hAnsi="宋体"/>
                <w:szCs w:val="21"/>
                <w:lang w:val="zh-CN"/>
              </w:rPr>
              <w:t>1</w:t>
            </w:r>
            <w:r>
              <w:rPr>
                <w:rFonts w:ascii="宋体" w:hAnsi="宋体"/>
                <w:szCs w:val="21"/>
                <w:lang w:val="zh-CN"/>
              </w:rPr>
              <w:t>°</w:t>
            </w:r>
            <w:r>
              <w:rPr>
                <w:rFonts w:hint="eastAsia" w:ascii="宋体" w:hAnsi="宋体"/>
                <w:szCs w:val="21"/>
                <w:lang w:val="zh-CN"/>
              </w:rPr>
              <w:t>25</w:t>
            </w:r>
            <w:r>
              <w:rPr>
                <w:rFonts w:ascii="宋体" w:hAnsi="宋体"/>
                <w:szCs w:val="21"/>
                <w:lang w:val="zh-CN"/>
              </w:rPr>
              <w:t>′</w:t>
            </w:r>
            <w:r>
              <w:rPr>
                <w:rFonts w:hint="eastAsia" w:ascii="宋体" w:hAnsi="宋体"/>
                <w:szCs w:val="21"/>
                <w:lang w:val="zh-CN"/>
              </w:rPr>
              <w:t>33</w:t>
            </w:r>
            <w:r>
              <w:rPr>
                <w:rFonts w:ascii="宋体" w:hAnsi="宋体"/>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72"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经济类型</w:t>
            </w:r>
          </w:p>
        </w:tc>
        <w:tc>
          <w:tcPr>
            <w:tcW w:w="3668"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有限责任公司</w:t>
            </w:r>
          </w:p>
        </w:tc>
        <w:tc>
          <w:tcPr>
            <w:tcW w:w="1491"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从业人数</w:t>
            </w:r>
          </w:p>
        </w:tc>
        <w:tc>
          <w:tcPr>
            <w:tcW w:w="3009"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72"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开采矿种</w:t>
            </w:r>
          </w:p>
        </w:tc>
        <w:tc>
          <w:tcPr>
            <w:tcW w:w="3668" w:type="dxa"/>
            <w:noWrap w:val="0"/>
            <w:vAlign w:val="center"/>
          </w:tcPr>
          <w:p>
            <w:pPr>
              <w:autoSpaceDE w:val="0"/>
              <w:autoSpaceDN w:val="0"/>
              <w:adjustRightInd w:val="0"/>
              <w:jc w:val="center"/>
              <w:rPr>
                <w:rFonts w:ascii="宋体" w:hAnsi="宋体"/>
                <w:szCs w:val="21"/>
                <w:lang w:val="zh-CN"/>
              </w:rPr>
            </w:pPr>
            <w:r>
              <w:rPr>
                <w:rFonts w:hint="eastAsia" w:ascii="宋体" w:hAnsi="宋体"/>
                <w:szCs w:val="21"/>
              </w:rPr>
              <w:t>高龄土</w:t>
            </w:r>
          </w:p>
        </w:tc>
        <w:tc>
          <w:tcPr>
            <w:tcW w:w="1491"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采矿方式</w:t>
            </w:r>
          </w:p>
        </w:tc>
        <w:tc>
          <w:tcPr>
            <w:tcW w:w="3009"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露天开采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72"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生产规模</w:t>
            </w:r>
          </w:p>
        </w:tc>
        <w:tc>
          <w:tcPr>
            <w:tcW w:w="3668"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小型</w:t>
            </w:r>
          </w:p>
        </w:tc>
        <w:tc>
          <w:tcPr>
            <w:tcW w:w="1491"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矿区面积</w:t>
            </w:r>
          </w:p>
        </w:tc>
        <w:tc>
          <w:tcPr>
            <w:tcW w:w="3009" w:type="dxa"/>
            <w:noWrap w:val="0"/>
            <w:vAlign w:val="center"/>
          </w:tcPr>
          <w:p>
            <w:pPr>
              <w:autoSpaceDE w:val="0"/>
              <w:autoSpaceDN w:val="0"/>
              <w:adjustRightInd w:val="0"/>
              <w:jc w:val="center"/>
              <w:rPr>
                <w:rFonts w:ascii="宋体" w:hAnsi="宋体"/>
                <w:szCs w:val="21"/>
                <w:lang w:val="zh-CN"/>
              </w:rPr>
            </w:pPr>
            <w:r>
              <w:rPr>
                <w:rFonts w:ascii="宋体" w:hAnsi="宋体"/>
                <w:szCs w:val="21"/>
                <w:lang w:val="zh-CN"/>
              </w:rPr>
              <w:t>0.</w:t>
            </w:r>
            <w:r>
              <w:rPr>
                <w:rFonts w:hint="eastAsia" w:ascii="宋体" w:hAnsi="宋体"/>
                <w:szCs w:val="21"/>
                <w:lang w:val="zh-CN"/>
              </w:rPr>
              <w:t>1499</w:t>
            </w:r>
            <w:r>
              <w:rPr>
                <w:rFonts w:ascii="宋体" w:hAnsi="宋体"/>
                <w:szCs w:val="21"/>
                <w:lang w:val="zh-CN"/>
              </w:rPr>
              <w:t>km</w:t>
            </w:r>
            <w:r>
              <w:rPr>
                <w:rFonts w:ascii="宋体" w:hAnsi="宋体"/>
                <w:szCs w:val="21"/>
                <w:vertAlign w:val="superscript"/>
                <w:lang w:val="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72"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建矿时间</w:t>
            </w:r>
          </w:p>
        </w:tc>
        <w:tc>
          <w:tcPr>
            <w:tcW w:w="3668" w:type="dxa"/>
            <w:noWrap w:val="0"/>
            <w:vAlign w:val="center"/>
          </w:tcPr>
          <w:p>
            <w:pPr>
              <w:autoSpaceDE w:val="0"/>
              <w:autoSpaceDN w:val="0"/>
              <w:adjustRightInd w:val="0"/>
              <w:jc w:val="center"/>
              <w:rPr>
                <w:rFonts w:ascii="宋体" w:hAnsi="宋体"/>
                <w:szCs w:val="21"/>
                <w:lang w:val="zh-CN"/>
              </w:rPr>
            </w:pPr>
            <w:r>
              <w:rPr>
                <w:rFonts w:ascii="宋体" w:hAnsi="宋体"/>
                <w:szCs w:val="21"/>
                <w:lang w:val="zh-CN"/>
              </w:rPr>
              <w:t>20</w:t>
            </w:r>
            <w:r>
              <w:rPr>
                <w:rFonts w:hint="eastAsia" w:ascii="宋体" w:hAnsi="宋体"/>
                <w:szCs w:val="21"/>
                <w:lang w:val="zh-CN"/>
              </w:rPr>
              <w:t>00年</w:t>
            </w:r>
          </w:p>
        </w:tc>
        <w:tc>
          <w:tcPr>
            <w:tcW w:w="1491"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生产现状</w:t>
            </w:r>
          </w:p>
        </w:tc>
        <w:tc>
          <w:tcPr>
            <w:tcW w:w="3009"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停产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72"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设计生产能力</w:t>
            </w:r>
          </w:p>
        </w:tc>
        <w:tc>
          <w:tcPr>
            <w:tcW w:w="3668"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0.6×</w:t>
            </w:r>
            <w:r>
              <w:rPr>
                <w:rFonts w:ascii="宋体" w:hAnsi="宋体"/>
                <w:szCs w:val="21"/>
                <w:lang w:val="zh-CN"/>
              </w:rPr>
              <w:t>10</w:t>
            </w:r>
            <w:r>
              <w:rPr>
                <w:rFonts w:ascii="宋体" w:hAnsi="宋体"/>
                <w:szCs w:val="21"/>
                <w:vertAlign w:val="superscript"/>
                <w:lang w:val="zh-CN"/>
              </w:rPr>
              <w:t>4</w:t>
            </w:r>
            <w:r>
              <w:rPr>
                <w:rFonts w:ascii="宋体" w:hAnsi="宋体"/>
                <w:szCs w:val="21"/>
                <w:lang w:val="zh-CN"/>
              </w:rPr>
              <w:t>t/a</w:t>
            </w:r>
          </w:p>
        </w:tc>
        <w:tc>
          <w:tcPr>
            <w:tcW w:w="1491"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实际生产能力</w:t>
            </w:r>
          </w:p>
        </w:tc>
        <w:tc>
          <w:tcPr>
            <w:tcW w:w="3009"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0.6×</w:t>
            </w:r>
            <w:r>
              <w:rPr>
                <w:rFonts w:ascii="宋体" w:hAnsi="宋体"/>
                <w:szCs w:val="21"/>
                <w:lang w:val="zh-CN"/>
              </w:rPr>
              <w:t>10</w:t>
            </w:r>
            <w:r>
              <w:rPr>
                <w:rFonts w:ascii="宋体" w:hAnsi="宋体"/>
                <w:szCs w:val="21"/>
                <w:vertAlign w:val="superscript"/>
                <w:lang w:val="zh-CN"/>
              </w:rPr>
              <w:t>4</w:t>
            </w:r>
            <w:r>
              <w:rPr>
                <w:rFonts w:ascii="宋体" w:hAnsi="宋体"/>
                <w:szCs w:val="21"/>
                <w:lang w:val="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72"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设计服务年限</w:t>
            </w:r>
          </w:p>
        </w:tc>
        <w:tc>
          <w:tcPr>
            <w:tcW w:w="3668"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39.38</w:t>
            </w:r>
            <w:r>
              <w:rPr>
                <w:rFonts w:ascii="宋体" w:hAnsi="宋体"/>
                <w:szCs w:val="21"/>
                <w:lang w:val="zh-CN"/>
              </w:rPr>
              <w:t>a</w:t>
            </w:r>
          </w:p>
        </w:tc>
        <w:tc>
          <w:tcPr>
            <w:tcW w:w="1491"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剩余服务年限</w:t>
            </w:r>
          </w:p>
        </w:tc>
        <w:tc>
          <w:tcPr>
            <w:tcW w:w="3009"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39.38</w:t>
            </w:r>
            <w:r>
              <w:rPr>
                <w:rFonts w:ascii="宋体" w:hAnsi="宋体"/>
                <w:szCs w:val="21"/>
                <w:lang w:val="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72"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开采深度</w:t>
            </w:r>
          </w:p>
        </w:tc>
        <w:tc>
          <w:tcPr>
            <w:tcW w:w="3668"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660</w:t>
            </w:r>
            <w:r>
              <w:rPr>
                <w:rFonts w:ascii="宋体" w:hAnsi="宋体"/>
                <w:szCs w:val="21"/>
                <w:lang w:val="zh-CN"/>
              </w:rPr>
              <w:t>m</w:t>
            </w:r>
            <w:r>
              <w:rPr>
                <w:rFonts w:hint="eastAsia" w:ascii="宋体" w:hAnsi="宋体"/>
                <w:szCs w:val="21"/>
                <w:lang w:val="zh-CN"/>
              </w:rPr>
              <w:t>至</w:t>
            </w:r>
            <w:r>
              <w:rPr>
                <w:rFonts w:ascii="宋体" w:hAnsi="宋体"/>
                <w:szCs w:val="21"/>
                <w:lang w:val="zh-CN"/>
              </w:rPr>
              <w:t>6</w:t>
            </w:r>
            <w:r>
              <w:rPr>
                <w:rFonts w:hint="eastAsia" w:ascii="宋体" w:hAnsi="宋体"/>
                <w:szCs w:val="21"/>
                <w:lang w:val="zh-CN"/>
              </w:rPr>
              <w:t>00</w:t>
            </w:r>
            <w:r>
              <w:rPr>
                <w:rFonts w:ascii="宋体" w:hAnsi="宋体"/>
                <w:szCs w:val="21"/>
                <w:lang w:val="zh-CN"/>
              </w:rPr>
              <w:t>m</w:t>
            </w:r>
            <w:r>
              <w:rPr>
                <w:rFonts w:hint="eastAsia" w:ascii="宋体" w:hAnsi="宋体"/>
                <w:szCs w:val="21"/>
                <w:lang w:val="zh-CN"/>
              </w:rPr>
              <w:t>标高</w:t>
            </w:r>
          </w:p>
        </w:tc>
        <w:tc>
          <w:tcPr>
            <w:tcW w:w="1491"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可采资源储量</w:t>
            </w:r>
          </w:p>
        </w:tc>
        <w:tc>
          <w:tcPr>
            <w:tcW w:w="3009"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31.09×</w:t>
            </w:r>
            <w:r>
              <w:rPr>
                <w:rFonts w:ascii="宋体" w:hAnsi="宋体"/>
                <w:szCs w:val="21"/>
                <w:lang w:val="zh-CN"/>
              </w:rPr>
              <w:t>10</w:t>
            </w:r>
            <w:r>
              <w:rPr>
                <w:rFonts w:ascii="宋体" w:hAnsi="宋体"/>
                <w:szCs w:val="21"/>
                <w:vertAlign w:val="superscript"/>
                <w:lang w:val="zh-CN"/>
              </w:rPr>
              <w:t>4</w:t>
            </w:r>
            <w:r>
              <w:rPr>
                <w:rFonts w:ascii="宋体" w:hAnsi="宋体"/>
                <w:szCs w:val="21"/>
                <w:lang w:val="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72" w:type="dxa"/>
            <w:noWrap w:val="0"/>
            <w:vAlign w:val="center"/>
          </w:tcPr>
          <w:p>
            <w:pPr>
              <w:autoSpaceDE w:val="0"/>
              <w:autoSpaceDN w:val="0"/>
              <w:adjustRightInd w:val="0"/>
              <w:jc w:val="center"/>
              <w:textAlignment w:val="center"/>
              <w:rPr>
                <w:rFonts w:ascii="宋体" w:hAnsi="宋体"/>
                <w:szCs w:val="21"/>
                <w:lang w:val="zh-CN"/>
              </w:rPr>
            </w:pPr>
            <w:r>
              <w:rPr>
                <w:rFonts w:hint="eastAsia" w:ascii="宋体" w:hAnsi="宋体"/>
                <w:szCs w:val="21"/>
                <w:lang w:val="zh-CN"/>
              </w:rPr>
              <w:t>矿区范围</w:t>
            </w:r>
          </w:p>
          <w:p>
            <w:pPr>
              <w:autoSpaceDE w:val="0"/>
              <w:autoSpaceDN w:val="0"/>
              <w:adjustRightInd w:val="0"/>
              <w:jc w:val="center"/>
              <w:textAlignment w:val="center"/>
              <w:rPr>
                <w:rFonts w:ascii="宋体" w:hAnsi="宋体"/>
                <w:szCs w:val="21"/>
                <w:lang w:val="zh-CN"/>
              </w:rPr>
            </w:pPr>
            <w:r>
              <w:rPr>
                <w:rFonts w:hint="eastAsia" w:ascii="宋体" w:hAnsi="宋体"/>
                <w:szCs w:val="21"/>
                <w:lang w:val="zh-CN"/>
              </w:rPr>
              <w:t>拐点坐标</w:t>
            </w:r>
          </w:p>
        </w:tc>
        <w:tc>
          <w:tcPr>
            <w:tcW w:w="8168" w:type="dxa"/>
            <w:gridSpan w:val="3"/>
            <w:noWrap w:val="0"/>
            <w:vAlign w:val="center"/>
          </w:tcPr>
          <w:tbl>
            <w:tblPr>
              <w:tblStyle w:val="24"/>
              <w:tblW w:w="0" w:type="auto"/>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601"/>
              <w:gridCol w:w="1517"/>
              <w:gridCol w:w="798"/>
              <w:gridCol w:w="160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4" w:hRule="atLeast"/>
              </w:trPr>
              <w:tc>
                <w:tcPr>
                  <w:tcW w:w="716" w:type="dxa"/>
                  <w:vMerge w:val="restart"/>
                  <w:noWrap w:val="0"/>
                  <w:vAlign w:val="center"/>
                </w:tcPr>
                <w:p>
                  <w:pPr>
                    <w:autoSpaceDE w:val="0"/>
                    <w:autoSpaceDN w:val="0"/>
                    <w:adjustRightInd w:val="0"/>
                    <w:jc w:val="center"/>
                    <w:rPr>
                      <w:rFonts w:ascii="宋体" w:hAnsi="宋体"/>
                      <w:szCs w:val="21"/>
                    </w:rPr>
                  </w:pPr>
                  <w:r>
                    <w:rPr>
                      <w:rFonts w:hint="eastAsia" w:ascii="宋体" w:hAnsi="宋体"/>
                      <w:szCs w:val="21"/>
                    </w:rPr>
                    <w:t>拐点编号</w:t>
                  </w:r>
                </w:p>
              </w:tc>
              <w:tc>
                <w:tcPr>
                  <w:tcW w:w="3118" w:type="dxa"/>
                  <w:gridSpan w:val="2"/>
                  <w:noWrap w:val="0"/>
                  <w:vAlign w:val="center"/>
                </w:tcPr>
                <w:p>
                  <w:pPr>
                    <w:autoSpaceDE w:val="0"/>
                    <w:autoSpaceDN w:val="0"/>
                    <w:adjustRightInd w:val="0"/>
                    <w:jc w:val="center"/>
                    <w:rPr>
                      <w:rFonts w:ascii="宋体" w:hAnsi="宋体"/>
                      <w:szCs w:val="21"/>
                    </w:rPr>
                  </w:pPr>
                  <w:r>
                    <w:rPr>
                      <w:rFonts w:hint="eastAsia" w:ascii="宋体" w:hAnsi="宋体"/>
                      <w:szCs w:val="21"/>
                    </w:rPr>
                    <w:t>2</w:t>
                  </w:r>
                  <w:r>
                    <w:rPr>
                      <w:rFonts w:ascii="宋体" w:hAnsi="宋体"/>
                      <w:szCs w:val="21"/>
                    </w:rPr>
                    <w:t>000</w:t>
                  </w:r>
                  <w:r>
                    <w:rPr>
                      <w:rFonts w:hint="eastAsia" w:ascii="宋体" w:hAnsi="宋体"/>
                      <w:szCs w:val="21"/>
                    </w:rPr>
                    <w:t>国家大地坐标系</w:t>
                  </w:r>
                </w:p>
              </w:tc>
              <w:tc>
                <w:tcPr>
                  <w:tcW w:w="798" w:type="dxa"/>
                  <w:vMerge w:val="restart"/>
                  <w:noWrap w:val="0"/>
                  <w:vAlign w:val="center"/>
                </w:tcPr>
                <w:p>
                  <w:pPr>
                    <w:autoSpaceDE w:val="0"/>
                    <w:autoSpaceDN w:val="0"/>
                    <w:adjustRightInd w:val="0"/>
                    <w:jc w:val="center"/>
                    <w:rPr>
                      <w:rFonts w:ascii="宋体" w:hAnsi="宋体"/>
                      <w:szCs w:val="21"/>
                    </w:rPr>
                  </w:pPr>
                  <w:r>
                    <w:rPr>
                      <w:rFonts w:hint="eastAsia" w:ascii="宋体" w:hAnsi="宋体"/>
                      <w:szCs w:val="21"/>
                    </w:rPr>
                    <w:t>拐点编号</w:t>
                  </w:r>
                </w:p>
              </w:tc>
              <w:tc>
                <w:tcPr>
                  <w:tcW w:w="3309" w:type="dxa"/>
                  <w:gridSpan w:val="2"/>
                  <w:noWrap w:val="0"/>
                  <w:vAlign w:val="center"/>
                </w:tcPr>
                <w:p>
                  <w:pPr>
                    <w:autoSpaceDE w:val="0"/>
                    <w:autoSpaceDN w:val="0"/>
                    <w:adjustRightInd w:val="0"/>
                    <w:jc w:val="center"/>
                    <w:rPr>
                      <w:rFonts w:ascii="宋体" w:hAnsi="宋体"/>
                      <w:szCs w:val="21"/>
                    </w:rPr>
                  </w:pPr>
                  <w:r>
                    <w:rPr>
                      <w:rFonts w:hint="eastAsia" w:ascii="宋体" w:hAnsi="宋体"/>
                      <w:szCs w:val="21"/>
                    </w:rPr>
                    <w:t>2</w:t>
                  </w:r>
                  <w:r>
                    <w:rPr>
                      <w:rFonts w:ascii="宋体" w:hAnsi="宋体"/>
                      <w:szCs w:val="21"/>
                    </w:rPr>
                    <w:t>000</w:t>
                  </w:r>
                  <w:r>
                    <w:rPr>
                      <w:rFonts w:hint="eastAsia" w:ascii="宋体" w:hAnsi="宋体"/>
                      <w:szCs w:val="21"/>
                    </w:rPr>
                    <w:t>国家大地坐标系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trPr>
              <w:tc>
                <w:tcPr>
                  <w:tcW w:w="716" w:type="dxa"/>
                  <w:vMerge w:val="continue"/>
                  <w:noWrap w:val="0"/>
                  <w:vAlign w:val="center"/>
                </w:tcPr>
                <w:p>
                  <w:pPr>
                    <w:autoSpaceDE w:val="0"/>
                    <w:autoSpaceDN w:val="0"/>
                    <w:adjustRightInd w:val="0"/>
                    <w:jc w:val="center"/>
                    <w:rPr>
                      <w:rFonts w:ascii="宋体" w:hAnsi="宋体"/>
                      <w:szCs w:val="21"/>
                    </w:rPr>
                  </w:pPr>
                </w:p>
              </w:tc>
              <w:tc>
                <w:tcPr>
                  <w:tcW w:w="3118" w:type="dxa"/>
                  <w:gridSpan w:val="2"/>
                  <w:noWrap w:val="0"/>
                  <w:vAlign w:val="center"/>
                </w:tcPr>
                <w:p>
                  <w:pPr>
                    <w:autoSpaceDE w:val="0"/>
                    <w:autoSpaceDN w:val="0"/>
                    <w:adjustRightInd w:val="0"/>
                    <w:jc w:val="center"/>
                    <w:rPr>
                      <w:rFonts w:ascii="宋体" w:hAnsi="宋体"/>
                      <w:szCs w:val="21"/>
                    </w:rPr>
                  </w:pPr>
                  <w:r>
                    <w:rPr>
                      <w:rFonts w:ascii="宋体" w:hAnsi="宋体"/>
                      <w:szCs w:val="21"/>
                    </w:rPr>
                    <w:t>地理坐标</w:t>
                  </w:r>
                </w:p>
              </w:tc>
              <w:tc>
                <w:tcPr>
                  <w:tcW w:w="798" w:type="dxa"/>
                  <w:vMerge w:val="continue"/>
                  <w:noWrap w:val="0"/>
                  <w:vAlign w:val="center"/>
                </w:tcPr>
                <w:p>
                  <w:pPr>
                    <w:autoSpaceDE w:val="0"/>
                    <w:autoSpaceDN w:val="0"/>
                    <w:adjustRightInd w:val="0"/>
                    <w:jc w:val="center"/>
                    <w:rPr>
                      <w:rFonts w:ascii="宋体" w:hAnsi="宋体"/>
                      <w:szCs w:val="21"/>
                    </w:rPr>
                  </w:pPr>
                </w:p>
              </w:tc>
              <w:tc>
                <w:tcPr>
                  <w:tcW w:w="3309" w:type="dxa"/>
                  <w:gridSpan w:val="2"/>
                  <w:noWrap w:val="0"/>
                  <w:vAlign w:val="center"/>
                </w:tcPr>
                <w:p>
                  <w:pPr>
                    <w:autoSpaceDE w:val="0"/>
                    <w:autoSpaceDN w:val="0"/>
                    <w:adjustRightInd w:val="0"/>
                    <w:jc w:val="center"/>
                    <w:rPr>
                      <w:rFonts w:ascii="宋体" w:hAnsi="宋体"/>
                      <w:szCs w:val="21"/>
                    </w:rPr>
                  </w:pPr>
                  <w:r>
                    <w:rPr>
                      <w:rFonts w:ascii="宋体" w:hAnsi="宋体"/>
                      <w:szCs w:val="21"/>
                    </w:rPr>
                    <w:t>直角坐标（3°带）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9" w:hRule="atLeast"/>
              </w:trPr>
              <w:tc>
                <w:tcPr>
                  <w:tcW w:w="716" w:type="dxa"/>
                  <w:vMerge w:val="continue"/>
                  <w:noWrap w:val="0"/>
                  <w:vAlign w:val="center"/>
                </w:tcPr>
                <w:p>
                  <w:pPr>
                    <w:autoSpaceDE w:val="0"/>
                    <w:autoSpaceDN w:val="0"/>
                    <w:adjustRightInd w:val="0"/>
                    <w:jc w:val="center"/>
                    <w:rPr>
                      <w:rFonts w:ascii="宋体" w:hAnsi="宋体"/>
                      <w:szCs w:val="21"/>
                    </w:rPr>
                  </w:pPr>
                </w:p>
              </w:tc>
              <w:tc>
                <w:tcPr>
                  <w:tcW w:w="1601" w:type="dxa"/>
                  <w:noWrap w:val="0"/>
                  <w:vAlign w:val="center"/>
                </w:tcPr>
                <w:p>
                  <w:pPr>
                    <w:jc w:val="center"/>
                    <w:rPr>
                      <w:rFonts w:ascii="宋体" w:hAnsi="宋体"/>
                      <w:szCs w:val="21"/>
                    </w:rPr>
                  </w:pPr>
                  <w:r>
                    <w:rPr>
                      <w:rFonts w:ascii="宋体" w:hAnsi="宋体"/>
                      <w:szCs w:val="21"/>
                    </w:rPr>
                    <w:t>东经</w:t>
                  </w:r>
                </w:p>
              </w:tc>
              <w:tc>
                <w:tcPr>
                  <w:tcW w:w="1517" w:type="dxa"/>
                  <w:noWrap w:val="0"/>
                  <w:vAlign w:val="center"/>
                </w:tcPr>
                <w:p>
                  <w:pPr>
                    <w:jc w:val="center"/>
                    <w:rPr>
                      <w:rFonts w:ascii="宋体" w:hAnsi="宋体"/>
                      <w:szCs w:val="21"/>
                    </w:rPr>
                  </w:pPr>
                  <w:r>
                    <w:rPr>
                      <w:rFonts w:ascii="宋体" w:hAnsi="宋体"/>
                      <w:szCs w:val="21"/>
                    </w:rPr>
                    <w:t>北纬</w:t>
                  </w:r>
                </w:p>
              </w:tc>
              <w:tc>
                <w:tcPr>
                  <w:tcW w:w="798" w:type="dxa"/>
                  <w:vMerge w:val="continue"/>
                  <w:noWrap w:val="0"/>
                  <w:vAlign w:val="center"/>
                </w:tcPr>
                <w:p>
                  <w:pPr>
                    <w:autoSpaceDE w:val="0"/>
                    <w:autoSpaceDN w:val="0"/>
                    <w:adjustRightInd w:val="0"/>
                    <w:jc w:val="center"/>
                    <w:rPr>
                      <w:rFonts w:ascii="宋体" w:hAnsi="宋体"/>
                      <w:szCs w:val="21"/>
                    </w:rPr>
                  </w:pPr>
                </w:p>
              </w:tc>
              <w:tc>
                <w:tcPr>
                  <w:tcW w:w="1608" w:type="dxa"/>
                  <w:noWrap w:val="0"/>
                  <w:vAlign w:val="center"/>
                </w:tcPr>
                <w:p>
                  <w:pPr>
                    <w:autoSpaceDE w:val="0"/>
                    <w:autoSpaceDN w:val="0"/>
                    <w:adjustRightInd w:val="0"/>
                    <w:jc w:val="center"/>
                    <w:rPr>
                      <w:rFonts w:ascii="宋体" w:hAnsi="宋体"/>
                      <w:szCs w:val="21"/>
                    </w:rPr>
                  </w:pPr>
                  <w:r>
                    <w:rPr>
                      <w:rFonts w:ascii="宋体" w:hAnsi="宋体"/>
                      <w:szCs w:val="21"/>
                    </w:rPr>
                    <w:t>X</w:t>
                  </w:r>
                </w:p>
              </w:tc>
              <w:tc>
                <w:tcPr>
                  <w:tcW w:w="1701" w:type="dxa"/>
                  <w:noWrap w:val="0"/>
                  <w:vAlign w:val="center"/>
                </w:tcPr>
                <w:p>
                  <w:pPr>
                    <w:autoSpaceDE w:val="0"/>
                    <w:autoSpaceDN w:val="0"/>
                    <w:adjustRightInd w:val="0"/>
                    <w:jc w:val="center"/>
                    <w:rPr>
                      <w:rFonts w:ascii="宋体" w:hAnsi="宋体"/>
                      <w:szCs w:val="21"/>
                    </w:rPr>
                  </w:pPr>
                  <w:r>
                    <w:rPr>
                      <w:rFonts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trPr>
              <w:tc>
                <w:tcPr>
                  <w:tcW w:w="716" w:type="dxa"/>
                  <w:noWrap w:val="0"/>
                  <w:vAlign w:val="center"/>
                </w:tcPr>
                <w:p>
                  <w:pPr>
                    <w:autoSpaceDE w:val="0"/>
                    <w:autoSpaceDN w:val="0"/>
                    <w:adjustRightInd w:val="0"/>
                    <w:jc w:val="center"/>
                    <w:rPr>
                      <w:rFonts w:ascii="宋体" w:hAnsi="宋体"/>
                      <w:szCs w:val="21"/>
                    </w:rPr>
                  </w:pPr>
                  <w:r>
                    <w:rPr>
                      <w:rFonts w:hint="eastAsia" w:ascii="宋体" w:hAnsi="宋体"/>
                      <w:szCs w:val="21"/>
                    </w:rPr>
                    <w:t>1</w:t>
                  </w:r>
                </w:p>
              </w:tc>
              <w:tc>
                <w:tcPr>
                  <w:tcW w:w="1601" w:type="dxa"/>
                  <w:noWrap w:val="0"/>
                  <w:vAlign w:val="center"/>
                </w:tcPr>
                <w:p>
                  <w:pPr>
                    <w:jc w:val="center"/>
                    <w:rPr>
                      <w:rFonts w:ascii="宋体" w:hAnsi="宋体"/>
                      <w:szCs w:val="21"/>
                    </w:rPr>
                  </w:pPr>
                  <w:r>
                    <w:rPr>
                      <w:rFonts w:ascii="宋体" w:hAnsi="宋体"/>
                      <w:szCs w:val="21"/>
                    </w:rPr>
                    <w:t>119°22′04″</w:t>
                  </w:r>
                </w:p>
              </w:tc>
              <w:tc>
                <w:tcPr>
                  <w:tcW w:w="1517" w:type="dxa"/>
                  <w:noWrap w:val="0"/>
                  <w:vAlign w:val="center"/>
                </w:tcPr>
                <w:p>
                  <w:pPr>
                    <w:jc w:val="center"/>
                    <w:rPr>
                      <w:rFonts w:ascii="宋体" w:hAnsi="宋体"/>
                      <w:szCs w:val="21"/>
                    </w:rPr>
                  </w:pPr>
                  <w:r>
                    <w:rPr>
                      <w:rFonts w:ascii="宋体" w:hAnsi="宋体"/>
                      <w:szCs w:val="21"/>
                    </w:rPr>
                    <w:t>41°25′16″</w:t>
                  </w:r>
                </w:p>
              </w:tc>
              <w:tc>
                <w:tcPr>
                  <w:tcW w:w="798" w:type="dxa"/>
                  <w:noWrap w:val="0"/>
                  <w:vAlign w:val="center"/>
                </w:tcPr>
                <w:p>
                  <w:pPr>
                    <w:autoSpaceDE w:val="0"/>
                    <w:autoSpaceDN w:val="0"/>
                    <w:adjustRightInd w:val="0"/>
                    <w:jc w:val="center"/>
                    <w:rPr>
                      <w:rFonts w:ascii="宋体" w:hAnsi="宋体"/>
                      <w:szCs w:val="21"/>
                    </w:rPr>
                  </w:pPr>
                  <w:r>
                    <w:rPr>
                      <w:rFonts w:hint="eastAsia" w:ascii="宋体" w:hAnsi="宋体"/>
                      <w:szCs w:val="21"/>
                    </w:rPr>
                    <w:t>1</w:t>
                  </w:r>
                </w:p>
              </w:tc>
              <w:tc>
                <w:tcPr>
                  <w:tcW w:w="1608" w:type="dxa"/>
                  <w:noWrap w:val="0"/>
                  <w:vAlign w:val="center"/>
                </w:tcPr>
                <w:p>
                  <w:pPr>
                    <w:jc w:val="center"/>
                    <w:rPr>
                      <w:rFonts w:ascii="宋体" w:hAnsi="宋体"/>
                      <w:szCs w:val="21"/>
                    </w:rPr>
                  </w:pPr>
                  <w:r>
                    <w:rPr>
                      <w:rFonts w:ascii="宋体" w:hAnsi="宋体"/>
                      <w:szCs w:val="21"/>
                    </w:rPr>
                    <w:t>4587545.6929</w:t>
                  </w:r>
                </w:p>
              </w:tc>
              <w:tc>
                <w:tcPr>
                  <w:tcW w:w="1701" w:type="dxa"/>
                  <w:noWrap w:val="0"/>
                  <w:vAlign w:val="center"/>
                </w:tcPr>
                <w:p>
                  <w:pPr>
                    <w:jc w:val="center"/>
                    <w:rPr>
                      <w:rFonts w:ascii="宋体" w:hAnsi="宋体"/>
                      <w:szCs w:val="21"/>
                    </w:rPr>
                  </w:pPr>
                  <w:r>
                    <w:rPr>
                      <w:rFonts w:ascii="宋体" w:hAnsi="宋体"/>
                      <w:szCs w:val="21"/>
                    </w:rPr>
                    <w:t>40447158.3315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4" w:hRule="atLeast"/>
              </w:trPr>
              <w:tc>
                <w:tcPr>
                  <w:tcW w:w="716" w:type="dxa"/>
                  <w:noWrap w:val="0"/>
                  <w:vAlign w:val="center"/>
                </w:tcPr>
                <w:p>
                  <w:pPr>
                    <w:autoSpaceDE w:val="0"/>
                    <w:autoSpaceDN w:val="0"/>
                    <w:adjustRightInd w:val="0"/>
                    <w:jc w:val="center"/>
                    <w:rPr>
                      <w:rFonts w:ascii="宋体" w:hAnsi="宋体"/>
                      <w:szCs w:val="21"/>
                    </w:rPr>
                  </w:pPr>
                  <w:r>
                    <w:rPr>
                      <w:rFonts w:hint="eastAsia" w:ascii="宋体" w:hAnsi="宋体"/>
                      <w:szCs w:val="21"/>
                    </w:rPr>
                    <w:t>2</w:t>
                  </w:r>
                </w:p>
              </w:tc>
              <w:tc>
                <w:tcPr>
                  <w:tcW w:w="1601" w:type="dxa"/>
                  <w:noWrap w:val="0"/>
                  <w:vAlign w:val="center"/>
                </w:tcPr>
                <w:p>
                  <w:pPr>
                    <w:jc w:val="center"/>
                    <w:rPr>
                      <w:rFonts w:ascii="宋体" w:hAnsi="宋体"/>
                      <w:szCs w:val="21"/>
                    </w:rPr>
                  </w:pPr>
                  <w:r>
                    <w:rPr>
                      <w:rFonts w:ascii="宋体" w:hAnsi="宋体"/>
                      <w:szCs w:val="21"/>
                    </w:rPr>
                    <w:t>119°22′05″</w:t>
                  </w:r>
                </w:p>
              </w:tc>
              <w:tc>
                <w:tcPr>
                  <w:tcW w:w="1517" w:type="dxa"/>
                  <w:noWrap w:val="0"/>
                  <w:vAlign w:val="center"/>
                </w:tcPr>
                <w:p>
                  <w:pPr>
                    <w:jc w:val="center"/>
                    <w:rPr>
                      <w:rFonts w:ascii="宋体" w:hAnsi="宋体"/>
                      <w:szCs w:val="21"/>
                    </w:rPr>
                  </w:pPr>
                  <w:r>
                    <w:rPr>
                      <w:rFonts w:ascii="宋体" w:hAnsi="宋体"/>
                      <w:szCs w:val="21"/>
                    </w:rPr>
                    <w:t>41°25′32″</w:t>
                  </w:r>
                </w:p>
              </w:tc>
              <w:tc>
                <w:tcPr>
                  <w:tcW w:w="798" w:type="dxa"/>
                  <w:noWrap w:val="0"/>
                  <w:vAlign w:val="center"/>
                </w:tcPr>
                <w:p>
                  <w:pPr>
                    <w:autoSpaceDE w:val="0"/>
                    <w:autoSpaceDN w:val="0"/>
                    <w:adjustRightInd w:val="0"/>
                    <w:jc w:val="center"/>
                    <w:rPr>
                      <w:rFonts w:ascii="宋体" w:hAnsi="宋体"/>
                      <w:szCs w:val="21"/>
                    </w:rPr>
                  </w:pPr>
                  <w:r>
                    <w:rPr>
                      <w:rFonts w:hint="eastAsia" w:ascii="宋体" w:hAnsi="宋体"/>
                      <w:szCs w:val="21"/>
                    </w:rPr>
                    <w:t>2</w:t>
                  </w:r>
                </w:p>
              </w:tc>
              <w:tc>
                <w:tcPr>
                  <w:tcW w:w="1608" w:type="dxa"/>
                  <w:noWrap w:val="0"/>
                  <w:vAlign w:val="center"/>
                </w:tcPr>
                <w:p>
                  <w:pPr>
                    <w:jc w:val="center"/>
                    <w:rPr>
                      <w:rFonts w:ascii="宋体" w:hAnsi="宋体"/>
                      <w:szCs w:val="21"/>
                    </w:rPr>
                  </w:pPr>
                  <w:r>
                    <w:rPr>
                      <w:rFonts w:ascii="宋体" w:hAnsi="宋体"/>
                      <w:szCs w:val="21"/>
                    </w:rPr>
                    <w:t>4588045.1755</w:t>
                  </w:r>
                </w:p>
              </w:tc>
              <w:tc>
                <w:tcPr>
                  <w:tcW w:w="1701" w:type="dxa"/>
                  <w:noWrap w:val="0"/>
                  <w:vAlign w:val="center"/>
                </w:tcPr>
                <w:p>
                  <w:pPr>
                    <w:jc w:val="center"/>
                    <w:rPr>
                      <w:rFonts w:ascii="宋体" w:hAnsi="宋体"/>
                      <w:szCs w:val="21"/>
                    </w:rPr>
                  </w:pPr>
                  <w:r>
                    <w:rPr>
                      <w:rFonts w:ascii="宋体" w:hAnsi="宋体"/>
                      <w:szCs w:val="21"/>
                    </w:rPr>
                    <w:t>40447175.6409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4" w:hRule="atLeast"/>
              </w:trPr>
              <w:tc>
                <w:tcPr>
                  <w:tcW w:w="716" w:type="dxa"/>
                  <w:noWrap w:val="0"/>
                  <w:vAlign w:val="center"/>
                </w:tcPr>
                <w:p>
                  <w:pPr>
                    <w:autoSpaceDE w:val="0"/>
                    <w:autoSpaceDN w:val="0"/>
                    <w:adjustRightInd w:val="0"/>
                    <w:jc w:val="center"/>
                    <w:rPr>
                      <w:rFonts w:ascii="宋体" w:hAnsi="宋体"/>
                      <w:szCs w:val="21"/>
                    </w:rPr>
                  </w:pPr>
                  <w:r>
                    <w:rPr>
                      <w:rFonts w:hint="eastAsia" w:ascii="宋体" w:hAnsi="宋体"/>
                      <w:szCs w:val="21"/>
                    </w:rPr>
                    <w:t>3</w:t>
                  </w:r>
                </w:p>
              </w:tc>
              <w:tc>
                <w:tcPr>
                  <w:tcW w:w="1601" w:type="dxa"/>
                  <w:noWrap w:val="0"/>
                  <w:vAlign w:val="center"/>
                </w:tcPr>
                <w:p>
                  <w:pPr>
                    <w:jc w:val="center"/>
                    <w:rPr>
                      <w:rFonts w:ascii="宋体" w:hAnsi="宋体"/>
                      <w:szCs w:val="21"/>
                    </w:rPr>
                  </w:pPr>
                  <w:r>
                    <w:rPr>
                      <w:rFonts w:ascii="宋体" w:hAnsi="宋体"/>
                      <w:szCs w:val="21"/>
                    </w:rPr>
                    <w:t>119°21′52″</w:t>
                  </w:r>
                </w:p>
              </w:tc>
              <w:tc>
                <w:tcPr>
                  <w:tcW w:w="1517" w:type="dxa"/>
                  <w:noWrap w:val="0"/>
                  <w:vAlign w:val="center"/>
                </w:tcPr>
                <w:p>
                  <w:pPr>
                    <w:jc w:val="center"/>
                    <w:rPr>
                      <w:rFonts w:ascii="宋体" w:hAnsi="宋体"/>
                      <w:szCs w:val="21"/>
                    </w:rPr>
                  </w:pPr>
                  <w:r>
                    <w:rPr>
                      <w:rFonts w:ascii="宋体" w:hAnsi="宋体"/>
                      <w:szCs w:val="21"/>
                    </w:rPr>
                    <w:t>41°25′33″</w:t>
                  </w:r>
                </w:p>
              </w:tc>
              <w:tc>
                <w:tcPr>
                  <w:tcW w:w="798" w:type="dxa"/>
                  <w:noWrap w:val="0"/>
                  <w:vAlign w:val="center"/>
                </w:tcPr>
                <w:p>
                  <w:pPr>
                    <w:autoSpaceDE w:val="0"/>
                    <w:autoSpaceDN w:val="0"/>
                    <w:adjustRightInd w:val="0"/>
                    <w:jc w:val="center"/>
                    <w:rPr>
                      <w:rFonts w:ascii="宋体" w:hAnsi="宋体"/>
                      <w:szCs w:val="21"/>
                    </w:rPr>
                  </w:pPr>
                  <w:r>
                    <w:rPr>
                      <w:rFonts w:hint="eastAsia" w:ascii="宋体" w:hAnsi="宋体"/>
                      <w:szCs w:val="21"/>
                    </w:rPr>
                    <w:t>3</w:t>
                  </w:r>
                </w:p>
              </w:tc>
              <w:tc>
                <w:tcPr>
                  <w:tcW w:w="1608" w:type="dxa"/>
                  <w:noWrap w:val="0"/>
                  <w:vAlign w:val="center"/>
                </w:tcPr>
                <w:p>
                  <w:pPr>
                    <w:jc w:val="center"/>
                    <w:rPr>
                      <w:rFonts w:ascii="宋体" w:hAnsi="宋体"/>
                      <w:szCs w:val="21"/>
                    </w:rPr>
                  </w:pPr>
                  <w:r>
                    <w:rPr>
                      <w:rFonts w:ascii="宋体" w:hAnsi="宋体"/>
                      <w:szCs w:val="21"/>
                    </w:rPr>
                    <w:t>4588055.5648</w:t>
                  </w:r>
                </w:p>
              </w:tc>
              <w:tc>
                <w:tcPr>
                  <w:tcW w:w="1701" w:type="dxa"/>
                  <w:noWrap w:val="0"/>
                  <w:vAlign w:val="center"/>
                </w:tcPr>
                <w:p>
                  <w:pPr>
                    <w:jc w:val="center"/>
                    <w:rPr>
                      <w:rFonts w:ascii="宋体" w:hAnsi="宋体"/>
                      <w:szCs w:val="21"/>
                    </w:rPr>
                  </w:pPr>
                  <w:r>
                    <w:rPr>
                      <w:rFonts w:ascii="宋体" w:hAnsi="宋体"/>
                      <w:szCs w:val="21"/>
                    </w:rPr>
                    <w:t>40446875.9502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4" w:hRule="atLeast"/>
              </w:trPr>
              <w:tc>
                <w:tcPr>
                  <w:tcW w:w="716" w:type="dxa"/>
                  <w:noWrap w:val="0"/>
                  <w:vAlign w:val="center"/>
                </w:tcPr>
                <w:p>
                  <w:pPr>
                    <w:autoSpaceDE w:val="0"/>
                    <w:autoSpaceDN w:val="0"/>
                    <w:adjustRightInd w:val="0"/>
                    <w:jc w:val="center"/>
                    <w:rPr>
                      <w:rFonts w:ascii="宋体" w:hAnsi="宋体"/>
                      <w:szCs w:val="21"/>
                    </w:rPr>
                  </w:pPr>
                  <w:r>
                    <w:rPr>
                      <w:rFonts w:hint="eastAsia" w:ascii="宋体" w:hAnsi="宋体"/>
                      <w:szCs w:val="21"/>
                    </w:rPr>
                    <w:t>4</w:t>
                  </w:r>
                </w:p>
              </w:tc>
              <w:tc>
                <w:tcPr>
                  <w:tcW w:w="1601" w:type="dxa"/>
                  <w:noWrap w:val="0"/>
                  <w:vAlign w:val="center"/>
                </w:tcPr>
                <w:p>
                  <w:pPr>
                    <w:jc w:val="center"/>
                    <w:rPr>
                      <w:rFonts w:ascii="宋体" w:hAnsi="宋体"/>
                      <w:szCs w:val="21"/>
                    </w:rPr>
                  </w:pPr>
                  <w:r>
                    <w:rPr>
                      <w:rFonts w:ascii="宋体" w:hAnsi="宋体"/>
                      <w:szCs w:val="21"/>
                    </w:rPr>
                    <w:t>119°21′51″</w:t>
                  </w:r>
                </w:p>
              </w:tc>
              <w:tc>
                <w:tcPr>
                  <w:tcW w:w="1517" w:type="dxa"/>
                  <w:noWrap w:val="0"/>
                  <w:vAlign w:val="center"/>
                </w:tcPr>
                <w:p>
                  <w:pPr>
                    <w:jc w:val="center"/>
                    <w:rPr>
                      <w:rFonts w:ascii="宋体" w:hAnsi="宋体"/>
                      <w:szCs w:val="21"/>
                    </w:rPr>
                  </w:pPr>
                  <w:r>
                    <w:rPr>
                      <w:rFonts w:ascii="宋体" w:hAnsi="宋体"/>
                      <w:szCs w:val="21"/>
                    </w:rPr>
                    <w:t>41°25′17″</w:t>
                  </w:r>
                </w:p>
              </w:tc>
              <w:tc>
                <w:tcPr>
                  <w:tcW w:w="798" w:type="dxa"/>
                  <w:noWrap w:val="0"/>
                  <w:vAlign w:val="center"/>
                </w:tcPr>
                <w:p>
                  <w:pPr>
                    <w:autoSpaceDE w:val="0"/>
                    <w:autoSpaceDN w:val="0"/>
                    <w:adjustRightInd w:val="0"/>
                    <w:jc w:val="center"/>
                    <w:rPr>
                      <w:rFonts w:ascii="宋体" w:hAnsi="宋体"/>
                      <w:szCs w:val="21"/>
                    </w:rPr>
                  </w:pPr>
                  <w:r>
                    <w:rPr>
                      <w:rFonts w:hint="eastAsia" w:ascii="宋体" w:hAnsi="宋体"/>
                      <w:szCs w:val="21"/>
                    </w:rPr>
                    <w:t>4</w:t>
                  </w:r>
                </w:p>
              </w:tc>
              <w:tc>
                <w:tcPr>
                  <w:tcW w:w="1608" w:type="dxa"/>
                  <w:noWrap w:val="0"/>
                  <w:vAlign w:val="center"/>
                </w:tcPr>
                <w:p>
                  <w:pPr>
                    <w:jc w:val="center"/>
                    <w:rPr>
                      <w:rFonts w:ascii="宋体" w:hAnsi="宋体"/>
                      <w:szCs w:val="21"/>
                    </w:rPr>
                  </w:pPr>
                  <w:r>
                    <w:rPr>
                      <w:rFonts w:ascii="宋体" w:hAnsi="宋体"/>
                      <w:szCs w:val="21"/>
                    </w:rPr>
                    <w:t>4587556.0822</w:t>
                  </w:r>
                </w:p>
              </w:tc>
              <w:tc>
                <w:tcPr>
                  <w:tcW w:w="1701" w:type="dxa"/>
                  <w:noWrap w:val="0"/>
                  <w:vAlign w:val="center"/>
                </w:tcPr>
                <w:p>
                  <w:pPr>
                    <w:jc w:val="center"/>
                    <w:rPr>
                      <w:rFonts w:ascii="宋体" w:hAnsi="宋体"/>
                      <w:szCs w:val="21"/>
                    </w:rPr>
                  </w:pPr>
                  <w:r>
                    <w:rPr>
                      <w:rFonts w:ascii="宋体" w:hAnsi="宋体"/>
                      <w:szCs w:val="21"/>
                    </w:rPr>
                    <w:t>40446858.6408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4" w:hRule="atLeast"/>
              </w:trPr>
              <w:tc>
                <w:tcPr>
                  <w:tcW w:w="7941" w:type="dxa"/>
                  <w:gridSpan w:val="6"/>
                  <w:noWrap w:val="0"/>
                  <w:vAlign w:val="center"/>
                </w:tcPr>
                <w:p>
                  <w:pPr>
                    <w:autoSpaceDE w:val="0"/>
                    <w:autoSpaceDN w:val="0"/>
                    <w:adjustRightInd w:val="0"/>
                    <w:jc w:val="center"/>
                    <w:rPr>
                      <w:rFonts w:ascii="宋体" w:hAnsi="宋体"/>
                      <w:szCs w:val="21"/>
                    </w:rPr>
                  </w:pPr>
                  <w:r>
                    <w:rPr>
                      <w:rFonts w:ascii="宋体" w:hAnsi="宋体" w:cs="宋体"/>
                      <w:szCs w:val="21"/>
                    </w:rPr>
                    <w:t>矿区面积：</w:t>
                  </w:r>
                  <w:r>
                    <w:rPr>
                      <w:rFonts w:ascii="宋体" w:hAnsi="宋体" w:cs="宋体"/>
                      <w:spacing w:val="1"/>
                      <w:szCs w:val="21"/>
                    </w:rPr>
                    <w:t>0</w:t>
                  </w:r>
                  <w:r>
                    <w:rPr>
                      <w:rFonts w:ascii="宋体" w:hAnsi="宋体" w:cs="宋体"/>
                      <w:spacing w:val="-2"/>
                      <w:szCs w:val="21"/>
                    </w:rPr>
                    <w:t>.</w:t>
                  </w:r>
                  <w:r>
                    <w:rPr>
                      <w:rFonts w:ascii="宋体" w:hAnsi="宋体" w:cs="宋体"/>
                      <w:spacing w:val="1"/>
                      <w:szCs w:val="21"/>
                    </w:rPr>
                    <w:t>4</w:t>
                  </w:r>
                  <w:r>
                    <w:rPr>
                      <w:rFonts w:ascii="宋体" w:hAnsi="宋体" w:cs="宋体"/>
                      <w:spacing w:val="-2"/>
                      <w:szCs w:val="21"/>
                    </w:rPr>
                    <w:t>8</w:t>
                  </w:r>
                  <w:r>
                    <w:rPr>
                      <w:rFonts w:ascii="宋体" w:hAnsi="宋体" w:cs="宋体"/>
                      <w:spacing w:val="1"/>
                      <w:szCs w:val="21"/>
                    </w:rPr>
                    <w:t>5</w:t>
                  </w:r>
                  <w:r>
                    <w:rPr>
                      <w:rFonts w:ascii="宋体" w:hAnsi="宋体" w:cs="宋体"/>
                      <w:spacing w:val="-2"/>
                      <w:szCs w:val="21"/>
                    </w:rPr>
                    <w:t>5</w:t>
                  </w:r>
                  <w:r>
                    <w:rPr>
                      <w:rFonts w:ascii="宋体" w:hAnsi="宋体" w:cs="宋体"/>
                      <w:spacing w:val="1"/>
                      <w:szCs w:val="21"/>
                    </w:rPr>
                    <w:t>k</w:t>
                  </w:r>
                  <w:r>
                    <w:rPr>
                      <w:rFonts w:ascii="宋体" w:hAnsi="宋体" w:cs="宋体"/>
                      <w:spacing w:val="-2"/>
                      <w:szCs w:val="21"/>
                    </w:rPr>
                    <w:t>m</w:t>
                  </w:r>
                  <w:r>
                    <w:rPr>
                      <w:rFonts w:ascii="宋体" w:hAnsi="宋体" w:cs="宋体"/>
                      <w:position w:val="9"/>
                      <w:szCs w:val="21"/>
                    </w:rPr>
                    <w:t>2</w:t>
                  </w:r>
                  <w:r>
                    <w:rPr>
                      <w:rFonts w:ascii="宋体" w:hAnsi="宋体" w:cs="宋体"/>
                      <w:position w:val="9"/>
                      <w:szCs w:val="21"/>
                    </w:rPr>
                    <w:tab/>
                  </w:r>
                  <w:r>
                    <w:rPr>
                      <w:rFonts w:hint="eastAsia" w:ascii="宋体" w:hAnsi="宋体" w:cs="宋体"/>
                      <w:position w:val="9"/>
                      <w:szCs w:val="21"/>
                    </w:rPr>
                    <w:t xml:space="preserve"> </w:t>
                  </w:r>
                  <w:r>
                    <w:rPr>
                      <w:rFonts w:ascii="宋体" w:hAnsi="宋体" w:cs="宋体"/>
                      <w:szCs w:val="21"/>
                    </w:rPr>
                    <w:t>开采深度：</w:t>
                  </w:r>
                  <w:r>
                    <w:rPr>
                      <w:rFonts w:hint="eastAsia" w:ascii="宋体" w:hAnsi="宋体" w:cs="宋体"/>
                      <w:spacing w:val="1"/>
                      <w:szCs w:val="21"/>
                    </w:rPr>
                    <w:t>660</w:t>
                  </w:r>
                  <w:r>
                    <w:rPr>
                      <w:rFonts w:ascii="宋体" w:hAnsi="宋体" w:cs="宋体"/>
                      <w:spacing w:val="-2"/>
                      <w:szCs w:val="21"/>
                    </w:rPr>
                    <w:t>m</w:t>
                  </w:r>
                  <w:r>
                    <w:rPr>
                      <w:rFonts w:ascii="宋体" w:hAnsi="宋体" w:cs="宋体"/>
                      <w:szCs w:val="21"/>
                    </w:rPr>
                    <w:t>～</w:t>
                  </w:r>
                  <w:r>
                    <w:rPr>
                      <w:rFonts w:ascii="宋体" w:hAnsi="宋体" w:cs="宋体"/>
                      <w:spacing w:val="1"/>
                      <w:szCs w:val="21"/>
                    </w:rPr>
                    <w:t>6</w:t>
                  </w:r>
                  <w:r>
                    <w:rPr>
                      <w:rFonts w:hint="eastAsia" w:ascii="宋体" w:hAnsi="宋体" w:cs="宋体"/>
                      <w:spacing w:val="-2"/>
                      <w:szCs w:val="21"/>
                    </w:rPr>
                    <w:t>00</w:t>
                  </w:r>
                  <w:r>
                    <w:rPr>
                      <w:rFonts w:ascii="宋体" w:hAnsi="宋体" w:cs="宋体"/>
                      <w:szCs w:val="21"/>
                    </w:rPr>
                    <w:t>m标高</w:t>
                  </w:r>
                </w:p>
              </w:tc>
            </w:tr>
          </w:tbl>
          <w:p>
            <w:pPr>
              <w:autoSpaceDE w:val="0"/>
              <w:autoSpaceDN w:val="0"/>
              <w:adjustRightInd w:val="0"/>
              <w:textAlignment w:val="center"/>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72"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基金提取</w:t>
            </w:r>
          </w:p>
        </w:tc>
        <w:tc>
          <w:tcPr>
            <w:tcW w:w="3668" w:type="dxa"/>
            <w:noWrap w:val="0"/>
            <w:vAlign w:val="center"/>
          </w:tcPr>
          <w:p>
            <w:pPr>
              <w:autoSpaceDE w:val="0"/>
              <w:autoSpaceDN w:val="0"/>
              <w:adjustRightInd w:val="0"/>
              <w:jc w:val="center"/>
              <w:rPr>
                <w:rFonts w:ascii="宋体" w:hAnsi="宋体"/>
                <w:szCs w:val="21"/>
                <w:lang w:val="zh-CN"/>
              </w:rPr>
            </w:pPr>
          </w:p>
        </w:tc>
        <w:tc>
          <w:tcPr>
            <w:tcW w:w="1491" w:type="dxa"/>
            <w:noWrap w:val="0"/>
            <w:vAlign w:val="center"/>
          </w:tcPr>
          <w:p>
            <w:pPr>
              <w:autoSpaceDE w:val="0"/>
              <w:autoSpaceDN w:val="0"/>
              <w:adjustRightInd w:val="0"/>
              <w:jc w:val="center"/>
              <w:textAlignment w:val="center"/>
              <w:rPr>
                <w:rFonts w:ascii="宋体" w:hAnsi="宋体"/>
                <w:szCs w:val="21"/>
                <w:lang w:val="zh-CN"/>
              </w:rPr>
            </w:pPr>
            <w:r>
              <w:rPr>
                <w:rFonts w:hint="eastAsia" w:ascii="宋体" w:hAnsi="宋体"/>
                <w:szCs w:val="21"/>
                <w:lang w:val="zh-CN"/>
              </w:rPr>
              <w:t>基金使用</w:t>
            </w:r>
          </w:p>
        </w:tc>
        <w:tc>
          <w:tcPr>
            <w:tcW w:w="3009" w:type="dxa"/>
            <w:noWrap w:val="0"/>
            <w:vAlign w:val="center"/>
          </w:tcPr>
          <w:p>
            <w:pPr>
              <w:autoSpaceDE w:val="0"/>
              <w:autoSpaceDN w:val="0"/>
              <w:adjustRightInd w:val="0"/>
              <w:jc w:val="center"/>
              <w:textAlignment w:val="center"/>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9740" w:type="dxa"/>
            <w:gridSpan w:val="4"/>
            <w:noWrap w:val="0"/>
            <w:vAlign w:val="center"/>
          </w:tcPr>
          <w:p>
            <w:pPr>
              <w:autoSpaceDE w:val="0"/>
              <w:autoSpaceDN w:val="0"/>
              <w:adjustRightInd w:val="0"/>
              <w:jc w:val="center"/>
              <w:rPr>
                <w:rFonts w:ascii="宋体" w:hAnsi="宋体"/>
                <w:b/>
                <w:szCs w:val="21"/>
                <w:lang w:val="zh-CN"/>
              </w:rPr>
            </w:pPr>
            <w:r>
              <w:rPr>
                <w:rFonts w:hint="eastAsia" w:ascii="宋体" w:hAnsi="宋体"/>
                <w:b/>
                <w:szCs w:val="21"/>
                <w:lang w:val="zh-CN"/>
              </w:rPr>
              <w:t>矿山企业联系方式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572"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联系人</w:t>
            </w:r>
          </w:p>
        </w:tc>
        <w:tc>
          <w:tcPr>
            <w:tcW w:w="3668"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王国海</w:t>
            </w:r>
          </w:p>
        </w:tc>
        <w:tc>
          <w:tcPr>
            <w:tcW w:w="1491"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手机号</w:t>
            </w:r>
          </w:p>
        </w:tc>
        <w:tc>
          <w:tcPr>
            <w:tcW w:w="3009" w:type="dxa"/>
            <w:noWrap w:val="0"/>
            <w:vAlign w:val="center"/>
          </w:tcPr>
          <w:p>
            <w:pPr>
              <w:autoSpaceDE w:val="0"/>
              <w:autoSpaceDN w:val="0"/>
              <w:adjustRightInd w:val="0"/>
              <w:jc w:val="center"/>
              <w:rPr>
                <w:rFonts w:ascii="宋体" w:hAnsi="宋体"/>
                <w:szCs w:val="21"/>
                <w:lang w:val="zh-CN"/>
              </w:rPr>
            </w:pPr>
            <w:r>
              <w:rPr>
                <w:rFonts w:hint="eastAsia"/>
                <w:sz w:val="17"/>
                <w:szCs w:val="17"/>
              </w:rPr>
              <w:t>13948965266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72"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通讯地址</w:t>
            </w:r>
          </w:p>
        </w:tc>
        <w:tc>
          <w:tcPr>
            <w:tcW w:w="3668" w:type="dxa"/>
            <w:noWrap w:val="0"/>
            <w:vAlign w:val="center"/>
          </w:tcPr>
          <w:p>
            <w:pPr>
              <w:autoSpaceDE w:val="0"/>
              <w:autoSpaceDN w:val="0"/>
              <w:adjustRightInd w:val="0"/>
              <w:jc w:val="center"/>
              <w:rPr>
                <w:rFonts w:ascii="宋体" w:hAnsi="宋体"/>
                <w:szCs w:val="21"/>
                <w:lang w:val="zh-CN"/>
              </w:rPr>
            </w:pPr>
            <w:r>
              <w:rPr>
                <w:rFonts w:ascii="宋体" w:hAnsi="宋体"/>
                <w:szCs w:val="21"/>
              </w:rPr>
              <w:t>宁城县宝石山矿业有限公司</w:t>
            </w:r>
          </w:p>
        </w:tc>
        <w:tc>
          <w:tcPr>
            <w:tcW w:w="1491"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邮编</w:t>
            </w:r>
          </w:p>
        </w:tc>
        <w:tc>
          <w:tcPr>
            <w:tcW w:w="3009" w:type="dxa"/>
            <w:noWrap w:val="0"/>
            <w:vAlign w:val="center"/>
          </w:tcPr>
          <w:p>
            <w:pPr>
              <w:autoSpaceDE w:val="0"/>
              <w:autoSpaceDN w:val="0"/>
              <w:adjustRightInd w:val="0"/>
              <w:jc w:val="center"/>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572" w:type="dxa"/>
            <w:noWrap w:val="0"/>
            <w:vAlign w:val="center"/>
          </w:tcPr>
          <w:p>
            <w:pPr>
              <w:autoSpaceDE w:val="0"/>
              <w:autoSpaceDN w:val="0"/>
              <w:adjustRightInd w:val="0"/>
              <w:jc w:val="center"/>
              <w:rPr>
                <w:rFonts w:ascii="宋体" w:hAnsi="宋体"/>
                <w:szCs w:val="21"/>
                <w:lang w:val="zh-CN"/>
              </w:rPr>
            </w:pPr>
            <w:r>
              <w:rPr>
                <w:rFonts w:hint="eastAsia" w:ascii="宋体" w:hAnsi="宋体"/>
                <w:szCs w:val="21"/>
                <w:lang w:val="zh-CN"/>
              </w:rPr>
              <w:t>固定电话</w:t>
            </w:r>
          </w:p>
        </w:tc>
        <w:tc>
          <w:tcPr>
            <w:tcW w:w="3668" w:type="dxa"/>
            <w:noWrap w:val="0"/>
            <w:vAlign w:val="center"/>
          </w:tcPr>
          <w:p>
            <w:pPr>
              <w:autoSpaceDE w:val="0"/>
              <w:autoSpaceDN w:val="0"/>
              <w:adjustRightInd w:val="0"/>
              <w:jc w:val="center"/>
              <w:rPr>
                <w:rFonts w:ascii="宋体" w:hAnsi="宋体"/>
                <w:szCs w:val="21"/>
                <w:lang w:val="zh-CN"/>
              </w:rPr>
            </w:pPr>
          </w:p>
        </w:tc>
        <w:tc>
          <w:tcPr>
            <w:tcW w:w="1491" w:type="dxa"/>
            <w:noWrap w:val="0"/>
            <w:vAlign w:val="center"/>
          </w:tcPr>
          <w:p>
            <w:pPr>
              <w:autoSpaceDE w:val="0"/>
              <w:autoSpaceDN w:val="0"/>
              <w:adjustRightInd w:val="0"/>
              <w:jc w:val="center"/>
              <w:rPr>
                <w:rFonts w:ascii="宋体" w:hAnsi="宋体"/>
                <w:szCs w:val="21"/>
                <w:lang w:val="zh-CN"/>
              </w:rPr>
            </w:pPr>
            <w:r>
              <w:rPr>
                <w:rFonts w:ascii="宋体" w:hAnsi="宋体"/>
                <w:szCs w:val="21"/>
                <w:lang w:val="zh-CN"/>
              </w:rPr>
              <w:t>E-mail</w:t>
            </w:r>
          </w:p>
        </w:tc>
        <w:tc>
          <w:tcPr>
            <w:tcW w:w="3009" w:type="dxa"/>
            <w:noWrap w:val="0"/>
            <w:vAlign w:val="center"/>
          </w:tcPr>
          <w:p>
            <w:pPr>
              <w:autoSpaceDE w:val="0"/>
              <w:autoSpaceDN w:val="0"/>
              <w:adjustRightInd w:val="0"/>
              <w:jc w:val="center"/>
              <w:rPr>
                <w:rFonts w:ascii="宋体" w:hAnsi="宋体"/>
                <w:szCs w:val="21"/>
                <w:lang w:val="zh-CN"/>
              </w:rPr>
            </w:pPr>
          </w:p>
        </w:tc>
      </w:tr>
    </w:tbl>
    <w:p>
      <w:pPr>
        <w:spacing w:line="360" w:lineRule="auto"/>
        <w:ind w:firstLine="480" w:firstLineChars="200"/>
        <w:rPr>
          <w:rFonts w:hint="eastAsia" w:ascii="宋体" w:hAnsi="宋体"/>
          <w:sz w:val="24"/>
        </w:rPr>
      </w:pPr>
    </w:p>
    <w:p>
      <w:pPr>
        <w:spacing w:line="360" w:lineRule="auto"/>
        <w:rPr>
          <w:rFonts w:hint="eastAsia" w:ascii="宋体" w:hAnsi="宋体"/>
          <w:sz w:val="36"/>
          <w:szCs w:val="36"/>
        </w:rPr>
      </w:pPr>
    </w:p>
    <w:p>
      <w:pPr>
        <w:pStyle w:val="2"/>
        <w:jc w:val="center"/>
        <w:rPr>
          <w:rFonts w:hint="eastAsia" w:ascii="宋体" w:hAnsi="宋体" w:eastAsia="宋体"/>
          <w:sz w:val="36"/>
          <w:szCs w:val="36"/>
        </w:rPr>
      </w:pPr>
      <w:bookmarkStart w:id="6" w:name="_Toc148251061"/>
      <w:r>
        <w:rPr>
          <w:rFonts w:ascii="宋体" w:hAnsi="宋体" w:eastAsia="宋体"/>
          <w:sz w:val="36"/>
          <w:szCs w:val="36"/>
        </w:rPr>
        <w:t>二、</w:t>
      </w:r>
      <w:bookmarkEnd w:id="0"/>
      <w:bookmarkEnd w:id="1"/>
      <w:bookmarkEnd w:id="5"/>
      <w:r>
        <w:rPr>
          <w:rFonts w:ascii="宋体" w:hAnsi="宋体" w:eastAsia="宋体"/>
          <w:sz w:val="36"/>
          <w:szCs w:val="36"/>
        </w:rPr>
        <w:t>矿山地质环境治理的编制</w:t>
      </w:r>
      <w:bookmarkEnd w:id="6"/>
    </w:p>
    <w:p>
      <w:pPr>
        <w:pStyle w:val="8"/>
        <w:spacing w:line="360" w:lineRule="auto"/>
        <w:ind w:firstLine="482" w:firstLineChars="200"/>
        <w:rPr>
          <w:rFonts w:hint="eastAsia"/>
          <w:b/>
          <w:sz w:val="24"/>
          <w:szCs w:val="24"/>
          <w:lang w:eastAsia="zh-CN"/>
        </w:rPr>
      </w:pPr>
      <w:r>
        <w:rPr>
          <w:rFonts w:hint="eastAsia"/>
          <w:b/>
          <w:sz w:val="24"/>
          <w:szCs w:val="24"/>
          <w:lang w:eastAsia="zh-CN"/>
        </w:rPr>
        <w:t>（一）方案编制情况</w:t>
      </w:r>
    </w:p>
    <w:p>
      <w:pPr>
        <w:pStyle w:val="8"/>
        <w:spacing w:line="360" w:lineRule="auto"/>
        <w:ind w:firstLine="480" w:firstLineChars="200"/>
        <w:rPr>
          <w:rFonts w:hint="eastAsia"/>
          <w:sz w:val="24"/>
          <w:szCs w:val="24"/>
          <w:lang w:eastAsia="zh-CN"/>
        </w:rPr>
      </w:pPr>
      <w:r>
        <w:rPr>
          <w:rFonts w:hint="eastAsia"/>
          <w:sz w:val="24"/>
          <w:szCs w:val="24"/>
          <w:lang w:eastAsia="zh-CN"/>
        </w:rPr>
        <w:t>（1）</w:t>
      </w:r>
      <w:r>
        <w:rPr>
          <w:sz w:val="24"/>
          <w:szCs w:val="24"/>
          <w:lang w:eastAsia="zh-CN"/>
        </w:rPr>
        <w:t>2009 年 5 月由赤峰冠诚地质勘查有限责任公司编制的《宁城县宝石山高岭土矿矿山环境保护与综合治理方案》，（备案文号：10027），方案规划年限为 2010 年至 2014 年，综合治理规划年限为 4 年，近期规划年限为2010 年-2012 年，治理规划为：对露天采场进行监测，监测次数 30 次。该方案编制较早，矿山尚未形成系统的监测资料，</w:t>
      </w:r>
      <w:r>
        <w:rPr>
          <w:rFonts w:hint="eastAsia"/>
          <w:sz w:val="24"/>
          <w:szCs w:val="24"/>
          <w:lang w:eastAsia="zh-CN"/>
        </w:rPr>
        <w:t>不</w:t>
      </w:r>
      <w:r>
        <w:rPr>
          <w:sz w:val="24"/>
          <w:szCs w:val="24"/>
          <w:lang w:eastAsia="zh-CN"/>
        </w:rPr>
        <w:t>对其</w:t>
      </w:r>
      <w:r>
        <w:rPr>
          <w:rFonts w:hint="eastAsia"/>
          <w:sz w:val="24"/>
          <w:szCs w:val="24"/>
          <w:lang w:eastAsia="zh-CN"/>
        </w:rPr>
        <w:t>进行评述</w:t>
      </w:r>
      <w:r>
        <w:rPr>
          <w:sz w:val="24"/>
          <w:szCs w:val="24"/>
          <w:lang w:eastAsia="zh-CN"/>
        </w:rPr>
        <w:t>。</w:t>
      </w:r>
    </w:p>
    <w:p>
      <w:pPr>
        <w:pStyle w:val="8"/>
        <w:spacing w:line="360" w:lineRule="auto"/>
        <w:ind w:firstLine="480" w:firstLineChars="200"/>
        <w:rPr>
          <w:rFonts w:hint="eastAsia"/>
          <w:sz w:val="24"/>
          <w:szCs w:val="24"/>
          <w:lang w:eastAsia="zh-CN"/>
        </w:rPr>
      </w:pPr>
      <w:r>
        <w:rPr>
          <w:rFonts w:hint="eastAsia"/>
          <w:sz w:val="24"/>
          <w:szCs w:val="24"/>
        </w:rPr>
        <w:t>（</w:t>
      </w:r>
      <w:r>
        <w:rPr>
          <w:rFonts w:hint="eastAsia"/>
          <w:sz w:val="24"/>
          <w:szCs w:val="24"/>
          <w:lang w:eastAsia="zh-CN"/>
        </w:rPr>
        <w:t>2</w:t>
      </w:r>
      <w:r>
        <w:rPr>
          <w:rFonts w:hint="eastAsia"/>
          <w:sz w:val="24"/>
          <w:szCs w:val="24"/>
        </w:rPr>
        <w:t>）</w:t>
      </w:r>
      <w:r>
        <w:rPr>
          <w:sz w:val="24"/>
          <w:szCs w:val="24"/>
          <w:lang w:eastAsia="zh-CN"/>
        </w:rPr>
        <w:t>2014 年 10 月赤峰冠诚地质勘查有限责任公司编制的《宁城县忙农镇 龙宝山高岭土矿矿山地质环境分期治理及土地复垦方案（2010.1.1～2014.8.1）》（赤国土环分治备字[2015]11 号）</w:t>
      </w:r>
      <w:r>
        <w:rPr>
          <w:rFonts w:hint="eastAsia"/>
          <w:sz w:val="24"/>
          <w:szCs w:val="24"/>
          <w:lang w:eastAsia="zh-CN"/>
        </w:rPr>
        <w:t>。</w:t>
      </w:r>
    </w:p>
    <w:p>
      <w:pPr>
        <w:pStyle w:val="8"/>
        <w:spacing w:line="360" w:lineRule="auto"/>
        <w:ind w:firstLine="480" w:firstLineChars="200"/>
        <w:rPr>
          <w:rFonts w:hint="eastAsia"/>
          <w:sz w:val="24"/>
          <w:szCs w:val="24"/>
          <w:lang w:eastAsia="zh-CN"/>
        </w:rPr>
      </w:pPr>
      <w:r>
        <w:rPr>
          <w:rFonts w:hint="eastAsia"/>
          <w:sz w:val="24"/>
          <w:szCs w:val="24"/>
        </w:rPr>
        <w:t>（</w:t>
      </w:r>
      <w:r>
        <w:rPr>
          <w:rFonts w:hint="eastAsia"/>
          <w:sz w:val="24"/>
          <w:szCs w:val="24"/>
          <w:lang w:eastAsia="zh-CN"/>
        </w:rPr>
        <w:t>3</w:t>
      </w:r>
      <w:r>
        <w:rPr>
          <w:rFonts w:hint="eastAsia"/>
          <w:sz w:val="24"/>
          <w:szCs w:val="24"/>
        </w:rPr>
        <w:t>）</w:t>
      </w:r>
      <w:r>
        <w:rPr>
          <w:sz w:val="24"/>
          <w:szCs w:val="24"/>
          <w:lang w:eastAsia="zh-CN"/>
        </w:rPr>
        <w:t>2017 年 3 月，赤峰冠诚地质勘查有限责任公司编制的《宁城县宝石山 矿 业 有 限 公 司 龙 宝 山 高 岭 土 矿 矿 山 地 质 环 境 分 期 治 理 方 案 （ 2014.8.1 ～ 2017.7.31》（赤分治字[2017]060 号）</w:t>
      </w:r>
      <w:r>
        <w:rPr>
          <w:rFonts w:hint="eastAsia"/>
          <w:sz w:val="24"/>
          <w:szCs w:val="24"/>
          <w:lang w:eastAsia="zh-CN"/>
        </w:rPr>
        <w:t>。</w:t>
      </w:r>
    </w:p>
    <w:p>
      <w:pPr>
        <w:pStyle w:val="8"/>
        <w:spacing w:line="360" w:lineRule="auto"/>
        <w:ind w:firstLine="480" w:firstLineChars="200"/>
        <w:rPr>
          <w:rFonts w:hint="eastAsia"/>
          <w:sz w:val="24"/>
          <w:szCs w:val="24"/>
          <w:lang w:eastAsia="zh-CN"/>
        </w:rPr>
      </w:pPr>
      <w:r>
        <w:rPr>
          <w:rFonts w:hint="eastAsia"/>
          <w:sz w:val="24"/>
          <w:szCs w:val="24"/>
        </w:rPr>
        <w:t>（</w:t>
      </w:r>
      <w:r>
        <w:rPr>
          <w:rFonts w:hint="eastAsia"/>
          <w:sz w:val="24"/>
          <w:szCs w:val="24"/>
          <w:lang w:eastAsia="zh-CN"/>
        </w:rPr>
        <w:t>4</w:t>
      </w:r>
      <w:r>
        <w:rPr>
          <w:rFonts w:hint="eastAsia"/>
          <w:sz w:val="24"/>
          <w:szCs w:val="24"/>
        </w:rPr>
        <w:t>）</w:t>
      </w:r>
      <w:r>
        <w:rPr>
          <w:sz w:val="24"/>
          <w:szCs w:val="24"/>
          <w:lang w:eastAsia="zh-CN"/>
        </w:rPr>
        <w:t>20</w:t>
      </w:r>
      <w:r>
        <w:rPr>
          <w:rFonts w:hint="eastAsia"/>
          <w:sz w:val="24"/>
          <w:szCs w:val="24"/>
          <w:lang w:eastAsia="zh-CN"/>
        </w:rPr>
        <w:t>20</w:t>
      </w:r>
      <w:r>
        <w:rPr>
          <w:sz w:val="24"/>
          <w:szCs w:val="24"/>
          <w:lang w:eastAsia="zh-CN"/>
        </w:rPr>
        <w:t>年</w:t>
      </w:r>
      <w:r>
        <w:rPr>
          <w:rFonts w:hint="eastAsia"/>
          <w:sz w:val="24"/>
          <w:szCs w:val="24"/>
          <w:lang w:eastAsia="zh-CN"/>
        </w:rPr>
        <w:t>5</w:t>
      </w:r>
      <w:r>
        <w:rPr>
          <w:sz w:val="24"/>
          <w:szCs w:val="24"/>
          <w:lang w:eastAsia="zh-CN"/>
        </w:rPr>
        <w:t>月由中国建筑材料工业地质勘查中心辽宁总队编制的《内蒙古自治区内蒙古宁城县宝石山矿业有限公司龙宝山高岭土矿矿山环境治理方案》（备案文号：赤矿治字</w:t>
      </w:r>
      <w:r>
        <w:rPr>
          <w:rFonts w:hint="eastAsia"/>
          <w:sz w:val="24"/>
          <w:szCs w:val="24"/>
          <w:lang w:eastAsia="zh-CN"/>
        </w:rPr>
        <w:t>[2021]067</w:t>
      </w:r>
      <w:r>
        <w:rPr>
          <w:sz w:val="24"/>
          <w:szCs w:val="24"/>
          <w:lang w:eastAsia="zh-CN"/>
        </w:rPr>
        <w:t>），方案</w:t>
      </w:r>
      <w:r>
        <w:rPr>
          <w:rFonts w:hint="eastAsia"/>
          <w:sz w:val="24"/>
          <w:szCs w:val="24"/>
          <w:lang w:eastAsia="zh-CN"/>
        </w:rPr>
        <w:t>规划</w:t>
      </w:r>
      <w:r>
        <w:rPr>
          <w:sz w:val="24"/>
          <w:szCs w:val="24"/>
          <w:lang w:eastAsia="zh-CN"/>
        </w:rPr>
        <w:t>年限为</w:t>
      </w:r>
      <w:r>
        <w:rPr>
          <w:rFonts w:hint="eastAsia"/>
          <w:sz w:val="24"/>
          <w:szCs w:val="24"/>
          <w:lang w:eastAsia="zh-CN"/>
        </w:rPr>
        <w:t>3</w:t>
      </w:r>
      <w:r>
        <w:rPr>
          <w:sz w:val="24"/>
          <w:szCs w:val="24"/>
          <w:lang w:eastAsia="zh-CN"/>
        </w:rPr>
        <w:t>年（20</w:t>
      </w:r>
      <w:r>
        <w:rPr>
          <w:rFonts w:hint="eastAsia"/>
          <w:sz w:val="24"/>
          <w:szCs w:val="24"/>
          <w:lang w:eastAsia="zh-CN"/>
        </w:rPr>
        <w:t>20</w:t>
      </w:r>
      <w:r>
        <w:rPr>
          <w:sz w:val="24"/>
          <w:szCs w:val="24"/>
          <w:lang w:eastAsia="zh-CN"/>
        </w:rPr>
        <w:t>年</w:t>
      </w:r>
      <w:r>
        <w:rPr>
          <w:rFonts w:hint="eastAsia"/>
          <w:sz w:val="24"/>
          <w:szCs w:val="24"/>
          <w:lang w:eastAsia="zh-CN"/>
        </w:rPr>
        <w:t>-</w:t>
      </w:r>
      <w:r>
        <w:rPr>
          <w:sz w:val="24"/>
          <w:szCs w:val="24"/>
          <w:lang w:eastAsia="zh-CN"/>
        </w:rPr>
        <w:t>20</w:t>
      </w:r>
      <w:r>
        <w:rPr>
          <w:rFonts w:hint="eastAsia"/>
          <w:sz w:val="24"/>
          <w:szCs w:val="24"/>
          <w:lang w:eastAsia="zh-CN"/>
        </w:rPr>
        <w:t>23</w:t>
      </w:r>
      <w:r>
        <w:rPr>
          <w:sz w:val="24"/>
          <w:szCs w:val="24"/>
          <w:lang w:eastAsia="zh-CN"/>
        </w:rPr>
        <w:t>年）</w:t>
      </w:r>
      <w:r>
        <w:rPr>
          <w:rFonts w:hint="eastAsia"/>
          <w:sz w:val="24"/>
          <w:szCs w:val="24"/>
          <w:lang w:eastAsia="zh-CN"/>
        </w:rPr>
        <w:t>。</w:t>
      </w:r>
    </w:p>
    <w:p>
      <w:pPr>
        <w:pStyle w:val="8"/>
        <w:spacing w:line="360" w:lineRule="auto"/>
        <w:ind w:firstLine="480" w:firstLineChars="200"/>
        <w:rPr>
          <w:rFonts w:hint="eastAsia"/>
          <w:sz w:val="24"/>
          <w:szCs w:val="24"/>
          <w:lang w:eastAsia="zh-CN"/>
        </w:rPr>
      </w:pPr>
      <w:r>
        <w:rPr>
          <w:rFonts w:hint="eastAsia"/>
          <w:sz w:val="24"/>
          <w:szCs w:val="24"/>
        </w:rPr>
        <w:t>（</w:t>
      </w:r>
      <w:r>
        <w:rPr>
          <w:rFonts w:hint="eastAsia"/>
          <w:sz w:val="24"/>
          <w:szCs w:val="24"/>
          <w:lang w:eastAsia="zh-CN"/>
        </w:rPr>
        <w:t>5</w:t>
      </w:r>
      <w:r>
        <w:rPr>
          <w:rFonts w:hint="eastAsia"/>
          <w:sz w:val="24"/>
          <w:szCs w:val="24"/>
        </w:rPr>
        <w:t>）</w:t>
      </w:r>
      <w:r>
        <w:rPr>
          <w:sz w:val="24"/>
          <w:szCs w:val="24"/>
        </w:rPr>
        <w:t>202</w:t>
      </w:r>
      <w:r>
        <w:rPr>
          <w:rFonts w:hint="eastAsia"/>
          <w:sz w:val="24"/>
          <w:szCs w:val="24"/>
        </w:rPr>
        <w:t>3</w:t>
      </w:r>
      <w:r>
        <w:rPr>
          <w:sz w:val="24"/>
          <w:szCs w:val="24"/>
        </w:rPr>
        <w:t>年</w:t>
      </w:r>
      <w:r>
        <w:rPr>
          <w:rFonts w:hint="eastAsia"/>
          <w:sz w:val="24"/>
          <w:szCs w:val="24"/>
        </w:rPr>
        <w:t>7</w:t>
      </w:r>
      <w:r>
        <w:rPr>
          <w:sz w:val="24"/>
          <w:szCs w:val="24"/>
        </w:rPr>
        <w:t>月</w:t>
      </w:r>
      <w:r>
        <w:rPr>
          <w:rFonts w:hint="eastAsia"/>
          <w:sz w:val="24"/>
          <w:szCs w:val="24"/>
        </w:rPr>
        <w:t>，受宁城县宝石山矿业有限公司委托，</w:t>
      </w:r>
      <w:r>
        <w:rPr>
          <w:sz w:val="24"/>
          <w:szCs w:val="24"/>
        </w:rPr>
        <w:t>内蒙古汇琳地质勘探工程有限责任公司承担了《</w:t>
      </w:r>
      <w:r>
        <w:rPr>
          <w:rFonts w:hint="eastAsia"/>
          <w:sz w:val="24"/>
          <w:szCs w:val="24"/>
        </w:rPr>
        <w:t>内蒙古宁城县宝石山矿业有限公司龙宝山高岭土矿</w:t>
      </w:r>
      <w:r>
        <w:rPr>
          <w:sz w:val="24"/>
          <w:szCs w:val="24"/>
        </w:rPr>
        <w:t>矿山地质环境保护与土地复垦方案》的编制工作，以下简称《方案》</w:t>
      </w:r>
      <w:r>
        <w:rPr>
          <w:rFonts w:hint="eastAsia"/>
          <w:sz w:val="24"/>
          <w:szCs w:val="24"/>
          <w:lang w:eastAsia="zh-CN"/>
        </w:rPr>
        <w:t>。</w:t>
      </w:r>
    </w:p>
    <w:p>
      <w:pPr>
        <w:pStyle w:val="8"/>
        <w:spacing w:line="360" w:lineRule="auto"/>
        <w:ind w:firstLine="482" w:firstLineChars="200"/>
        <w:rPr>
          <w:rFonts w:hint="eastAsia"/>
          <w:b/>
          <w:sz w:val="24"/>
          <w:szCs w:val="24"/>
          <w:lang w:eastAsia="zh-CN"/>
        </w:rPr>
      </w:pPr>
      <w:r>
        <w:rPr>
          <w:rFonts w:hint="eastAsia"/>
          <w:b/>
          <w:sz w:val="24"/>
          <w:szCs w:val="24"/>
          <w:lang w:eastAsia="zh-CN"/>
        </w:rPr>
        <w:t>2、前期方案与本方案的主要异同</w:t>
      </w:r>
    </w:p>
    <w:p>
      <w:pPr>
        <w:pStyle w:val="8"/>
        <w:spacing w:line="360" w:lineRule="auto"/>
        <w:ind w:firstLine="480" w:firstLineChars="200"/>
        <w:rPr>
          <w:rFonts w:hint="eastAsia"/>
          <w:sz w:val="24"/>
          <w:szCs w:val="24"/>
          <w:lang w:eastAsia="zh-CN"/>
        </w:rPr>
      </w:pPr>
      <w:r>
        <w:rPr>
          <w:rFonts w:hint="eastAsia"/>
          <w:sz w:val="24"/>
          <w:szCs w:val="24"/>
          <w:lang w:eastAsia="zh-CN"/>
        </w:rPr>
        <w:t>（1）评估范围不同</w:t>
      </w:r>
    </w:p>
    <w:p>
      <w:pPr>
        <w:pStyle w:val="8"/>
        <w:spacing w:line="360" w:lineRule="auto"/>
        <w:ind w:firstLine="480" w:firstLineChars="200"/>
        <w:rPr>
          <w:sz w:val="24"/>
          <w:szCs w:val="24"/>
          <w:lang w:eastAsia="zh-CN"/>
        </w:rPr>
      </w:pPr>
      <w:r>
        <w:rPr>
          <w:sz w:val="24"/>
          <w:szCs w:val="24"/>
          <w:lang w:eastAsia="zh-CN"/>
        </w:rPr>
        <w:t>由于原方案已经过适用期，《方案》重新编制。原方案设计对矿区范围外的场地进行全部治理</w:t>
      </w:r>
      <w:r>
        <w:rPr>
          <w:rFonts w:hint="eastAsia"/>
          <w:bCs/>
          <w:sz w:val="24"/>
        </w:rPr>
        <w:t>，</w:t>
      </w:r>
      <w:r>
        <w:rPr>
          <w:sz w:val="24"/>
          <w:szCs w:val="24"/>
          <w:lang w:eastAsia="zh-CN"/>
        </w:rPr>
        <w:t>前期方案治理设计削坡，由于削坡无法完成，未达到设计治理效果，本次</w:t>
      </w:r>
      <w:r>
        <w:rPr>
          <w:sz w:val="24"/>
        </w:rPr>
        <w:t>矿方承诺不进行爆破开采，现状部分场地可根据实际情况预留</w:t>
      </w:r>
      <w:r>
        <w:rPr>
          <w:rFonts w:hint="eastAsia"/>
          <w:sz w:val="24"/>
          <w:szCs w:val="24"/>
          <w:lang w:eastAsia="zh-CN"/>
        </w:rPr>
        <w:t>。</w:t>
      </w:r>
    </w:p>
    <w:p>
      <w:pPr>
        <w:pStyle w:val="8"/>
        <w:spacing w:line="360" w:lineRule="auto"/>
        <w:ind w:firstLine="480" w:firstLineChars="200"/>
        <w:rPr>
          <w:rFonts w:hint="eastAsia"/>
          <w:sz w:val="24"/>
          <w:szCs w:val="24"/>
          <w:lang w:eastAsia="zh-CN"/>
        </w:rPr>
      </w:pPr>
      <w:r>
        <w:rPr>
          <w:rFonts w:hint="eastAsia"/>
          <w:sz w:val="24"/>
          <w:szCs w:val="24"/>
          <w:lang w:eastAsia="zh-CN"/>
        </w:rPr>
        <w:t>（2）治理和复垦方式</w:t>
      </w:r>
    </w:p>
    <w:p>
      <w:pPr>
        <w:autoSpaceDE w:val="0"/>
        <w:autoSpaceDN w:val="0"/>
        <w:spacing w:line="360" w:lineRule="auto"/>
        <w:ind w:firstLine="496" w:firstLineChars="200"/>
        <w:rPr>
          <w:rFonts w:hint="eastAsia" w:ascii="宋体" w:hAnsi="宋体"/>
          <w:sz w:val="24"/>
        </w:rPr>
      </w:pPr>
      <w:r>
        <w:rPr>
          <w:rFonts w:hint="eastAsia" w:ascii="宋体" w:hAnsi="宋体" w:cs="宋体"/>
          <w:spacing w:val="4"/>
          <w:sz w:val="24"/>
        </w:rPr>
        <w:t>前期设计对矿区范围外场地全部治理，对露天采场（南、北两侧）进行治理。设计对露天采场（北侧）底部进行回填、边坡采用垫坡、削坡。降低切坡</w:t>
      </w:r>
      <w:r>
        <w:rPr>
          <w:rFonts w:ascii="宋体" w:hAnsi="宋体"/>
          <w:sz w:val="24"/>
        </w:rPr>
        <w:t>坡度，提高</w:t>
      </w:r>
      <w:r>
        <w:rPr>
          <w:rFonts w:hint="eastAsia" w:ascii="宋体" w:hAnsi="宋体"/>
          <w:sz w:val="24"/>
        </w:rPr>
        <w:t>切坡</w:t>
      </w:r>
      <w:r>
        <w:rPr>
          <w:rFonts w:ascii="宋体" w:hAnsi="宋体"/>
          <w:sz w:val="24"/>
        </w:rPr>
        <w:t>稳定性，</w:t>
      </w:r>
      <w:r>
        <w:rPr>
          <w:rFonts w:hint="eastAsia" w:ascii="宋体" w:hAnsi="宋体" w:cs="宋体"/>
          <w:spacing w:val="4"/>
          <w:sz w:val="24"/>
        </w:rPr>
        <w:t>物源选择外购。采场底部恢复为旱地，台阶及坡面恢复为草地。矿方对露天采场底部进行了部分回填、垫坡，</w:t>
      </w:r>
      <w:r>
        <w:rPr>
          <w:rFonts w:hint="eastAsia" w:ascii="宋体" w:hAnsi="宋体"/>
          <w:sz w:val="24"/>
        </w:rPr>
        <w:t>矿方对治理平台栽植了松树，</w:t>
      </w:r>
      <w:r>
        <w:rPr>
          <w:rFonts w:hint="eastAsia" w:ascii="宋体" w:hAnsi="宋体" w:cs="宋体"/>
          <w:spacing w:val="4"/>
          <w:sz w:val="24"/>
        </w:rPr>
        <w:t>据矿方介绍，采坑外为老百姓用地，不允许向外延伸削坡，矿方无法按设计进行治理，现状</w:t>
      </w:r>
      <w:r>
        <w:rPr>
          <w:rFonts w:hint="eastAsia" w:ascii="宋体" w:hAnsi="宋体"/>
          <w:sz w:val="24"/>
        </w:rPr>
        <w:t>还存在高陡边坡</w:t>
      </w:r>
      <w:r>
        <w:rPr>
          <w:rFonts w:hint="eastAsia" w:ascii="宋体" w:hAnsi="宋体" w:cs="宋体"/>
          <w:spacing w:val="4"/>
          <w:sz w:val="24"/>
        </w:rPr>
        <w:t>，未达到治理效果，</w:t>
      </w:r>
      <w:r>
        <w:rPr>
          <w:rFonts w:hint="eastAsia" w:ascii="宋体" w:hAnsi="宋体"/>
          <w:sz w:val="24"/>
        </w:rPr>
        <w:t>治理情况见照片2-1、2-2。</w:t>
      </w:r>
    </w:p>
    <w:p>
      <w:pPr>
        <w:autoSpaceDE w:val="0"/>
        <w:autoSpaceDN w:val="0"/>
        <w:spacing w:line="360" w:lineRule="auto"/>
        <w:ind w:firstLine="480" w:firstLineChars="200"/>
        <w:rPr>
          <w:rFonts w:hint="eastAsia" w:ascii="宋体" w:hAnsi="宋体" w:cs="宋体"/>
          <w:spacing w:val="4"/>
          <w:sz w:val="24"/>
        </w:rPr>
      </w:pPr>
      <w:r>
        <w:rPr>
          <w:rFonts w:hint="eastAsia" w:ascii="宋体" w:hAnsi="宋体"/>
          <w:sz w:val="24"/>
        </w:rPr>
        <w:t>矿石场放场和存储间（办公室）、矿区道路后期矿方要留用，未进行治理。</w:t>
      </w:r>
    </w:p>
    <w:p>
      <w:pPr>
        <w:autoSpaceDE w:val="0"/>
        <w:autoSpaceDN w:val="0"/>
        <w:spacing w:line="360" w:lineRule="auto"/>
        <w:ind w:firstLine="480" w:firstLineChars="200"/>
        <w:rPr>
          <w:rFonts w:hint="eastAsia" w:ascii="宋体" w:hAnsi="宋体"/>
          <w:sz w:val="24"/>
        </w:rPr>
      </w:pPr>
      <w:r>
        <w:rPr>
          <w:rFonts w:hint="eastAsia" w:ascii="宋体" w:hAnsi="宋体" w:cs="宋体"/>
          <w:sz w:val="24"/>
        </w:rPr>
        <w:t>方案根据实测，对1#露天采场和2#露天采场进行治理，其余场地根据重新编制《开发利用方案》后，</w:t>
      </w:r>
      <w:r>
        <w:rPr>
          <w:rFonts w:ascii="宋体" w:hAnsi="宋体"/>
          <w:sz w:val="24"/>
        </w:rPr>
        <w:t>规划相应的场地和地质环境治理工作及土地复垦工作。</w:t>
      </w:r>
    </w:p>
    <w:p>
      <w:pPr>
        <w:pStyle w:val="55"/>
        <w:jc w:val="center"/>
        <w:rPr>
          <w:rFonts w:hint="eastAsia" w:ascii="Times New Roman" w:cs="Times New Roman"/>
          <w:color w:val="auto"/>
          <w:highlight w:val="yellow"/>
        </w:rPr>
      </w:pPr>
      <w:r>
        <w:rPr>
          <w:rFonts w:hint="eastAsia" w:ascii="Times New Roman" w:cs="Times New Roman"/>
          <w:color w:val="auto"/>
          <w:highlight w:val="yellow"/>
        </w:rPr>
        <w:drawing>
          <wp:inline distT="0" distB="0" distL="114300" distR="114300">
            <wp:extent cx="4765040" cy="1762125"/>
            <wp:effectExtent l="0" t="0" r="16510" b="9525"/>
            <wp:docPr id="3" name="图片 10" descr="2#露天采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2#露天采场1"/>
                    <pic:cNvPicPr>
                      <a:picLocks noChangeAspect="1"/>
                    </pic:cNvPicPr>
                  </pic:nvPicPr>
                  <pic:blipFill>
                    <a:blip r:embed="rId7"/>
                    <a:stretch>
                      <a:fillRect/>
                    </a:stretch>
                  </pic:blipFill>
                  <pic:spPr>
                    <a:xfrm>
                      <a:off x="0" y="0"/>
                      <a:ext cx="4765040" cy="1762125"/>
                    </a:xfrm>
                    <a:prstGeom prst="rect">
                      <a:avLst/>
                    </a:prstGeom>
                    <a:noFill/>
                    <a:ln>
                      <a:noFill/>
                    </a:ln>
                  </pic:spPr>
                </pic:pic>
              </a:graphicData>
            </a:graphic>
          </wp:inline>
        </w:drawing>
      </w:r>
    </w:p>
    <w:p>
      <w:pPr>
        <w:pStyle w:val="8"/>
        <w:tabs>
          <w:tab w:val="left" w:pos="3915"/>
        </w:tabs>
        <w:spacing w:line="341" w:lineRule="exact"/>
        <w:ind w:left="2768"/>
        <w:rPr>
          <w:rFonts w:hint="eastAsia"/>
          <w:b/>
          <w:sz w:val="24"/>
          <w:szCs w:val="24"/>
          <w:lang w:eastAsia="zh-CN"/>
        </w:rPr>
      </w:pPr>
      <w:r>
        <w:rPr>
          <w:b/>
          <w:spacing w:val="2"/>
          <w:sz w:val="24"/>
          <w:szCs w:val="24"/>
          <w:lang w:eastAsia="zh-CN"/>
        </w:rPr>
        <w:t>照</w:t>
      </w:r>
      <w:r>
        <w:rPr>
          <w:b/>
          <w:sz w:val="24"/>
          <w:szCs w:val="24"/>
          <w:lang w:eastAsia="zh-CN"/>
        </w:rPr>
        <w:t>片</w:t>
      </w:r>
      <w:r>
        <w:rPr>
          <w:rFonts w:hint="eastAsia"/>
          <w:b/>
          <w:sz w:val="24"/>
          <w:szCs w:val="24"/>
          <w:lang w:eastAsia="zh-CN"/>
        </w:rPr>
        <w:t>2-</w:t>
      </w:r>
      <w:r>
        <w:rPr>
          <w:rFonts w:hint="eastAsia"/>
          <w:b/>
          <w:spacing w:val="2"/>
          <w:sz w:val="24"/>
          <w:szCs w:val="24"/>
          <w:lang w:eastAsia="zh-CN"/>
        </w:rPr>
        <w:t>1</w:t>
      </w:r>
      <w:r>
        <w:rPr>
          <w:b/>
          <w:sz w:val="24"/>
          <w:szCs w:val="24"/>
          <w:lang w:eastAsia="zh-CN"/>
        </w:rPr>
        <w:tab/>
      </w:r>
      <w:r>
        <w:rPr>
          <w:rFonts w:hint="eastAsia"/>
          <w:b/>
          <w:sz w:val="24"/>
          <w:szCs w:val="24"/>
          <w:lang w:eastAsia="zh-CN"/>
        </w:rPr>
        <w:t>2#</w:t>
      </w:r>
      <w:r>
        <w:rPr>
          <w:b/>
          <w:sz w:val="24"/>
          <w:szCs w:val="24"/>
          <w:lang w:eastAsia="zh-CN"/>
        </w:rPr>
        <w:t>露天</w:t>
      </w:r>
      <w:r>
        <w:rPr>
          <w:b/>
          <w:spacing w:val="2"/>
          <w:sz w:val="24"/>
          <w:szCs w:val="24"/>
          <w:lang w:eastAsia="zh-CN"/>
        </w:rPr>
        <w:t>采</w:t>
      </w:r>
      <w:r>
        <w:rPr>
          <w:b/>
          <w:sz w:val="24"/>
          <w:szCs w:val="24"/>
          <w:lang w:eastAsia="zh-CN"/>
        </w:rPr>
        <w:t>场（南部）</w:t>
      </w:r>
      <w:r>
        <w:rPr>
          <w:b/>
          <w:spacing w:val="2"/>
          <w:sz w:val="24"/>
          <w:szCs w:val="24"/>
          <w:lang w:eastAsia="zh-CN"/>
        </w:rPr>
        <w:t>治</w:t>
      </w:r>
      <w:r>
        <w:rPr>
          <w:b/>
          <w:sz w:val="24"/>
          <w:szCs w:val="24"/>
          <w:lang w:eastAsia="zh-CN"/>
        </w:rPr>
        <w:t>理效果</w:t>
      </w:r>
    </w:p>
    <w:p>
      <w:pPr>
        <w:pStyle w:val="55"/>
        <w:jc w:val="center"/>
        <w:rPr>
          <w:rFonts w:hint="eastAsia" w:ascii="Times New Roman" w:cs="Times New Roman"/>
          <w:color w:val="auto"/>
        </w:rPr>
      </w:pPr>
      <w:r>
        <w:rPr>
          <w:rFonts w:hint="eastAsia" w:ascii="Times New Roman" w:cs="Times New Roman"/>
          <w:color w:val="auto"/>
        </w:rPr>
        <w:t xml:space="preserve">       </w:t>
      </w:r>
      <w:r>
        <w:rPr>
          <w:rFonts w:hint="eastAsia" w:hAnsi="宋体"/>
          <w:color w:val="auto"/>
        </w:rPr>
        <w:drawing>
          <wp:inline distT="0" distB="0" distL="114300" distR="114300">
            <wp:extent cx="4838065" cy="1692910"/>
            <wp:effectExtent l="0" t="0" r="635" b="2540"/>
            <wp:docPr id="4" name="图片 14" descr="1#露天采场11种植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1#露天采场11种植处"/>
                    <pic:cNvPicPr>
                      <a:picLocks noChangeAspect="1"/>
                    </pic:cNvPicPr>
                  </pic:nvPicPr>
                  <pic:blipFill>
                    <a:blip r:embed="rId8"/>
                    <a:stretch>
                      <a:fillRect/>
                    </a:stretch>
                  </pic:blipFill>
                  <pic:spPr>
                    <a:xfrm>
                      <a:off x="0" y="0"/>
                      <a:ext cx="4838065" cy="1692910"/>
                    </a:xfrm>
                    <a:prstGeom prst="rect">
                      <a:avLst/>
                    </a:prstGeom>
                    <a:noFill/>
                    <a:ln>
                      <a:noFill/>
                    </a:ln>
                  </pic:spPr>
                </pic:pic>
              </a:graphicData>
            </a:graphic>
          </wp:inline>
        </w:drawing>
      </w:r>
    </w:p>
    <w:p>
      <w:pPr>
        <w:pStyle w:val="8"/>
        <w:tabs>
          <w:tab w:val="left" w:pos="3915"/>
        </w:tabs>
        <w:spacing w:line="341" w:lineRule="exact"/>
        <w:ind w:left="2768"/>
        <w:rPr>
          <w:rFonts w:hint="eastAsia"/>
          <w:b/>
          <w:spacing w:val="2"/>
          <w:sz w:val="24"/>
          <w:szCs w:val="24"/>
          <w:lang w:eastAsia="zh-CN"/>
        </w:rPr>
      </w:pPr>
      <w:r>
        <w:rPr>
          <w:b/>
          <w:spacing w:val="2"/>
          <w:sz w:val="24"/>
          <w:szCs w:val="24"/>
          <w:lang w:eastAsia="zh-CN"/>
        </w:rPr>
        <w:t xml:space="preserve">照片 </w:t>
      </w:r>
      <w:r>
        <w:rPr>
          <w:rFonts w:hint="eastAsia"/>
          <w:b/>
          <w:spacing w:val="2"/>
          <w:sz w:val="24"/>
          <w:szCs w:val="24"/>
          <w:lang w:eastAsia="zh-CN"/>
        </w:rPr>
        <w:t>2-2  1#</w:t>
      </w:r>
      <w:r>
        <w:rPr>
          <w:b/>
          <w:spacing w:val="2"/>
          <w:sz w:val="24"/>
          <w:szCs w:val="24"/>
          <w:lang w:eastAsia="zh-CN"/>
        </w:rPr>
        <w:t>露天采场（北部）治理效果</w:t>
      </w:r>
    </w:p>
    <w:p>
      <w:pPr>
        <w:pStyle w:val="8"/>
        <w:spacing w:line="360" w:lineRule="auto"/>
        <w:ind w:firstLine="480" w:firstLineChars="200"/>
        <w:rPr>
          <w:rFonts w:hint="eastAsia"/>
          <w:sz w:val="24"/>
          <w:szCs w:val="24"/>
          <w:lang w:eastAsia="zh-CN"/>
        </w:rPr>
      </w:pPr>
      <w:r>
        <w:rPr>
          <w:rFonts w:hint="eastAsia"/>
          <w:sz w:val="24"/>
          <w:szCs w:val="24"/>
          <w:lang w:eastAsia="zh-CN"/>
        </w:rPr>
        <w:t>（3）工程布局</w:t>
      </w:r>
    </w:p>
    <w:p>
      <w:pPr>
        <w:pStyle w:val="8"/>
        <w:spacing w:line="360" w:lineRule="auto"/>
        <w:ind w:firstLine="480" w:firstLineChars="200"/>
        <w:rPr>
          <w:rFonts w:hint="eastAsia"/>
          <w:sz w:val="24"/>
          <w:szCs w:val="24"/>
          <w:lang w:eastAsia="zh-CN"/>
        </w:rPr>
      </w:pPr>
      <w:r>
        <w:rPr>
          <w:sz w:val="24"/>
          <w:szCs w:val="24"/>
          <w:lang w:eastAsia="zh-CN"/>
        </w:rPr>
        <w:t>原工程布局与现状工程布局位置不同</w:t>
      </w:r>
      <w:r>
        <w:rPr>
          <w:rFonts w:hint="eastAsia"/>
          <w:sz w:val="24"/>
          <w:szCs w:val="24"/>
          <w:lang w:eastAsia="zh-CN"/>
        </w:rPr>
        <w:t>。</w:t>
      </w:r>
    </w:p>
    <w:p>
      <w:pPr>
        <w:pStyle w:val="8"/>
        <w:spacing w:line="360" w:lineRule="auto"/>
        <w:ind w:firstLine="480" w:firstLineChars="200"/>
        <w:rPr>
          <w:rFonts w:hint="eastAsia"/>
          <w:sz w:val="24"/>
          <w:szCs w:val="24"/>
          <w:lang w:eastAsia="zh-CN"/>
        </w:rPr>
      </w:pPr>
      <w:r>
        <w:rPr>
          <w:sz w:val="24"/>
          <w:szCs w:val="24"/>
          <w:lang w:eastAsia="zh-CN"/>
        </w:rPr>
        <w:t>原有两个露天采场，办公室，矿石场</w:t>
      </w:r>
      <w:r>
        <w:rPr>
          <w:rFonts w:hint="eastAsia"/>
          <w:sz w:val="24"/>
          <w:szCs w:val="24"/>
          <w:lang w:eastAsia="zh-CN"/>
        </w:rPr>
        <w:t>3个，矿区道路。</w:t>
      </w:r>
    </w:p>
    <w:p>
      <w:pPr>
        <w:pStyle w:val="8"/>
        <w:spacing w:line="360" w:lineRule="auto"/>
        <w:ind w:firstLine="480" w:firstLineChars="200"/>
        <w:rPr>
          <w:rFonts w:hint="eastAsia"/>
          <w:sz w:val="24"/>
          <w:szCs w:val="24"/>
          <w:lang w:eastAsia="zh-CN"/>
        </w:rPr>
      </w:pPr>
      <w:r>
        <w:rPr>
          <w:sz w:val="24"/>
          <w:szCs w:val="24"/>
          <w:lang w:eastAsia="zh-CN"/>
        </w:rPr>
        <w:t>现有两个露天采场、一个探坑、两个矿石场，一个存储间、矿区道路</w:t>
      </w:r>
      <w:r>
        <w:rPr>
          <w:rFonts w:hint="eastAsia"/>
          <w:sz w:val="24"/>
          <w:szCs w:val="24"/>
          <w:lang w:eastAsia="zh-CN"/>
        </w:rPr>
        <w:t>。</w:t>
      </w:r>
    </w:p>
    <w:p>
      <w:pPr>
        <w:pStyle w:val="8"/>
        <w:spacing w:line="360" w:lineRule="auto"/>
        <w:ind w:firstLine="480" w:firstLineChars="200"/>
        <w:rPr>
          <w:sz w:val="24"/>
          <w:szCs w:val="24"/>
          <w:lang w:eastAsia="zh-CN"/>
        </w:rPr>
      </w:pPr>
      <w:r>
        <w:rPr>
          <w:sz w:val="24"/>
          <w:szCs w:val="24"/>
          <w:lang w:eastAsia="zh-CN"/>
        </w:rPr>
        <w:t>场地占地面积不同</w:t>
      </w:r>
      <w:r>
        <w:rPr>
          <w:rFonts w:hint="eastAsia"/>
          <w:sz w:val="24"/>
          <w:szCs w:val="24"/>
          <w:lang w:eastAsia="zh-CN"/>
        </w:rPr>
        <w:t>。</w:t>
      </w:r>
    </w:p>
    <w:p>
      <w:pPr>
        <w:pStyle w:val="8"/>
        <w:spacing w:line="360" w:lineRule="auto"/>
        <w:ind w:firstLine="480" w:firstLineChars="200"/>
        <w:rPr>
          <w:rFonts w:hint="eastAsia"/>
          <w:sz w:val="24"/>
          <w:szCs w:val="24"/>
          <w:lang w:eastAsia="zh-CN"/>
        </w:rPr>
      </w:pPr>
      <w:r>
        <w:rPr>
          <w:sz w:val="24"/>
          <w:szCs w:val="24"/>
          <w:lang w:eastAsia="zh-CN"/>
        </w:rPr>
        <w:t>（4）规划年限。</w:t>
      </w:r>
    </w:p>
    <w:p>
      <w:pPr>
        <w:pStyle w:val="8"/>
        <w:spacing w:line="360" w:lineRule="auto"/>
        <w:ind w:firstLine="480" w:firstLineChars="200"/>
        <w:rPr>
          <w:sz w:val="24"/>
          <w:szCs w:val="24"/>
          <w:lang w:eastAsia="zh-CN"/>
        </w:rPr>
      </w:pPr>
      <w:r>
        <w:rPr>
          <w:sz w:val="24"/>
          <w:szCs w:val="24"/>
          <w:lang w:eastAsia="zh-CN"/>
        </w:rPr>
        <w:t>由于治理工程量很大，方案规划年限为</w:t>
      </w:r>
      <w:r>
        <w:rPr>
          <w:rFonts w:hint="eastAsia"/>
          <w:sz w:val="24"/>
          <w:szCs w:val="24"/>
          <w:lang w:eastAsia="zh-CN"/>
        </w:rPr>
        <w:t>3.9</w:t>
      </w:r>
      <w:r>
        <w:rPr>
          <w:sz w:val="24"/>
          <w:szCs w:val="24"/>
          <w:lang w:eastAsia="zh-CN"/>
        </w:rPr>
        <w:t xml:space="preserve"> 年（202</w:t>
      </w:r>
      <w:r>
        <w:rPr>
          <w:rFonts w:hint="eastAsia"/>
          <w:sz w:val="24"/>
          <w:szCs w:val="24"/>
          <w:lang w:eastAsia="zh-CN"/>
        </w:rPr>
        <w:t>4</w:t>
      </w:r>
      <w:r>
        <w:rPr>
          <w:sz w:val="24"/>
          <w:szCs w:val="24"/>
          <w:lang w:eastAsia="zh-CN"/>
        </w:rPr>
        <w:t xml:space="preserve"> 年</w:t>
      </w:r>
      <w:r>
        <w:rPr>
          <w:rFonts w:hint="eastAsia"/>
          <w:sz w:val="24"/>
          <w:szCs w:val="24"/>
          <w:lang w:eastAsia="zh-CN"/>
        </w:rPr>
        <w:t>1月</w:t>
      </w:r>
      <w:r>
        <w:rPr>
          <w:sz w:val="24"/>
          <w:szCs w:val="24"/>
          <w:lang w:eastAsia="zh-CN"/>
        </w:rPr>
        <w:t>～20</w:t>
      </w:r>
      <w:r>
        <w:rPr>
          <w:rFonts w:hint="eastAsia"/>
          <w:sz w:val="24"/>
          <w:szCs w:val="24"/>
          <w:lang w:eastAsia="zh-CN"/>
        </w:rPr>
        <w:t>27</w:t>
      </w:r>
      <w:r>
        <w:rPr>
          <w:sz w:val="24"/>
          <w:szCs w:val="24"/>
          <w:lang w:eastAsia="zh-CN"/>
        </w:rPr>
        <w:t xml:space="preserve"> 年</w:t>
      </w:r>
      <w:r>
        <w:rPr>
          <w:rFonts w:hint="eastAsia"/>
          <w:sz w:val="24"/>
          <w:szCs w:val="24"/>
          <w:lang w:eastAsia="zh-CN"/>
        </w:rPr>
        <w:t>11月</w:t>
      </w:r>
      <w:r>
        <w:rPr>
          <w:sz w:val="24"/>
          <w:szCs w:val="24"/>
          <w:lang w:eastAsia="zh-CN"/>
        </w:rPr>
        <w:t>）。</w:t>
      </w:r>
    </w:p>
    <w:p>
      <w:pPr>
        <w:pStyle w:val="8"/>
        <w:spacing w:line="360" w:lineRule="auto"/>
        <w:ind w:firstLine="480" w:firstLineChars="200"/>
        <w:rPr>
          <w:sz w:val="24"/>
          <w:szCs w:val="24"/>
          <w:lang w:eastAsia="zh-CN"/>
        </w:rPr>
      </w:pPr>
      <w:r>
        <w:rPr>
          <w:sz w:val="24"/>
          <w:szCs w:val="24"/>
          <w:lang w:eastAsia="zh-CN"/>
        </w:rPr>
        <w:t>综上，方案是在原方案和实际调查的基础上进行矿山地质环境保护与土地复垦方案的编制，前期编制的方案可为本方案提供参考。</w:t>
      </w:r>
    </w:p>
    <w:p>
      <w:pPr>
        <w:spacing w:line="360" w:lineRule="auto"/>
        <w:ind w:firstLine="482" w:firstLineChars="200"/>
        <w:rPr>
          <w:rFonts w:hint="eastAsia" w:ascii="宋体" w:hAnsi="宋体" w:cs="宋体"/>
          <w:b/>
          <w:bCs/>
          <w:sz w:val="24"/>
        </w:rPr>
      </w:pPr>
      <w:r>
        <w:rPr>
          <w:rFonts w:hint="eastAsia" w:ascii="宋体" w:hAnsi="宋体" w:cs="宋体"/>
          <w:b/>
          <w:bCs/>
          <w:sz w:val="24"/>
        </w:rPr>
        <w:t>3、矿山地质环境治理方案执行情况</w:t>
      </w:r>
    </w:p>
    <w:p>
      <w:pPr>
        <w:pStyle w:val="8"/>
        <w:spacing w:line="360" w:lineRule="auto"/>
        <w:ind w:firstLine="480" w:firstLineChars="200"/>
        <w:rPr>
          <w:rFonts w:hint="eastAsia"/>
          <w:sz w:val="24"/>
          <w:szCs w:val="24"/>
          <w:lang w:eastAsia="zh-CN"/>
        </w:rPr>
      </w:pPr>
      <w:r>
        <w:rPr>
          <w:rFonts w:hint="eastAsia"/>
          <w:sz w:val="24"/>
          <w:szCs w:val="24"/>
          <w:lang w:eastAsia="zh-CN"/>
        </w:rPr>
        <w:t>1）原方案</w:t>
      </w:r>
    </w:p>
    <w:p>
      <w:pPr>
        <w:spacing w:line="360" w:lineRule="auto"/>
        <w:ind w:firstLine="480" w:firstLineChars="200"/>
        <w:rPr>
          <w:rFonts w:hint="eastAsia" w:ascii="宋体" w:hAnsi="宋体" w:cs="宋体"/>
          <w:spacing w:val="4"/>
          <w:sz w:val="24"/>
        </w:rPr>
      </w:pPr>
      <w:r>
        <w:rPr>
          <w:rFonts w:hint="eastAsia" w:ascii="宋体" w:hAnsi="宋体"/>
          <w:sz w:val="24"/>
        </w:rPr>
        <w:t>（1）原方案设计</w:t>
      </w:r>
      <w:r>
        <w:rPr>
          <w:rFonts w:hint="eastAsia" w:ascii="宋体" w:hAnsi="宋体" w:cs="宋体"/>
          <w:spacing w:val="4"/>
          <w:sz w:val="24"/>
        </w:rPr>
        <w:t xml:space="preserve">露天采场（北侧），露天采场（南侧）及矿区外各场地进行治理，矿山未完成治理，无法削坡，现状出现了高陡边坡。 </w:t>
      </w:r>
    </w:p>
    <w:p>
      <w:pPr>
        <w:spacing w:line="360" w:lineRule="auto"/>
        <w:ind w:firstLine="480" w:firstLineChars="200"/>
        <w:rPr>
          <w:rFonts w:hint="eastAsia" w:ascii="宋体" w:hAnsi="宋体"/>
          <w:sz w:val="24"/>
        </w:rPr>
      </w:pPr>
      <w:r>
        <w:rPr>
          <w:rFonts w:hint="eastAsia" w:ascii="宋体" w:hAnsi="宋体"/>
          <w:sz w:val="24"/>
        </w:rPr>
        <w:t>（2）执行情况</w:t>
      </w:r>
    </w:p>
    <w:p>
      <w:pPr>
        <w:spacing w:line="360" w:lineRule="auto"/>
        <w:ind w:firstLine="480" w:firstLineChars="200"/>
        <w:rPr>
          <w:rFonts w:hint="eastAsia" w:ascii="宋体" w:hAnsi="宋体" w:cs="宋体"/>
          <w:spacing w:val="4"/>
          <w:sz w:val="24"/>
        </w:rPr>
      </w:pPr>
      <w:r>
        <w:rPr>
          <w:rFonts w:hint="eastAsia" w:ascii="宋体" w:hAnsi="宋体"/>
          <w:sz w:val="24"/>
        </w:rPr>
        <w:t>矿山未申请验收</w:t>
      </w:r>
      <w:r>
        <w:rPr>
          <w:rFonts w:hint="eastAsia" w:ascii="宋体" w:hAnsi="宋体" w:cs="宋体"/>
          <w:spacing w:val="4"/>
          <w:sz w:val="24"/>
        </w:rPr>
        <w:t xml:space="preserve">。 </w:t>
      </w:r>
    </w:p>
    <w:p>
      <w:pPr>
        <w:pStyle w:val="8"/>
        <w:spacing w:line="360" w:lineRule="auto"/>
        <w:ind w:firstLine="480" w:firstLineChars="200"/>
        <w:rPr>
          <w:rFonts w:hint="eastAsia"/>
          <w:sz w:val="24"/>
          <w:szCs w:val="24"/>
          <w:lang w:eastAsia="zh-CN"/>
        </w:rPr>
      </w:pPr>
      <w:r>
        <w:rPr>
          <w:rFonts w:hint="eastAsia"/>
          <w:sz w:val="24"/>
          <w:szCs w:val="24"/>
          <w:lang w:eastAsia="zh-CN"/>
        </w:rPr>
        <w:t>2）</w:t>
      </w:r>
      <w:r>
        <w:rPr>
          <w:rFonts w:hint="eastAsia"/>
          <w:spacing w:val="4"/>
          <w:sz w:val="24"/>
        </w:rPr>
        <w:t>《一分期》</w:t>
      </w:r>
    </w:p>
    <w:p>
      <w:pPr>
        <w:pStyle w:val="8"/>
        <w:spacing w:line="360" w:lineRule="auto"/>
        <w:ind w:firstLine="480" w:firstLineChars="200"/>
        <w:rPr>
          <w:rFonts w:hint="eastAsia"/>
          <w:spacing w:val="-46"/>
          <w:sz w:val="24"/>
          <w:szCs w:val="24"/>
          <w:lang w:eastAsia="zh-CN"/>
        </w:rPr>
      </w:pPr>
      <w:r>
        <w:rPr>
          <w:sz w:val="24"/>
          <w:szCs w:val="24"/>
          <w:lang w:eastAsia="zh-CN"/>
        </w:rPr>
        <w:t>2014</w:t>
      </w:r>
      <w:r>
        <w:rPr>
          <w:spacing w:val="-60"/>
          <w:sz w:val="24"/>
          <w:szCs w:val="24"/>
          <w:lang w:eastAsia="zh-CN"/>
        </w:rPr>
        <w:t xml:space="preserve"> </w:t>
      </w:r>
      <w:r>
        <w:rPr>
          <w:sz w:val="24"/>
          <w:szCs w:val="24"/>
          <w:lang w:eastAsia="zh-CN"/>
        </w:rPr>
        <w:t>年</w:t>
      </w:r>
      <w:r>
        <w:rPr>
          <w:spacing w:val="-60"/>
          <w:sz w:val="24"/>
          <w:szCs w:val="24"/>
          <w:lang w:eastAsia="zh-CN"/>
        </w:rPr>
        <w:t xml:space="preserve"> </w:t>
      </w:r>
      <w:r>
        <w:rPr>
          <w:sz w:val="24"/>
          <w:szCs w:val="24"/>
          <w:lang w:eastAsia="zh-CN"/>
        </w:rPr>
        <w:t>10</w:t>
      </w:r>
      <w:r>
        <w:rPr>
          <w:spacing w:val="-60"/>
          <w:sz w:val="24"/>
          <w:szCs w:val="24"/>
          <w:lang w:eastAsia="zh-CN"/>
        </w:rPr>
        <w:t xml:space="preserve"> </w:t>
      </w:r>
      <w:r>
        <w:rPr>
          <w:sz w:val="24"/>
          <w:szCs w:val="24"/>
          <w:lang w:eastAsia="zh-CN"/>
        </w:rPr>
        <w:t>月由赤峰冠诚地质勘查有限责任公司编制了《宁城县忙农镇 龙宝山高岭土矿矿山地质环境分期治理及土地复垦方</w:t>
      </w:r>
      <w:r>
        <w:rPr>
          <w:spacing w:val="-46"/>
          <w:sz w:val="24"/>
          <w:szCs w:val="24"/>
          <w:lang w:eastAsia="zh-CN"/>
        </w:rPr>
        <w:t>案</w:t>
      </w:r>
      <w:r>
        <w:rPr>
          <w:sz w:val="24"/>
          <w:szCs w:val="24"/>
          <w:lang w:eastAsia="zh-CN"/>
        </w:rPr>
        <w:t>（2010.1.1～2014.8.1</w:t>
      </w:r>
      <w:r>
        <w:rPr>
          <w:spacing w:val="-60"/>
          <w:sz w:val="24"/>
          <w:szCs w:val="24"/>
          <w:lang w:eastAsia="zh-CN"/>
        </w:rPr>
        <w:t xml:space="preserve"> </w:t>
      </w:r>
      <w:r>
        <w:rPr>
          <w:sz w:val="24"/>
          <w:szCs w:val="24"/>
          <w:lang w:eastAsia="zh-CN"/>
        </w:rPr>
        <w:t>年度</w:t>
      </w:r>
      <w:r>
        <w:rPr>
          <w:spacing w:val="-46"/>
          <w:sz w:val="24"/>
          <w:szCs w:val="24"/>
          <w:lang w:eastAsia="zh-CN"/>
        </w:rPr>
        <w:t>》</w:t>
      </w:r>
      <w:r>
        <w:rPr>
          <w:rFonts w:hint="eastAsia"/>
          <w:spacing w:val="-46"/>
          <w:sz w:val="24"/>
          <w:szCs w:val="24"/>
          <w:lang w:eastAsia="zh-CN"/>
        </w:rPr>
        <w:t>。</w:t>
      </w:r>
    </w:p>
    <w:p>
      <w:pPr>
        <w:pStyle w:val="8"/>
        <w:spacing w:line="360" w:lineRule="auto"/>
        <w:ind w:firstLine="480" w:firstLineChars="200"/>
        <w:rPr>
          <w:rFonts w:hint="eastAsia"/>
          <w:sz w:val="24"/>
          <w:szCs w:val="24"/>
          <w:lang w:eastAsia="zh-CN"/>
        </w:rPr>
      </w:pPr>
      <w:r>
        <w:rPr>
          <w:rFonts w:hint="eastAsia"/>
          <w:sz w:val="24"/>
          <w:szCs w:val="24"/>
          <w:lang w:eastAsia="zh-CN"/>
        </w:rPr>
        <w:t>（1）工程设计</w:t>
      </w:r>
    </w:p>
    <w:p>
      <w:pPr>
        <w:pStyle w:val="8"/>
        <w:spacing w:line="360" w:lineRule="auto"/>
        <w:ind w:firstLine="480" w:firstLineChars="200"/>
        <w:rPr>
          <w:rFonts w:hint="eastAsia"/>
          <w:spacing w:val="1"/>
          <w:sz w:val="24"/>
          <w:szCs w:val="24"/>
          <w:lang w:eastAsia="zh-CN"/>
        </w:rPr>
      </w:pPr>
      <w:r>
        <w:rPr>
          <w:sz w:val="24"/>
          <w:szCs w:val="24"/>
          <w:lang w:eastAsia="zh-CN"/>
        </w:rPr>
        <w:t>方案设计治理及土地复垦责任区：对露天采场北部边坡采用袋装土进行护</w:t>
      </w:r>
      <w:r>
        <w:rPr>
          <w:spacing w:val="1"/>
          <w:sz w:val="24"/>
          <w:szCs w:val="24"/>
          <w:lang w:eastAsia="zh-CN"/>
        </w:rPr>
        <w:t>坡</w:t>
      </w:r>
      <w:r>
        <w:rPr>
          <w:sz w:val="24"/>
          <w:szCs w:val="24"/>
          <w:lang w:eastAsia="zh-CN"/>
        </w:rPr>
        <w:t>；对矿石场（西部）进行覆土、平整、种树；对露天采场边坡进行变形及地质灾害监测</w:t>
      </w:r>
      <w:r>
        <w:rPr>
          <w:spacing w:val="1"/>
          <w:sz w:val="24"/>
          <w:szCs w:val="24"/>
          <w:lang w:eastAsia="zh-CN"/>
        </w:rPr>
        <w:t>。见表</w:t>
      </w:r>
      <w:r>
        <w:rPr>
          <w:rFonts w:hint="eastAsia"/>
          <w:spacing w:val="1"/>
          <w:sz w:val="24"/>
          <w:szCs w:val="24"/>
          <w:lang w:eastAsia="zh-CN"/>
        </w:rPr>
        <w:t>2-1。照片2-3、2-4</w:t>
      </w:r>
      <w:r>
        <w:rPr>
          <w:rFonts w:hint="eastAsia"/>
          <w:spacing w:val="4"/>
          <w:sz w:val="24"/>
        </w:rPr>
        <w:t>。</w:t>
      </w:r>
    </w:p>
    <w:p>
      <w:pPr>
        <w:pStyle w:val="57"/>
        <w:ind w:firstLine="540" w:firstLineChars="0"/>
        <w:jc w:val="center"/>
        <w:rPr>
          <w:rFonts w:hint="eastAsia" w:hAnsi="宋体" w:cs="宋体"/>
          <w:b/>
          <w:sz w:val="24"/>
          <w:szCs w:val="24"/>
        </w:rPr>
      </w:pPr>
      <w:r>
        <w:rPr>
          <w:rFonts w:hint="eastAsia" w:hAnsi="宋体" w:cs="宋体"/>
          <w:b/>
          <w:sz w:val="24"/>
          <w:szCs w:val="24"/>
        </w:rPr>
        <w:t>表2-1</w:t>
      </w:r>
      <w:r>
        <w:rPr>
          <w:rFonts w:hAnsi="宋体" w:cs="宋体"/>
          <w:b/>
          <w:sz w:val="24"/>
          <w:szCs w:val="24"/>
        </w:rPr>
        <w:t xml:space="preserve"> </w:t>
      </w:r>
      <w:r>
        <w:rPr>
          <w:rFonts w:hint="eastAsia" w:hAnsi="宋体" w:cs="宋体"/>
          <w:b/>
          <w:sz w:val="24"/>
          <w:szCs w:val="24"/>
        </w:rPr>
        <w:t xml:space="preserve">  一分期治理设计工程量汇总表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569"/>
        <w:gridCol w:w="808"/>
        <w:gridCol w:w="1589"/>
        <w:gridCol w:w="1590"/>
        <w:gridCol w:w="1263"/>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47" w:hRule="exact"/>
          <w:tblHeader/>
          <w:jc w:val="center"/>
        </w:trPr>
        <w:tc>
          <w:tcPr>
            <w:tcW w:w="1247" w:type="dxa"/>
            <w:tcBorders>
              <w:top w:val="single" w:color="auto" w:sz="4" w:space="0"/>
              <w:left w:val="single" w:color="auto" w:sz="4" w:space="0"/>
              <w:bottom w:val="single" w:color="auto" w:sz="4" w:space="0"/>
              <w:right w:val="single" w:color="auto" w:sz="4" w:space="0"/>
            </w:tcBorders>
            <w:noWrap w:val="0"/>
            <w:vAlign w:val="center"/>
          </w:tcPr>
          <w:p>
            <w:pPr>
              <w:tabs>
                <w:tab w:val="center" w:pos="4492"/>
              </w:tabs>
              <w:jc w:val="center"/>
              <w:rPr>
                <w:rFonts w:hint="eastAsia" w:ascii="宋体" w:hAnsi="宋体" w:cs="宋体"/>
                <w:szCs w:val="21"/>
              </w:rPr>
            </w:pPr>
            <w:r>
              <w:rPr>
                <w:rFonts w:hint="eastAsia" w:ascii="宋体" w:hAnsi="宋体" w:cs="宋体"/>
                <w:szCs w:val="21"/>
              </w:rPr>
              <w:t>实施年度</w:t>
            </w:r>
          </w:p>
        </w:tc>
        <w:tc>
          <w:tcPr>
            <w:tcW w:w="1569" w:type="dxa"/>
            <w:tcBorders>
              <w:top w:val="single" w:color="auto" w:sz="4" w:space="0"/>
              <w:left w:val="single" w:color="auto" w:sz="4" w:space="0"/>
              <w:bottom w:val="single" w:color="auto" w:sz="4" w:space="0"/>
              <w:right w:val="single" w:color="auto" w:sz="4" w:space="0"/>
            </w:tcBorders>
            <w:noWrap w:val="0"/>
            <w:vAlign w:val="center"/>
          </w:tcPr>
          <w:p>
            <w:pPr>
              <w:tabs>
                <w:tab w:val="center" w:pos="4492"/>
              </w:tabs>
              <w:jc w:val="center"/>
              <w:rPr>
                <w:rFonts w:hint="eastAsia" w:ascii="宋体" w:hAnsi="宋体" w:cs="宋体"/>
                <w:szCs w:val="21"/>
              </w:rPr>
            </w:pPr>
            <w:r>
              <w:rPr>
                <w:rFonts w:hint="eastAsia" w:ascii="宋体" w:hAnsi="宋体" w:cs="宋体"/>
                <w:szCs w:val="21"/>
              </w:rPr>
              <w:t>治理及复垦责任分区名称</w:t>
            </w:r>
          </w:p>
        </w:tc>
        <w:tc>
          <w:tcPr>
            <w:tcW w:w="808" w:type="dxa"/>
            <w:tcBorders>
              <w:top w:val="single" w:color="auto" w:sz="4" w:space="0"/>
              <w:left w:val="single" w:color="auto" w:sz="4" w:space="0"/>
              <w:bottom w:val="single" w:color="auto" w:sz="4" w:space="0"/>
              <w:right w:val="single" w:color="auto" w:sz="4" w:space="0"/>
            </w:tcBorders>
            <w:noWrap w:val="0"/>
            <w:vAlign w:val="center"/>
          </w:tcPr>
          <w:p>
            <w:pPr>
              <w:tabs>
                <w:tab w:val="center" w:pos="4492"/>
              </w:tabs>
              <w:jc w:val="center"/>
              <w:rPr>
                <w:rFonts w:hint="eastAsia" w:ascii="宋体" w:hAnsi="宋体" w:cs="宋体"/>
                <w:szCs w:val="21"/>
              </w:rPr>
            </w:pPr>
            <w:r>
              <w:rPr>
                <w:rFonts w:hint="eastAsia" w:ascii="宋体" w:hAnsi="宋体" w:cs="宋体"/>
                <w:szCs w:val="21"/>
              </w:rPr>
              <w:t>面积</w:t>
            </w:r>
          </w:p>
          <w:p>
            <w:pPr>
              <w:tabs>
                <w:tab w:val="center" w:pos="4492"/>
              </w:tabs>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2</w:t>
            </w:r>
            <w:r>
              <w:rPr>
                <w:rFonts w:hint="eastAsia" w:ascii="宋体" w:hAnsi="宋体" w:cs="宋体"/>
                <w:szCs w:val="21"/>
              </w:rPr>
              <w:t>）</w:t>
            </w:r>
          </w:p>
        </w:tc>
        <w:tc>
          <w:tcPr>
            <w:tcW w:w="3179" w:type="dxa"/>
            <w:gridSpan w:val="2"/>
            <w:tcBorders>
              <w:top w:val="single" w:color="auto" w:sz="4" w:space="0"/>
              <w:left w:val="single" w:color="auto" w:sz="4" w:space="0"/>
              <w:bottom w:val="single" w:color="auto" w:sz="4" w:space="0"/>
              <w:right w:val="single" w:color="auto" w:sz="4" w:space="0"/>
            </w:tcBorders>
            <w:noWrap w:val="0"/>
            <w:vAlign w:val="center"/>
          </w:tcPr>
          <w:p>
            <w:pPr>
              <w:tabs>
                <w:tab w:val="center" w:pos="4492"/>
              </w:tabs>
              <w:adjustRightInd w:val="0"/>
              <w:snapToGrid w:val="0"/>
              <w:jc w:val="center"/>
              <w:rPr>
                <w:rFonts w:hint="eastAsia" w:ascii="宋体" w:hAnsi="宋体" w:cs="宋体"/>
                <w:szCs w:val="21"/>
              </w:rPr>
            </w:pPr>
            <w:r>
              <w:rPr>
                <w:rFonts w:hint="eastAsia" w:ascii="宋体" w:hAnsi="宋体" w:cs="宋体"/>
                <w:szCs w:val="21"/>
              </w:rPr>
              <w:t>一分期治理方案设计治理工程</w:t>
            </w:r>
          </w:p>
          <w:p>
            <w:pPr>
              <w:tabs>
                <w:tab w:val="center" w:pos="4492"/>
              </w:tabs>
              <w:adjustRightInd w:val="0"/>
              <w:snapToGrid w:val="0"/>
              <w:jc w:val="center"/>
              <w:rPr>
                <w:rFonts w:hint="eastAsia" w:ascii="宋体" w:hAnsi="宋体" w:cs="宋体"/>
                <w:szCs w:val="21"/>
              </w:rPr>
            </w:pPr>
            <w:r>
              <w:rPr>
                <w:rFonts w:hint="eastAsia" w:ascii="宋体" w:hAnsi="宋体" w:cs="宋体"/>
                <w:szCs w:val="21"/>
              </w:rPr>
              <w:t>内容、工程量</w:t>
            </w:r>
          </w:p>
        </w:tc>
        <w:tc>
          <w:tcPr>
            <w:tcW w:w="2295" w:type="dxa"/>
            <w:gridSpan w:val="2"/>
            <w:tcBorders>
              <w:top w:val="single" w:color="auto" w:sz="4" w:space="0"/>
              <w:left w:val="single" w:color="auto" w:sz="4" w:space="0"/>
              <w:bottom w:val="single" w:color="auto" w:sz="4" w:space="0"/>
              <w:right w:val="single" w:color="auto" w:sz="4" w:space="0"/>
            </w:tcBorders>
            <w:noWrap w:val="0"/>
            <w:vAlign w:val="center"/>
          </w:tcPr>
          <w:p>
            <w:pPr>
              <w:tabs>
                <w:tab w:val="center" w:pos="4492"/>
              </w:tabs>
              <w:adjustRightInd w:val="0"/>
              <w:snapToGrid w:val="0"/>
              <w:jc w:val="center"/>
              <w:rPr>
                <w:rFonts w:hint="eastAsia" w:ascii="宋体" w:hAnsi="宋体" w:cs="宋体"/>
                <w:szCs w:val="21"/>
              </w:rPr>
            </w:pPr>
            <w:r>
              <w:rPr>
                <w:rFonts w:hint="eastAsia" w:ascii="宋体" w:hAnsi="宋体" w:cs="宋体"/>
                <w:szCs w:val="21"/>
              </w:rPr>
              <w:t>一分期治理方案完成治理工程内容、工程量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8" w:hRule="exact"/>
          <w:jc w:val="center"/>
        </w:trPr>
        <w:tc>
          <w:tcPr>
            <w:tcW w:w="1247" w:type="dxa"/>
            <w:vMerge w:val="restart"/>
            <w:tcBorders>
              <w:left w:val="single" w:color="auto" w:sz="4" w:space="0"/>
              <w:right w:val="single" w:color="auto" w:sz="4" w:space="0"/>
            </w:tcBorders>
            <w:noWrap w:val="0"/>
            <w:vAlign w:val="center"/>
          </w:tcPr>
          <w:p>
            <w:pPr>
              <w:tabs>
                <w:tab w:val="center" w:pos="4492"/>
              </w:tabs>
              <w:jc w:val="center"/>
              <w:rPr>
                <w:rFonts w:hint="eastAsia" w:ascii="宋体" w:hAnsi="宋体" w:cs="宋体"/>
                <w:szCs w:val="21"/>
              </w:rPr>
            </w:pPr>
            <w:r>
              <w:rPr>
                <w:rFonts w:hint="eastAsia" w:ascii="宋体" w:hAnsi="宋体" w:cs="宋体"/>
                <w:szCs w:val="21"/>
              </w:rPr>
              <w:t>2010.1.1-</w:t>
            </w:r>
          </w:p>
          <w:p>
            <w:pPr>
              <w:tabs>
                <w:tab w:val="center" w:pos="4492"/>
              </w:tabs>
              <w:jc w:val="center"/>
              <w:rPr>
                <w:rFonts w:hint="eastAsia" w:ascii="宋体" w:hAnsi="宋体" w:cs="宋体"/>
                <w:szCs w:val="21"/>
              </w:rPr>
            </w:pPr>
            <w:r>
              <w:rPr>
                <w:rFonts w:hint="eastAsia" w:ascii="宋体" w:hAnsi="宋体" w:cs="宋体"/>
                <w:szCs w:val="21"/>
              </w:rPr>
              <w:t>2014.8.1</w:t>
            </w:r>
          </w:p>
        </w:tc>
        <w:tc>
          <w:tcPr>
            <w:tcW w:w="1569" w:type="dxa"/>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露天采场（北边坡）</w:t>
            </w:r>
          </w:p>
        </w:tc>
        <w:tc>
          <w:tcPr>
            <w:tcW w:w="808" w:type="dxa"/>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3843</w:t>
            </w:r>
          </w:p>
        </w:tc>
        <w:tc>
          <w:tcPr>
            <w:tcW w:w="1589" w:type="dxa"/>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护坡</w:t>
            </w:r>
          </w:p>
        </w:tc>
        <w:tc>
          <w:tcPr>
            <w:tcW w:w="1590" w:type="dxa"/>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3843m</w:t>
            </w:r>
            <w:r>
              <w:rPr>
                <w:rFonts w:hint="eastAsia" w:ascii="宋体" w:hAnsi="宋体" w:cs="宋体"/>
                <w:szCs w:val="21"/>
                <w:vertAlign w:val="superscript"/>
              </w:rPr>
              <w:t>2</w:t>
            </w:r>
          </w:p>
        </w:tc>
        <w:tc>
          <w:tcPr>
            <w:tcW w:w="1263" w:type="dxa"/>
            <w:tcBorders>
              <w:left w:val="single" w:color="auto" w:sz="4" w:space="0"/>
              <w:right w:val="single" w:color="auto" w:sz="4" w:space="0"/>
            </w:tcBorders>
            <w:noWrap w:val="0"/>
            <w:vAlign w:val="center"/>
          </w:tcPr>
          <w:p>
            <w:pPr>
              <w:jc w:val="center"/>
              <w:rPr>
                <w:rFonts w:hint="eastAsia" w:ascii="宋体" w:hAnsi="宋体" w:cs="宋体"/>
                <w:szCs w:val="21"/>
              </w:rPr>
            </w:pPr>
            <w:r>
              <w:rPr>
                <w:szCs w:val="21"/>
              </w:rPr>
              <w:t>削坡修阶</w:t>
            </w:r>
          </w:p>
        </w:tc>
        <w:tc>
          <w:tcPr>
            <w:tcW w:w="1032" w:type="dxa"/>
            <w:tcBorders>
              <w:left w:val="single" w:color="auto" w:sz="4" w:space="0"/>
              <w:right w:val="single" w:color="auto" w:sz="4" w:space="0"/>
            </w:tcBorders>
            <w:noWrap w:val="0"/>
            <w:vAlign w:val="center"/>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1247" w:type="dxa"/>
            <w:vMerge w:val="continue"/>
            <w:tcBorders>
              <w:left w:val="single" w:color="auto" w:sz="4" w:space="0"/>
              <w:right w:val="single" w:color="auto" w:sz="4" w:space="0"/>
            </w:tcBorders>
            <w:noWrap w:val="0"/>
            <w:vAlign w:val="center"/>
          </w:tcPr>
          <w:p>
            <w:pPr>
              <w:tabs>
                <w:tab w:val="center" w:pos="4492"/>
              </w:tabs>
              <w:jc w:val="center"/>
              <w:rPr>
                <w:rFonts w:hint="eastAsia" w:ascii="宋体" w:hAnsi="宋体" w:cs="宋体"/>
                <w:szCs w:val="21"/>
              </w:rPr>
            </w:pPr>
          </w:p>
        </w:tc>
        <w:tc>
          <w:tcPr>
            <w:tcW w:w="1569" w:type="dxa"/>
            <w:vMerge w:val="restart"/>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szCs w:val="21"/>
              </w:rPr>
              <w:t>矿石场（西部）</w:t>
            </w:r>
          </w:p>
        </w:tc>
        <w:tc>
          <w:tcPr>
            <w:tcW w:w="808" w:type="dxa"/>
            <w:vMerge w:val="restart"/>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5204</w:t>
            </w:r>
          </w:p>
        </w:tc>
        <w:tc>
          <w:tcPr>
            <w:tcW w:w="1589" w:type="dxa"/>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覆土</w:t>
            </w:r>
          </w:p>
        </w:tc>
        <w:tc>
          <w:tcPr>
            <w:tcW w:w="1590" w:type="dxa"/>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4163m</w:t>
            </w:r>
            <w:r>
              <w:rPr>
                <w:rFonts w:hint="eastAsia" w:ascii="宋体" w:hAnsi="宋体" w:cs="宋体"/>
                <w:szCs w:val="21"/>
                <w:vertAlign w:val="superscript"/>
              </w:rPr>
              <w:t>3</w:t>
            </w:r>
          </w:p>
        </w:tc>
        <w:tc>
          <w:tcPr>
            <w:tcW w:w="1263" w:type="dxa"/>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覆土</w:t>
            </w:r>
          </w:p>
        </w:tc>
        <w:tc>
          <w:tcPr>
            <w:tcW w:w="1032" w:type="dxa"/>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4163m</w:t>
            </w:r>
            <w:r>
              <w:rPr>
                <w:rFonts w:hint="eastAsia" w:ascii="宋体" w:hAnsi="宋体" w:cs="宋体"/>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1247" w:type="dxa"/>
            <w:vMerge w:val="continue"/>
            <w:tcBorders>
              <w:left w:val="single" w:color="auto" w:sz="4" w:space="0"/>
              <w:right w:val="single" w:color="auto" w:sz="4" w:space="0"/>
            </w:tcBorders>
            <w:noWrap w:val="0"/>
            <w:vAlign w:val="center"/>
          </w:tcPr>
          <w:p>
            <w:pPr>
              <w:tabs>
                <w:tab w:val="center" w:pos="4492"/>
              </w:tabs>
              <w:jc w:val="center"/>
              <w:rPr>
                <w:rFonts w:hint="eastAsia" w:ascii="宋体" w:hAnsi="宋体" w:cs="宋体"/>
                <w:szCs w:val="21"/>
              </w:rPr>
            </w:pPr>
          </w:p>
        </w:tc>
        <w:tc>
          <w:tcPr>
            <w:tcW w:w="1569" w:type="dxa"/>
            <w:vMerge w:val="continue"/>
            <w:tcBorders>
              <w:left w:val="single" w:color="auto" w:sz="4" w:space="0"/>
              <w:right w:val="single" w:color="auto" w:sz="4" w:space="0"/>
            </w:tcBorders>
            <w:noWrap w:val="0"/>
            <w:vAlign w:val="center"/>
          </w:tcPr>
          <w:p>
            <w:pPr>
              <w:jc w:val="center"/>
              <w:rPr>
                <w:rFonts w:hint="eastAsia" w:ascii="宋体" w:hAnsi="宋体"/>
                <w:szCs w:val="21"/>
              </w:rPr>
            </w:pPr>
          </w:p>
        </w:tc>
        <w:tc>
          <w:tcPr>
            <w:tcW w:w="808"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89" w:type="dxa"/>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整平</w:t>
            </w:r>
          </w:p>
        </w:tc>
        <w:tc>
          <w:tcPr>
            <w:tcW w:w="1590" w:type="dxa"/>
            <w:tcBorders>
              <w:left w:val="single" w:color="auto" w:sz="4" w:space="0"/>
              <w:right w:val="single" w:color="auto" w:sz="4" w:space="0"/>
            </w:tcBorders>
            <w:noWrap w:val="0"/>
            <w:vAlign w:val="center"/>
          </w:tcPr>
          <w:p>
            <w:pPr>
              <w:jc w:val="center"/>
              <w:rPr>
                <w:rFonts w:ascii="宋体" w:hAnsi="宋体" w:cs="宋体"/>
                <w:szCs w:val="21"/>
              </w:rPr>
            </w:pPr>
            <w:r>
              <w:rPr>
                <w:rFonts w:hint="eastAsia" w:ascii="宋体" w:hAnsi="宋体" w:cs="宋体"/>
                <w:szCs w:val="21"/>
              </w:rPr>
              <w:t>4163m</w:t>
            </w:r>
            <w:r>
              <w:rPr>
                <w:rFonts w:hint="eastAsia" w:ascii="宋体" w:hAnsi="宋体" w:cs="宋体"/>
                <w:szCs w:val="21"/>
                <w:vertAlign w:val="superscript"/>
              </w:rPr>
              <w:t>3</w:t>
            </w:r>
          </w:p>
        </w:tc>
        <w:tc>
          <w:tcPr>
            <w:tcW w:w="1263" w:type="dxa"/>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整平</w:t>
            </w:r>
          </w:p>
        </w:tc>
        <w:tc>
          <w:tcPr>
            <w:tcW w:w="1032" w:type="dxa"/>
            <w:tcBorders>
              <w:left w:val="single" w:color="auto" w:sz="4" w:space="0"/>
              <w:right w:val="single" w:color="auto" w:sz="4" w:space="0"/>
            </w:tcBorders>
            <w:noWrap w:val="0"/>
            <w:vAlign w:val="center"/>
          </w:tcPr>
          <w:p>
            <w:pPr>
              <w:jc w:val="center"/>
              <w:rPr>
                <w:rFonts w:ascii="宋体" w:hAnsi="宋体" w:cs="宋体"/>
                <w:szCs w:val="21"/>
              </w:rPr>
            </w:pPr>
            <w:r>
              <w:rPr>
                <w:rFonts w:hint="eastAsia" w:ascii="宋体" w:hAnsi="宋体" w:cs="宋体"/>
                <w:szCs w:val="21"/>
              </w:rPr>
              <w:t>4163m</w:t>
            </w:r>
            <w:r>
              <w:rPr>
                <w:rFonts w:hint="eastAsia" w:ascii="宋体" w:hAnsi="宋体" w:cs="宋体"/>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exact"/>
          <w:jc w:val="center"/>
        </w:trPr>
        <w:tc>
          <w:tcPr>
            <w:tcW w:w="1247" w:type="dxa"/>
            <w:vMerge w:val="continue"/>
            <w:tcBorders>
              <w:left w:val="single" w:color="auto" w:sz="4" w:space="0"/>
              <w:right w:val="single" w:color="auto" w:sz="4" w:space="0"/>
            </w:tcBorders>
            <w:noWrap w:val="0"/>
            <w:vAlign w:val="center"/>
          </w:tcPr>
          <w:p>
            <w:pPr>
              <w:tabs>
                <w:tab w:val="center" w:pos="4492"/>
              </w:tabs>
              <w:jc w:val="center"/>
              <w:rPr>
                <w:rFonts w:hint="eastAsia" w:ascii="宋体" w:hAnsi="宋体" w:cs="宋体"/>
                <w:szCs w:val="21"/>
              </w:rPr>
            </w:pPr>
          </w:p>
        </w:tc>
        <w:tc>
          <w:tcPr>
            <w:tcW w:w="1569"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808"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1589" w:type="dxa"/>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种树</w:t>
            </w:r>
          </w:p>
        </w:tc>
        <w:tc>
          <w:tcPr>
            <w:tcW w:w="1590" w:type="dxa"/>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780株</w:t>
            </w:r>
          </w:p>
        </w:tc>
        <w:tc>
          <w:tcPr>
            <w:tcW w:w="1263" w:type="dxa"/>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种树</w:t>
            </w:r>
          </w:p>
        </w:tc>
        <w:tc>
          <w:tcPr>
            <w:tcW w:w="1032" w:type="dxa"/>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780株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3" w:hRule="exact"/>
          <w:jc w:val="center"/>
        </w:trPr>
        <w:tc>
          <w:tcPr>
            <w:tcW w:w="1247" w:type="dxa"/>
            <w:vMerge w:val="continue"/>
            <w:tcBorders>
              <w:left w:val="single" w:color="auto" w:sz="4" w:space="0"/>
              <w:right w:val="single" w:color="auto" w:sz="4" w:space="0"/>
            </w:tcBorders>
            <w:noWrap w:val="0"/>
            <w:vAlign w:val="center"/>
          </w:tcPr>
          <w:p>
            <w:pPr>
              <w:tabs>
                <w:tab w:val="center" w:pos="4492"/>
              </w:tabs>
              <w:jc w:val="center"/>
              <w:rPr>
                <w:rFonts w:hint="eastAsia" w:ascii="宋体" w:hAnsi="宋体" w:cs="宋体"/>
                <w:szCs w:val="21"/>
              </w:rPr>
            </w:pPr>
          </w:p>
        </w:tc>
        <w:tc>
          <w:tcPr>
            <w:tcW w:w="2377" w:type="dxa"/>
            <w:gridSpan w:val="2"/>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矿山活动影响范围</w:t>
            </w:r>
          </w:p>
        </w:tc>
        <w:tc>
          <w:tcPr>
            <w:tcW w:w="3179" w:type="dxa"/>
            <w:gridSpan w:val="2"/>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对矿山地形地貌及土地资源监测</w:t>
            </w:r>
          </w:p>
        </w:tc>
        <w:tc>
          <w:tcPr>
            <w:tcW w:w="2295" w:type="dxa"/>
            <w:gridSpan w:val="2"/>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82" w:hRule="exact"/>
          <w:jc w:val="center"/>
        </w:trPr>
        <w:tc>
          <w:tcPr>
            <w:tcW w:w="1247" w:type="dxa"/>
            <w:vMerge w:val="continue"/>
            <w:tcBorders>
              <w:left w:val="single" w:color="auto" w:sz="4" w:space="0"/>
              <w:right w:val="single" w:color="auto" w:sz="4" w:space="0"/>
            </w:tcBorders>
            <w:noWrap w:val="0"/>
            <w:vAlign w:val="center"/>
          </w:tcPr>
          <w:p>
            <w:pPr>
              <w:jc w:val="center"/>
              <w:rPr>
                <w:rFonts w:hint="eastAsia" w:ascii="宋体" w:hAnsi="宋体" w:cs="宋体"/>
                <w:szCs w:val="21"/>
              </w:rPr>
            </w:pPr>
          </w:p>
        </w:tc>
        <w:tc>
          <w:tcPr>
            <w:tcW w:w="2377" w:type="dxa"/>
            <w:gridSpan w:val="2"/>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投入治理资金</w:t>
            </w:r>
          </w:p>
        </w:tc>
        <w:tc>
          <w:tcPr>
            <w:tcW w:w="3179" w:type="dxa"/>
            <w:gridSpan w:val="2"/>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rPr>
              <w:t>121.22万元</w:t>
            </w:r>
          </w:p>
        </w:tc>
        <w:tc>
          <w:tcPr>
            <w:tcW w:w="2295" w:type="dxa"/>
            <w:gridSpan w:val="2"/>
            <w:tcBorders>
              <w:left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121.22万元</w:t>
            </w:r>
          </w:p>
        </w:tc>
      </w:tr>
    </w:tbl>
    <w:p>
      <w:pPr>
        <w:pStyle w:val="8"/>
        <w:tabs>
          <w:tab w:val="left" w:pos="3915"/>
        </w:tabs>
        <w:spacing w:line="341" w:lineRule="exact"/>
        <w:ind w:left="2768"/>
        <w:rPr>
          <w:spacing w:val="2"/>
          <w:highlight w:val="cyan"/>
          <w:lang w:eastAsia="zh-CN"/>
        </w:rPr>
      </w:pPr>
    </w:p>
    <w:p>
      <w:pPr>
        <w:pStyle w:val="8"/>
        <w:tabs>
          <w:tab w:val="left" w:pos="3915"/>
        </w:tabs>
        <w:spacing w:line="341" w:lineRule="exact"/>
        <w:ind w:left="2768"/>
        <w:rPr>
          <w:spacing w:val="2"/>
          <w:highlight w:val="cyan"/>
          <w:lang w:eastAsia="zh-CN"/>
        </w:rPr>
      </w:pPr>
    </w:p>
    <w:p>
      <w:pPr>
        <w:pStyle w:val="8"/>
        <w:tabs>
          <w:tab w:val="left" w:pos="3915"/>
        </w:tabs>
        <w:spacing w:line="341" w:lineRule="exact"/>
        <w:ind w:left="2768"/>
        <w:rPr>
          <w:spacing w:val="2"/>
          <w:highlight w:val="cyan"/>
          <w:lang w:eastAsia="zh-CN"/>
        </w:rPr>
      </w:pPr>
    </w:p>
    <w:p>
      <w:pPr>
        <w:pStyle w:val="8"/>
        <w:tabs>
          <w:tab w:val="left" w:pos="3915"/>
        </w:tabs>
        <w:spacing w:line="341" w:lineRule="exact"/>
        <w:ind w:left="2768"/>
        <w:rPr>
          <w:spacing w:val="2"/>
          <w:highlight w:val="cyan"/>
          <w:lang w:eastAsia="zh-CN"/>
        </w:rPr>
      </w:pPr>
    </w:p>
    <w:p>
      <w:pPr>
        <w:pStyle w:val="8"/>
        <w:tabs>
          <w:tab w:val="left" w:pos="3915"/>
        </w:tabs>
        <w:spacing w:line="341" w:lineRule="exact"/>
        <w:ind w:left="2768"/>
        <w:rPr>
          <w:spacing w:val="2"/>
          <w:highlight w:val="cyan"/>
          <w:lang w:eastAsia="zh-CN"/>
        </w:rPr>
      </w:pPr>
    </w:p>
    <w:p>
      <w:pPr>
        <w:pStyle w:val="8"/>
        <w:tabs>
          <w:tab w:val="left" w:pos="3915"/>
        </w:tabs>
        <w:spacing w:line="341" w:lineRule="exact"/>
        <w:ind w:left="2768"/>
        <w:rPr>
          <w:spacing w:val="2"/>
          <w:highlight w:val="cyan"/>
          <w:lang w:eastAsia="zh-CN"/>
        </w:rPr>
      </w:pPr>
    </w:p>
    <w:p>
      <w:pPr>
        <w:pStyle w:val="8"/>
        <w:tabs>
          <w:tab w:val="left" w:pos="3915"/>
        </w:tabs>
        <w:spacing w:line="341" w:lineRule="exact"/>
        <w:ind w:left="2768"/>
        <w:rPr>
          <w:spacing w:val="2"/>
          <w:highlight w:val="cyan"/>
          <w:lang w:eastAsia="zh-CN"/>
        </w:rPr>
      </w:pPr>
    </w:p>
    <w:p>
      <w:pPr>
        <w:pStyle w:val="8"/>
        <w:spacing w:line="360" w:lineRule="auto"/>
        <w:ind w:firstLine="560" w:firstLineChars="200"/>
        <w:rPr>
          <w:rFonts w:hint="eastAsia"/>
          <w:spacing w:val="2"/>
          <w:highlight w:val="cyan"/>
          <w:lang w:eastAsia="zh-CN"/>
        </w:rPr>
      </w:pPr>
      <w:r>
        <w:rPr>
          <w:highlight w:val="cyan"/>
          <w:lang/>
        </w:rPr>
        <w:drawing>
          <wp:anchor distT="0" distB="0" distL="114300" distR="114300" simplePos="0" relativeHeight="251659264" behindDoc="0" locked="0" layoutInCell="1" allowOverlap="1">
            <wp:simplePos x="0" y="0"/>
            <wp:positionH relativeFrom="column">
              <wp:posOffset>283845</wp:posOffset>
            </wp:positionH>
            <wp:positionV relativeFrom="paragraph">
              <wp:posOffset>208915</wp:posOffset>
            </wp:positionV>
            <wp:extent cx="4734560" cy="1789430"/>
            <wp:effectExtent l="0" t="0" r="8890" b="1270"/>
            <wp:wrapNone/>
            <wp:docPr id="1" name="图片 177" descr="1#北露天采场治理全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7" descr="1#北露天采场治理全照片"/>
                    <pic:cNvPicPr>
                      <a:picLocks noChangeAspect="1"/>
                    </pic:cNvPicPr>
                  </pic:nvPicPr>
                  <pic:blipFill>
                    <a:blip r:embed="rId9"/>
                    <a:stretch>
                      <a:fillRect/>
                    </a:stretch>
                  </pic:blipFill>
                  <pic:spPr>
                    <a:xfrm>
                      <a:off x="0" y="0"/>
                      <a:ext cx="4734560" cy="1789430"/>
                    </a:xfrm>
                    <a:prstGeom prst="rect">
                      <a:avLst/>
                    </a:prstGeom>
                    <a:noFill/>
                    <a:ln>
                      <a:noFill/>
                    </a:ln>
                  </pic:spPr>
                </pic:pic>
              </a:graphicData>
            </a:graphic>
          </wp:anchor>
        </w:drawing>
      </w:r>
    </w:p>
    <w:p>
      <w:pPr>
        <w:pStyle w:val="8"/>
        <w:tabs>
          <w:tab w:val="left" w:pos="3915"/>
        </w:tabs>
        <w:spacing w:line="341" w:lineRule="exact"/>
        <w:ind w:left="2768"/>
        <w:rPr>
          <w:rFonts w:hint="eastAsia"/>
          <w:spacing w:val="2"/>
          <w:highlight w:val="cyan"/>
          <w:lang w:eastAsia="zh-CN"/>
        </w:rPr>
      </w:pPr>
    </w:p>
    <w:p>
      <w:pPr>
        <w:pStyle w:val="8"/>
        <w:tabs>
          <w:tab w:val="left" w:pos="3915"/>
        </w:tabs>
        <w:spacing w:line="341" w:lineRule="exact"/>
        <w:ind w:left="2768"/>
        <w:rPr>
          <w:rFonts w:hint="eastAsia"/>
          <w:b/>
          <w:spacing w:val="2"/>
          <w:sz w:val="24"/>
          <w:szCs w:val="24"/>
          <w:lang w:eastAsia="zh-CN"/>
        </w:rPr>
      </w:pPr>
    </w:p>
    <w:p>
      <w:pPr>
        <w:pStyle w:val="8"/>
        <w:tabs>
          <w:tab w:val="left" w:pos="3915"/>
        </w:tabs>
        <w:spacing w:line="341" w:lineRule="exact"/>
        <w:ind w:left="2768"/>
        <w:rPr>
          <w:rFonts w:hint="eastAsia"/>
          <w:b/>
          <w:spacing w:val="2"/>
          <w:sz w:val="24"/>
          <w:szCs w:val="24"/>
          <w:lang w:eastAsia="zh-CN"/>
        </w:rPr>
      </w:pPr>
    </w:p>
    <w:p>
      <w:pPr>
        <w:pStyle w:val="8"/>
        <w:tabs>
          <w:tab w:val="left" w:pos="4037"/>
        </w:tabs>
        <w:spacing w:line="341" w:lineRule="exact"/>
        <w:ind w:left="2768"/>
        <w:rPr>
          <w:rFonts w:hint="eastAsia"/>
          <w:b/>
          <w:spacing w:val="2"/>
          <w:sz w:val="24"/>
          <w:szCs w:val="24"/>
          <w:lang w:eastAsia="zh-CN"/>
        </w:rPr>
      </w:pPr>
    </w:p>
    <w:p>
      <w:pPr>
        <w:pStyle w:val="8"/>
        <w:tabs>
          <w:tab w:val="left" w:pos="4037"/>
        </w:tabs>
        <w:spacing w:line="341" w:lineRule="exact"/>
        <w:ind w:left="2768"/>
        <w:rPr>
          <w:rFonts w:hint="eastAsia"/>
          <w:b/>
          <w:spacing w:val="2"/>
          <w:sz w:val="24"/>
          <w:szCs w:val="24"/>
          <w:lang w:eastAsia="zh-CN"/>
        </w:rPr>
      </w:pPr>
    </w:p>
    <w:p>
      <w:pPr>
        <w:pStyle w:val="8"/>
        <w:tabs>
          <w:tab w:val="left" w:pos="4037"/>
        </w:tabs>
        <w:spacing w:line="341" w:lineRule="exact"/>
        <w:ind w:left="2768"/>
        <w:rPr>
          <w:rFonts w:hint="eastAsia"/>
          <w:b/>
          <w:spacing w:val="2"/>
          <w:sz w:val="24"/>
          <w:szCs w:val="24"/>
          <w:lang w:eastAsia="zh-CN"/>
        </w:rPr>
      </w:pPr>
    </w:p>
    <w:p>
      <w:pPr>
        <w:pStyle w:val="8"/>
        <w:tabs>
          <w:tab w:val="left" w:pos="4037"/>
        </w:tabs>
        <w:spacing w:line="341" w:lineRule="exact"/>
        <w:ind w:left="2768"/>
        <w:rPr>
          <w:rFonts w:hint="eastAsia"/>
          <w:b/>
          <w:spacing w:val="2"/>
          <w:sz w:val="24"/>
          <w:szCs w:val="24"/>
          <w:lang w:eastAsia="zh-CN"/>
        </w:rPr>
      </w:pPr>
    </w:p>
    <w:p>
      <w:pPr>
        <w:pStyle w:val="8"/>
        <w:tabs>
          <w:tab w:val="left" w:pos="4037"/>
        </w:tabs>
        <w:spacing w:line="341" w:lineRule="exact"/>
        <w:ind w:left="2768"/>
        <w:rPr>
          <w:rFonts w:hint="eastAsia"/>
          <w:b/>
          <w:spacing w:val="2"/>
          <w:sz w:val="24"/>
          <w:szCs w:val="24"/>
          <w:lang w:eastAsia="zh-CN"/>
        </w:rPr>
      </w:pPr>
    </w:p>
    <w:p>
      <w:pPr>
        <w:pStyle w:val="8"/>
        <w:tabs>
          <w:tab w:val="left" w:pos="4037"/>
        </w:tabs>
        <w:spacing w:line="341" w:lineRule="exact"/>
        <w:ind w:left="0"/>
        <w:jc w:val="center"/>
        <w:rPr>
          <w:rFonts w:hint="eastAsia"/>
          <w:b/>
          <w:spacing w:val="2"/>
          <w:sz w:val="24"/>
          <w:szCs w:val="24"/>
          <w:lang w:eastAsia="zh-CN"/>
        </w:rPr>
      </w:pPr>
      <w:r>
        <w:rPr>
          <w:b/>
          <w:spacing w:val="2"/>
          <w:sz w:val="24"/>
          <w:szCs w:val="24"/>
          <w:lang w:eastAsia="zh-CN"/>
        </w:rPr>
        <w:t xml:space="preserve">照片 </w:t>
      </w:r>
      <w:r>
        <w:rPr>
          <w:rFonts w:hint="eastAsia"/>
          <w:b/>
          <w:spacing w:val="2"/>
          <w:sz w:val="24"/>
          <w:szCs w:val="24"/>
          <w:lang w:eastAsia="zh-CN"/>
        </w:rPr>
        <w:t>2-3</w:t>
      </w:r>
      <w:r>
        <w:rPr>
          <w:b/>
          <w:spacing w:val="2"/>
          <w:sz w:val="24"/>
          <w:szCs w:val="24"/>
          <w:lang w:eastAsia="zh-CN"/>
        </w:rPr>
        <w:t xml:space="preserve">  原露天采场北部治理效果</w:t>
      </w:r>
    </w:p>
    <w:p>
      <w:pPr>
        <w:pStyle w:val="8"/>
        <w:tabs>
          <w:tab w:val="left" w:pos="3915"/>
        </w:tabs>
        <w:spacing w:line="341" w:lineRule="exact"/>
        <w:ind w:left="0"/>
        <w:rPr>
          <w:rFonts w:hint="eastAsia"/>
          <w:highlight w:val="cyan"/>
          <w:lang w:eastAsia="zh-CN"/>
        </w:rPr>
      </w:pPr>
      <w:r>
        <w:rPr>
          <w:highlight w:val="cyan"/>
          <w:lang/>
        </w:rPr>
        <w:drawing>
          <wp:anchor distT="0" distB="0" distL="114300" distR="114300" simplePos="0" relativeHeight="251660288" behindDoc="0" locked="0" layoutInCell="1" allowOverlap="1">
            <wp:simplePos x="0" y="0"/>
            <wp:positionH relativeFrom="column">
              <wp:posOffset>387985</wp:posOffset>
            </wp:positionH>
            <wp:positionV relativeFrom="paragraph">
              <wp:posOffset>24130</wp:posOffset>
            </wp:positionV>
            <wp:extent cx="4476115" cy="2339340"/>
            <wp:effectExtent l="0" t="0" r="635" b="3810"/>
            <wp:wrapNone/>
            <wp:docPr id="2" name="图片 178" descr="废石堆治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8" descr="废石堆治理1"/>
                    <pic:cNvPicPr>
                      <a:picLocks noChangeAspect="1"/>
                    </pic:cNvPicPr>
                  </pic:nvPicPr>
                  <pic:blipFill>
                    <a:blip r:embed="rId10"/>
                    <a:stretch>
                      <a:fillRect/>
                    </a:stretch>
                  </pic:blipFill>
                  <pic:spPr>
                    <a:xfrm>
                      <a:off x="0" y="0"/>
                      <a:ext cx="4476115" cy="2339340"/>
                    </a:xfrm>
                    <a:prstGeom prst="rect">
                      <a:avLst/>
                    </a:prstGeom>
                    <a:noFill/>
                    <a:ln>
                      <a:noFill/>
                    </a:ln>
                  </pic:spPr>
                </pic:pic>
              </a:graphicData>
            </a:graphic>
          </wp:anchor>
        </w:drawing>
      </w:r>
    </w:p>
    <w:p>
      <w:pPr>
        <w:pStyle w:val="8"/>
        <w:tabs>
          <w:tab w:val="left" w:pos="3915"/>
        </w:tabs>
        <w:spacing w:line="341" w:lineRule="exact"/>
        <w:ind w:left="2768"/>
        <w:rPr>
          <w:rFonts w:hint="eastAsia"/>
          <w:highlight w:val="cyan"/>
          <w:lang w:eastAsia="zh-CN"/>
        </w:rPr>
      </w:pPr>
    </w:p>
    <w:p>
      <w:pPr>
        <w:pStyle w:val="8"/>
        <w:tabs>
          <w:tab w:val="left" w:pos="3612"/>
        </w:tabs>
        <w:spacing w:before="14"/>
        <w:ind w:left="2345"/>
        <w:rPr>
          <w:rFonts w:hint="eastAsia"/>
          <w:highlight w:val="cyan"/>
          <w:lang w:eastAsia="zh-CN"/>
        </w:rPr>
      </w:pPr>
    </w:p>
    <w:p>
      <w:pPr>
        <w:pStyle w:val="8"/>
        <w:tabs>
          <w:tab w:val="left" w:pos="3612"/>
        </w:tabs>
        <w:spacing w:before="14"/>
        <w:ind w:left="2345"/>
        <w:rPr>
          <w:rFonts w:hint="eastAsia"/>
          <w:spacing w:val="2"/>
          <w:highlight w:val="cyan"/>
          <w:lang w:eastAsia="zh-CN"/>
        </w:rPr>
      </w:pPr>
    </w:p>
    <w:p>
      <w:pPr>
        <w:pStyle w:val="8"/>
        <w:tabs>
          <w:tab w:val="left" w:pos="3612"/>
        </w:tabs>
        <w:spacing w:before="14"/>
        <w:ind w:left="2345"/>
        <w:rPr>
          <w:rFonts w:hint="eastAsia"/>
          <w:spacing w:val="2"/>
          <w:highlight w:val="cyan"/>
          <w:lang w:eastAsia="zh-CN"/>
        </w:rPr>
      </w:pPr>
    </w:p>
    <w:p>
      <w:pPr>
        <w:pStyle w:val="8"/>
        <w:tabs>
          <w:tab w:val="left" w:pos="3612"/>
        </w:tabs>
        <w:spacing w:before="14"/>
        <w:ind w:left="2345"/>
        <w:rPr>
          <w:rFonts w:hint="eastAsia"/>
          <w:spacing w:val="2"/>
          <w:highlight w:val="cyan"/>
          <w:lang w:eastAsia="zh-CN"/>
        </w:rPr>
      </w:pPr>
    </w:p>
    <w:p>
      <w:pPr>
        <w:pStyle w:val="8"/>
        <w:tabs>
          <w:tab w:val="left" w:pos="3612"/>
        </w:tabs>
        <w:spacing w:before="14"/>
        <w:ind w:left="2345"/>
        <w:rPr>
          <w:rFonts w:hint="eastAsia"/>
          <w:spacing w:val="2"/>
          <w:highlight w:val="cyan"/>
          <w:lang w:eastAsia="zh-CN"/>
        </w:rPr>
      </w:pPr>
    </w:p>
    <w:p>
      <w:pPr>
        <w:pStyle w:val="8"/>
        <w:tabs>
          <w:tab w:val="left" w:pos="3915"/>
        </w:tabs>
        <w:spacing w:line="341" w:lineRule="exact"/>
        <w:ind w:left="0"/>
        <w:jc w:val="center"/>
        <w:rPr>
          <w:rFonts w:hint="eastAsia"/>
          <w:b/>
          <w:spacing w:val="2"/>
          <w:sz w:val="24"/>
          <w:szCs w:val="24"/>
          <w:lang w:eastAsia="zh-CN"/>
        </w:rPr>
      </w:pPr>
      <w:r>
        <w:rPr>
          <w:b/>
          <w:spacing w:val="2"/>
          <w:sz w:val="24"/>
          <w:szCs w:val="24"/>
          <w:lang w:eastAsia="zh-CN"/>
        </w:rPr>
        <w:t xml:space="preserve">照片 </w:t>
      </w:r>
      <w:r>
        <w:rPr>
          <w:rFonts w:hint="eastAsia"/>
          <w:b/>
          <w:spacing w:val="2"/>
          <w:sz w:val="24"/>
          <w:szCs w:val="24"/>
          <w:lang w:eastAsia="zh-CN"/>
        </w:rPr>
        <w:t>2-4</w:t>
      </w:r>
      <w:r>
        <w:rPr>
          <w:b/>
          <w:spacing w:val="2"/>
          <w:sz w:val="24"/>
          <w:szCs w:val="24"/>
          <w:lang w:eastAsia="zh-CN"/>
        </w:rPr>
        <w:t xml:space="preserve">  矿石场（西部）治理效果</w:t>
      </w:r>
    </w:p>
    <w:p>
      <w:pPr>
        <w:pStyle w:val="8"/>
        <w:spacing w:line="360" w:lineRule="auto"/>
        <w:ind w:firstLine="480" w:firstLineChars="200"/>
        <w:rPr>
          <w:sz w:val="24"/>
          <w:szCs w:val="24"/>
          <w:lang w:eastAsia="zh-CN"/>
        </w:rPr>
      </w:pPr>
      <w:r>
        <w:rPr>
          <w:sz w:val="24"/>
          <w:szCs w:val="24"/>
          <w:lang w:eastAsia="zh-CN"/>
        </w:rPr>
        <w:t>根据该治理方案设计内容实施了治理工程，并于</w:t>
      </w:r>
      <w:r>
        <w:rPr>
          <w:spacing w:val="-60"/>
          <w:sz w:val="24"/>
          <w:szCs w:val="24"/>
          <w:lang w:eastAsia="zh-CN"/>
        </w:rPr>
        <w:t xml:space="preserve"> </w:t>
      </w:r>
      <w:r>
        <w:rPr>
          <w:sz w:val="24"/>
          <w:szCs w:val="24"/>
          <w:lang w:eastAsia="zh-CN"/>
        </w:rPr>
        <w:t>2017</w:t>
      </w:r>
      <w:r>
        <w:rPr>
          <w:spacing w:val="-60"/>
          <w:sz w:val="24"/>
          <w:szCs w:val="24"/>
          <w:lang w:eastAsia="zh-CN"/>
        </w:rPr>
        <w:t xml:space="preserve"> </w:t>
      </w:r>
      <w:r>
        <w:rPr>
          <w:sz w:val="24"/>
          <w:szCs w:val="24"/>
          <w:lang w:eastAsia="zh-CN"/>
        </w:rPr>
        <w:t>年</w:t>
      </w:r>
      <w:r>
        <w:rPr>
          <w:spacing w:val="-60"/>
          <w:sz w:val="24"/>
          <w:szCs w:val="24"/>
          <w:lang w:eastAsia="zh-CN"/>
        </w:rPr>
        <w:t xml:space="preserve"> </w:t>
      </w:r>
      <w:r>
        <w:rPr>
          <w:sz w:val="24"/>
          <w:szCs w:val="24"/>
          <w:lang w:eastAsia="zh-CN"/>
        </w:rPr>
        <w:t>4</w:t>
      </w:r>
      <w:r>
        <w:rPr>
          <w:spacing w:val="-60"/>
          <w:sz w:val="24"/>
          <w:szCs w:val="24"/>
          <w:lang w:eastAsia="zh-CN"/>
        </w:rPr>
        <w:t xml:space="preserve"> </w:t>
      </w:r>
      <w:r>
        <w:rPr>
          <w:sz w:val="24"/>
          <w:szCs w:val="24"/>
          <w:lang w:eastAsia="zh-CN"/>
        </w:rPr>
        <w:t>月</w:t>
      </w:r>
      <w:r>
        <w:rPr>
          <w:spacing w:val="-60"/>
          <w:sz w:val="24"/>
          <w:szCs w:val="24"/>
          <w:lang w:eastAsia="zh-CN"/>
        </w:rPr>
        <w:t xml:space="preserve"> </w:t>
      </w:r>
      <w:r>
        <w:rPr>
          <w:sz w:val="24"/>
          <w:szCs w:val="24"/>
          <w:lang w:eastAsia="zh-CN"/>
        </w:rPr>
        <w:t>18</w:t>
      </w:r>
      <w:r>
        <w:rPr>
          <w:spacing w:val="-60"/>
          <w:sz w:val="24"/>
          <w:szCs w:val="24"/>
          <w:lang w:eastAsia="zh-CN"/>
        </w:rPr>
        <w:t xml:space="preserve"> </w:t>
      </w:r>
      <w:r>
        <w:rPr>
          <w:sz w:val="24"/>
          <w:szCs w:val="24"/>
          <w:lang w:eastAsia="zh-CN"/>
        </w:rPr>
        <w:t>日通过了赤峰市国土资源局组织的现场验收，获取了治理工程验收意见书（编号</w:t>
      </w:r>
      <w:r>
        <w:rPr>
          <w:spacing w:val="-59"/>
          <w:sz w:val="24"/>
          <w:szCs w:val="24"/>
          <w:lang w:eastAsia="zh-CN"/>
        </w:rPr>
        <w:t xml:space="preserve"> </w:t>
      </w:r>
      <w:r>
        <w:rPr>
          <w:sz w:val="24"/>
          <w:szCs w:val="24"/>
          <w:lang w:eastAsia="zh-CN"/>
        </w:rPr>
        <w:t>17011）。</w:t>
      </w:r>
    </w:p>
    <w:p>
      <w:pPr>
        <w:pStyle w:val="8"/>
        <w:spacing w:line="360" w:lineRule="auto"/>
        <w:ind w:firstLine="480" w:firstLineChars="200"/>
        <w:rPr>
          <w:rFonts w:hint="eastAsia"/>
          <w:sz w:val="24"/>
          <w:szCs w:val="24"/>
          <w:lang w:eastAsia="zh-CN"/>
        </w:rPr>
      </w:pPr>
      <w:r>
        <w:rPr>
          <w:rFonts w:hint="eastAsia"/>
          <w:sz w:val="24"/>
          <w:szCs w:val="24"/>
          <w:lang w:eastAsia="zh-CN"/>
        </w:rPr>
        <w:t>3)《二分期》</w:t>
      </w:r>
    </w:p>
    <w:p>
      <w:pPr>
        <w:pStyle w:val="8"/>
        <w:spacing w:line="360" w:lineRule="auto"/>
        <w:ind w:firstLine="480" w:firstLineChars="200"/>
        <w:rPr>
          <w:rFonts w:hint="eastAsia"/>
          <w:sz w:val="24"/>
          <w:szCs w:val="24"/>
          <w:lang w:eastAsia="zh-CN"/>
        </w:rPr>
      </w:pPr>
      <w:r>
        <w:rPr>
          <w:sz w:val="24"/>
          <w:szCs w:val="24"/>
          <w:lang w:eastAsia="zh-CN"/>
        </w:rPr>
        <w:t>2017 年3月赤峰冠诚地质勘查有限责任公司编制了《宁城县宝石山矿业有限公司龙宝山高岭土矿矿山地质环境分期治理方案（2014.8.1～2017.7.31》（审 查文号：赤分治字[2017]060 号）（以下简称“二分期”）</w:t>
      </w:r>
      <w:r>
        <w:rPr>
          <w:rFonts w:hint="eastAsia"/>
          <w:sz w:val="24"/>
          <w:szCs w:val="24"/>
          <w:lang w:eastAsia="zh-CN"/>
        </w:rPr>
        <w:t>。</w:t>
      </w:r>
    </w:p>
    <w:p>
      <w:pPr>
        <w:pStyle w:val="8"/>
        <w:spacing w:line="360" w:lineRule="auto"/>
        <w:ind w:firstLine="480" w:firstLineChars="200"/>
        <w:rPr>
          <w:rFonts w:hint="eastAsia"/>
          <w:sz w:val="24"/>
          <w:szCs w:val="24"/>
          <w:lang w:eastAsia="zh-CN"/>
        </w:rPr>
      </w:pPr>
      <w:r>
        <w:rPr>
          <w:rFonts w:hint="eastAsia"/>
          <w:sz w:val="24"/>
          <w:szCs w:val="24"/>
          <w:lang w:eastAsia="zh-CN"/>
        </w:rPr>
        <w:t>(1)工程设计</w:t>
      </w:r>
    </w:p>
    <w:p>
      <w:pPr>
        <w:pStyle w:val="8"/>
        <w:spacing w:line="360" w:lineRule="auto"/>
        <w:ind w:firstLine="480" w:firstLineChars="200"/>
        <w:rPr>
          <w:sz w:val="24"/>
          <w:szCs w:val="24"/>
          <w:lang w:eastAsia="zh-CN"/>
        </w:rPr>
      </w:pPr>
      <w:r>
        <w:rPr>
          <w:sz w:val="24"/>
          <w:szCs w:val="24"/>
          <w:lang w:eastAsia="zh-CN"/>
        </w:rPr>
        <w:t>方案设计治理及土地复垦责任区：对西部露天采场西侧超采部分进行削坡、覆土、整平、恢复植被。见表</w:t>
      </w:r>
      <w:r>
        <w:rPr>
          <w:rFonts w:hint="eastAsia"/>
          <w:sz w:val="24"/>
          <w:szCs w:val="24"/>
          <w:lang w:eastAsia="zh-CN"/>
        </w:rPr>
        <w:t>2-2。</w:t>
      </w:r>
    </w:p>
    <w:p>
      <w:pPr>
        <w:pStyle w:val="8"/>
        <w:spacing w:line="360" w:lineRule="auto"/>
        <w:ind w:firstLine="480" w:firstLineChars="200"/>
        <w:rPr>
          <w:sz w:val="24"/>
          <w:szCs w:val="24"/>
          <w:lang w:eastAsia="zh-CN"/>
        </w:rPr>
      </w:pPr>
    </w:p>
    <w:p>
      <w:pPr>
        <w:pStyle w:val="8"/>
        <w:spacing w:line="360" w:lineRule="auto"/>
        <w:ind w:firstLine="480" w:firstLineChars="200"/>
        <w:rPr>
          <w:sz w:val="24"/>
          <w:szCs w:val="24"/>
          <w:lang w:eastAsia="zh-CN"/>
        </w:rPr>
      </w:pPr>
    </w:p>
    <w:p>
      <w:pPr>
        <w:pStyle w:val="8"/>
        <w:spacing w:line="360" w:lineRule="auto"/>
        <w:ind w:firstLine="560" w:firstLineChars="200"/>
        <w:rPr>
          <w:rFonts w:hint="eastAsia"/>
          <w:lang w:eastAsia="zh-CN"/>
        </w:rPr>
      </w:pPr>
    </w:p>
    <w:p>
      <w:pPr>
        <w:pStyle w:val="57"/>
        <w:ind w:firstLine="0" w:firstLineChars="0"/>
        <w:jc w:val="center"/>
        <w:rPr>
          <w:rFonts w:hAnsi="宋体" w:cs="宋体"/>
          <w:b/>
          <w:sz w:val="24"/>
          <w:szCs w:val="24"/>
        </w:rPr>
      </w:pPr>
      <w:r>
        <w:rPr>
          <w:rFonts w:hint="eastAsia" w:hAnsi="宋体" w:cs="宋体"/>
          <w:b/>
          <w:sz w:val="24"/>
          <w:szCs w:val="24"/>
        </w:rPr>
        <w:t>表2-2  二分期治理工程部署及完成情况对比表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569"/>
        <w:gridCol w:w="808"/>
        <w:gridCol w:w="1589"/>
        <w:gridCol w:w="1590"/>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47" w:hRule="exact"/>
          <w:tblHeader/>
          <w:jc w:val="center"/>
        </w:trPr>
        <w:tc>
          <w:tcPr>
            <w:tcW w:w="124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实施年度</w:t>
            </w:r>
          </w:p>
        </w:tc>
        <w:tc>
          <w:tcPr>
            <w:tcW w:w="156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治理及复垦责任分区名称</w:t>
            </w:r>
          </w:p>
        </w:tc>
        <w:tc>
          <w:tcPr>
            <w:tcW w:w="8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面积</w:t>
            </w:r>
          </w:p>
          <w:p>
            <w:pPr>
              <w:jc w:val="center"/>
              <w:rPr>
                <w:rFonts w:hint="eastAsia"/>
              </w:rPr>
            </w:pPr>
            <w:r>
              <w:rPr>
                <w:rFonts w:hint="eastAsia"/>
              </w:rPr>
              <w:t>（m</w:t>
            </w:r>
            <w:r>
              <w:rPr>
                <w:rFonts w:hint="eastAsia"/>
                <w:vertAlign w:val="superscript"/>
              </w:rPr>
              <w:t>2</w:t>
            </w:r>
            <w:r>
              <w:rPr>
                <w:rFonts w:hint="eastAsia"/>
              </w:rPr>
              <w:t>）</w:t>
            </w:r>
          </w:p>
        </w:tc>
        <w:tc>
          <w:tcPr>
            <w:tcW w:w="317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二分期治理方案设计治理工程</w:t>
            </w:r>
          </w:p>
          <w:p>
            <w:pPr>
              <w:jc w:val="center"/>
              <w:rPr>
                <w:rFonts w:hint="eastAsia"/>
              </w:rPr>
            </w:pPr>
            <w:r>
              <w:rPr>
                <w:rFonts w:hint="eastAsia"/>
              </w:rPr>
              <w:t>内容、工程量</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rPr>
            </w:pPr>
            <w:r>
              <w:rPr>
                <w:rFonts w:hint="eastAsia"/>
              </w:rPr>
              <w:t>二分期治理方案完成治理工程内容、工程量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exact"/>
          <w:jc w:val="center"/>
        </w:trPr>
        <w:tc>
          <w:tcPr>
            <w:tcW w:w="1247" w:type="dxa"/>
            <w:vMerge w:val="restart"/>
            <w:tcBorders>
              <w:left w:val="single" w:color="auto" w:sz="4" w:space="0"/>
              <w:right w:val="single" w:color="auto" w:sz="4" w:space="0"/>
            </w:tcBorders>
            <w:noWrap w:val="0"/>
            <w:vAlign w:val="center"/>
          </w:tcPr>
          <w:p>
            <w:pPr>
              <w:jc w:val="center"/>
              <w:rPr>
                <w:rFonts w:hint="eastAsia"/>
              </w:rPr>
            </w:pPr>
            <w:r>
              <w:rPr>
                <w:rFonts w:hint="eastAsia"/>
              </w:rPr>
              <w:t>2014.8.1-2017.7.31</w:t>
            </w:r>
          </w:p>
        </w:tc>
        <w:tc>
          <w:tcPr>
            <w:tcW w:w="1569" w:type="dxa"/>
            <w:vMerge w:val="restart"/>
            <w:tcBorders>
              <w:left w:val="single" w:color="auto" w:sz="4" w:space="0"/>
              <w:right w:val="single" w:color="auto" w:sz="4" w:space="0"/>
            </w:tcBorders>
            <w:noWrap w:val="0"/>
            <w:vAlign w:val="center"/>
          </w:tcPr>
          <w:p>
            <w:pPr>
              <w:jc w:val="center"/>
              <w:rPr>
                <w:rFonts w:hint="eastAsia"/>
              </w:rPr>
            </w:pPr>
            <w:r>
              <w:rPr>
                <w:rFonts w:hint="eastAsia"/>
              </w:rPr>
              <w:t>露天采场（原1#采场）西侧超采部分</w:t>
            </w:r>
          </w:p>
        </w:tc>
        <w:tc>
          <w:tcPr>
            <w:tcW w:w="808" w:type="dxa"/>
            <w:vMerge w:val="restart"/>
            <w:tcBorders>
              <w:left w:val="single" w:color="auto" w:sz="4" w:space="0"/>
              <w:right w:val="single" w:color="auto" w:sz="4" w:space="0"/>
            </w:tcBorders>
            <w:noWrap w:val="0"/>
            <w:vAlign w:val="center"/>
          </w:tcPr>
          <w:p>
            <w:pPr>
              <w:jc w:val="center"/>
            </w:pPr>
            <w:r>
              <w:rPr>
                <w:rFonts w:hint="eastAsia"/>
              </w:rPr>
              <w:t>6232</w:t>
            </w:r>
          </w:p>
        </w:tc>
        <w:tc>
          <w:tcPr>
            <w:tcW w:w="1589" w:type="dxa"/>
            <w:tcBorders>
              <w:left w:val="single" w:color="auto" w:sz="4" w:space="0"/>
              <w:right w:val="single" w:color="auto" w:sz="4" w:space="0"/>
            </w:tcBorders>
            <w:noWrap w:val="0"/>
            <w:vAlign w:val="center"/>
          </w:tcPr>
          <w:p>
            <w:pPr>
              <w:jc w:val="center"/>
              <w:rPr>
                <w:rFonts w:hint="eastAsia"/>
              </w:rPr>
            </w:pPr>
            <w:r>
              <w:rPr>
                <w:rFonts w:hint="eastAsia"/>
              </w:rPr>
              <w:t>削坡</w:t>
            </w:r>
          </w:p>
        </w:tc>
        <w:tc>
          <w:tcPr>
            <w:tcW w:w="1590" w:type="dxa"/>
            <w:tcBorders>
              <w:left w:val="single" w:color="auto" w:sz="4" w:space="0"/>
              <w:right w:val="single" w:color="auto" w:sz="4" w:space="0"/>
            </w:tcBorders>
            <w:noWrap w:val="0"/>
            <w:vAlign w:val="center"/>
          </w:tcPr>
          <w:p>
            <w:pPr>
              <w:jc w:val="center"/>
              <w:rPr>
                <w:rFonts w:hint="eastAsia"/>
              </w:rPr>
            </w:pPr>
            <w:r>
              <w:rPr>
                <w:rFonts w:hint="eastAsia"/>
              </w:rPr>
              <w:t>890m</w:t>
            </w:r>
            <w:r>
              <w:rPr>
                <w:rFonts w:hint="eastAsia"/>
                <w:vertAlign w:val="superscript"/>
              </w:rPr>
              <w:t>3</w:t>
            </w:r>
          </w:p>
        </w:tc>
        <w:tc>
          <w:tcPr>
            <w:tcW w:w="2295" w:type="dxa"/>
            <w:vMerge w:val="restart"/>
            <w:tcBorders>
              <w:left w:val="single" w:color="auto" w:sz="4" w:space="0"/>
              <w:right w:val="single" w:color="auto" w:sz="4" w:space="0"/>
            </w:tcBorders>
            <w:noWrap w:val="0"/>
            <w:vAlign w:val="center"/>
          </w:tcPr>
          <w:p>
            <w:pPr>
              <w:jc w:val="center"/>
              <w:rPr>
                <w:rFonts w:hint="eastAsia"/>
              </w:rPr>
            </w:pPr>
            <w:r>
              <w:rPr>
                <w:rFonts w:hint="eastAsia"/>
              </w:rPr>
              <w:t>未完成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exact"/>
          <w:jc w:val="center"/>
        </w:trPr>
        <w:tc>
          <w:tcPr>
            <w:tcW w:w="1247" w:type="dxa"/>
            <w:vMerge w:val="continue"/>
            <w:tcBorders>
              <w:left w:val="single" w:color="auto" w:sz="4" w:space="0"/>
              <w:right w:val="single" w:color="auto" w:sz="4" w:space="0"/>
            </w:tcBorders>
            <w:noWrap w:val="0"/>
            <w:vAlign w:val="center"/>
          </w:tcPr>
          <w:p>
            <w:pPr>
              <w:jc w:val="center"/>
              <w:rPr>
                <w:rFonts w:hint="eastAsia"/>
              </w:rPr>
            </w:pPr>
          </w:p>
        </w:tc>
        <w:tc>
          <w:tcPr>
            <w:tcW w:w="1569" w:type="dxa"/>
            <w:vMerge w:val="continue"/>
            <w:tcBorders>
              <w:left w:val="single" w:color="auto" w:sz="4" w:space="0"/>
              <w:right w:val="single" w:color="auto" w:sz="4" w:space="0"/>
            </w:tcBorders>
            <w:noWrap w:val="0"/>
            <w:vAlign w:val="center"/>
          </w:tcPr>
          <w:p>
            <w:pPr>
              <w:jc w:val="center"/>
              <w:rPr>
                <w:rFonts w:hint="eastAsia"/>
              </w:rPr>
            </w:pPr>
          </w:p>
        </w:tc>
        <w:tc>
          <w:tcPr>
            <w:tcW w:w="808" w:type="dxa"/>
            <w:vMerge w:val="continue"/>
            <w:tcBorders>
              <w:left w:val="single" w:color="auto" w:sz="4" w:space="0"/>
              <w:right w:val="single" w:color="auto" w:sz="4" w:space="0"/>
            </w:tcBorders>
            <w:noWrap w:val="0"/>
            <w:vAlign w:val="center"/>
          </w:tcPr>
          <w:p>
            <w:pPr>
              <w:jc w:val="center"/>
              <w:rPr>
                <w:rFonts w:hint="eastAsia"/>
              </w:rPr>
            </w:pPr>
          </w:p>
        </w:tc>
        <w:tc>
          <w:tcPr>
            <w:tcW w:w="1589" w:type="dxa"/>
            <w:tcBorders>
              <w:left w:val="single" w:color="auto" w:sz="4" w:space="0"/>
              <w:right w:val="single" w:color="auto" w:sz="4" w:space="0"/>
            </w:tcBorders>
            <w:noWrap w:val="0"/>
            <w:vAlign w:val="center"/>
          </w:tcPr>
          <w:p>
            <w:pPr>
              <w:jc w:val="center"/>
              <w:rPr>
                <w:rFonts w:hint="eastAsia"/>
              </w:rPr>
            </w:pPr>
            <w:r>
              <w:rPr>
                <w:rFonts w:hint="eastAsia"/>
              </w:rPr>
              <w:t>覆土</w:t>
            </w:r>
          </w:p>
        </w:tc>
        <w:tc>
          <w:tcPr>
            <w:tcW w:w="1590" w:type="dxa"/>
            <w:tcBorders>
              <w:left w:val="single" w:color="auto" w:sz="4" w:space="0"/>
              <w:right w:val="single" w:color="auto" w:sz="4" w:space="0"/>
            </w:tcBorders>
            <w:noWrap w:val="0"/>
            <w:vAlign w:val="center"/>
          </w:tcPr>
          <w:p>
            <w:pPr>
              <w:jc w:val="center"/>
              <w:rPr>
                <w:rFonts w:hint="eastAsia"/>
              </w:rPr>
            </w:pPr>
            <w:r>
              <w:rPr>
                <w:rFonts w:hint="eastAsia"/>
              </w:rPr>
              <w:t>4363m</w:t>
            </w:r>
            <w:r>
              <w:rPr>
                <w:rFonts w:hint="eastAsia"/>
                <w:vertAlign w:val="superscript"/>
              </w:rPr>
              <w:t>3</w:t>
            </w:r>
          </w:p>
        </w:tc>
        <w:tc>
          <w:tcPr>
            <w:tcW w:w="2295" w:type="dxa"/>
            <w:vMerge w:val="continue"/>
            <w:tcBorders>
              <w:left w:val="single" w:color="auto" w:sz="4" w:space="0"/>
              <w:right w:val="single" w:color="auto" w:sz="4" w:space="0"/>
            </w:tcBorders>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exact"/>
          <w:jc w:val="center"/>
        </w:trPr>
        <w:tc>
          <w:tcPr>
            <w:tcW w:w="1247" w:type="dxa"/>
            <w:vMerge w:val="continue"/>
            <w:tcBorders>
              <w:left w:val="single" w:color="auto" w:sz="4" w:space="0"/>
              <w:right w:val="single" w:color="auto" w:sz="4" w:space="0"/>
            </w:tcBorders>
            <w:noWrap w:val="0"/>
            <w:vAlign w:val="center"/>
          </w:tcPr>
          <w:p>
            <w:pPr>
              <w:jc w:val="center"/>
              <w:rPr>
                <w:rFonts w:hint="eastAsia"/>
              </w:rPr>
            </w:pPr>
          </w:p>
        </w:tc>
        <w:tc>
          <w:tcPr>
            <w:tcW w:w="1569" w:type="dxa"/>
            <w:vMerge w:val="continue"/>
            <w:tcBorders>
              <w:left w:val="single" w:color="auto" w:sz="4" w:space="0"/>
              <w:right w:val="single" w:color="auto" w:sz="4" w:space="0"/>
            </w:tcBorders>
            <w:noWrap w:val="0"/>
            <w:vAlign w:val="center"/>
          </w:tcPr>
          <w:p>
            <w:pPr>
              <w:jc w:val="center"/>
              <w:rPr>
                <w:rFonts w:hint="eastAsia"/>
              </w:rPr>
            </w:pPr>
          </w:p>
        </w:tc>
        <w:tc>
          <w:tcPr>
            <w:tcW w:w="808" w:type="dxa"/>
            <w:vMerge w:val="continue"/>
            <w:tcBorders>
              <w:left w:val="single" w:color="auto" w:sz="4" w:space="0"/>
              <w:right w:val="single" w:color="auto" w:sz="4" w:space="0"/>
            </w:tcBorders>
            <w:noWrap w:val="0"/>
            <w:vAlign w:val="center"/>
          </w:tcPr>
          <w:p>
            <w:pPr>
              <w:jc w:val="center"/>
              <w:rPr>
                <w:rFonts w:hint="eastAsia"/>
              </w:rPr>
            </w:pPr>
          </w:p>
        </w:tc>
        <w:tc>
          <w:tcPr>
            <w:tcW w:w="1589" w:type="dxa"/>
            <w:tcBorders>
              <w:left w:val="single" w:color="auto" w:sz="4" w:space="0"/>
              <w:right w:val="single" w:color="auto" w:sz="4" w:space="0"/>
            </w:tcBorders>
            <w:noWrap w:val="0"/>
            <w:vAlign w:val="center"/>
          </w:tcPr>
          <w:p>
            <w:pPr>
              <w:jc w:val="center"/>
              <w:rPr>
                <w:rFonts w:hint="eastAsia"/>
              </w:rPr>
            </w:pPr>
            <w:r>
              <w:rPr>
                <w:rFonts w:hint="eastAsia"/>
              </w:rPr>
              <w:t>整平</w:t>
            </w:r>
          </w:p>
        </w:tc>
        <w:tc>
          <w:tcPr>
            <w:tcW w:w="1590" w:type="dxa"/>
            <w:tcBorders>
              <w:left w:val="single" w:color="auto" w:sz="4" w:space="0"/>
              <w:right w:val="single" w:color="auto" w:sz="4" w:space="0"/>
            </w:tcBorders>
            <w:noWrap w:val="0"/>
            <w:vAlign w:val="center"/>
          </w:tcPr>
          <w:p>
            <w:pPr>
              <w:jc w:val="center"/>
            </w:pPr>
            <w:r>
              <w:rPr>
                <w:rFonts w:hint="eastAsia"/>
              </w:rPr>
              <w:t>1870m</w:t>
            </w:r>
            <w:r>
              <w:rPr>
                <w:rFonts w:hint="eastAsia"/>
                <w:vertAlign w:val="superscript"/>
              </w:rPr>
              <w:t>3</w:t>
            </w:r>
          </w:p>
        </w:tc>
        <w:tc>
          <w:tcPr>
            <w:tcW w:w="2295" w:type="dxa"/>
            <w:vMerge w:val="continue"/>
            <w:tcBorders>
              <w:left w:val="single" w:color="auto" w:sz="4" w:space="0"/>
              <w:right w:val="single" w:color="auto" w:sz="4" w:space="0"/>
            </w:tcBorders>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exact"/>
          <w:jc w:val="center"/>
        </w:trPr>
        <w:tc>
          <w:tcPr>
            <w:tcW w:w="1247" w:type="dxa"/>
            <w:vMerge w:val="continue"/>
            <w:tcBorders>
              <w:left w:val="single" w:color="auto" w:sz="4" w:space="0"/>
              <w:right w:val="single" w:color="auto" w:sz="4" w:space="0"/>
            </w:tcBorders>
            <w:noWrap w:val="0"/>
            <w:vAlign w:val="center"/>
          </w:tcPr>
          <w:p>
            <w:pPr>
              <w:jc w:val="center"/>
              <w:rPr>
                <w:rFonts w:hint="eastAsia"/>
              </w:rPr>
            </w:pPr>
          </w:p>
        </w:tc>
        <w:tc>
          <w:tcPr>
            <w:tcW w:w="1569" w:type="dxa"/>
            <w:vMerge w:val="continue"/>
            <w:tcBorders>
              <w:left w:val="single" w:color="auto" w:sz="4" w:space="0"/>
              <w:right w:val="single" w:color="auto" w:sz="4" w:space="0"/>
            </w:tcBorders>
            <w:noWrap w:val="0"/>
            <w:vAlign w:val="center"/>
          </w:tcPr>
          <w:p>
            <w:pPr>
              <w:jc w:val="center"/>
              <w:rPr>
                <w:rFonts w:hint="eastAsia"/>
              </w:rPr>
            </w:pPr>
          </w:p>
        </w:tc>
        <w:tc>
          <w:tcPr>
            <w:tcW w:w="808" w:type="dxa"/>
            <w:vMerge w:val="continue"/>
            <w:tcBorders>
              <w:left w:val="single" w:color="auto" w:sz="4" w:space="0"/>
              <w:right w:val="single" w:color="auto" w:sz="4" w:space="0"/>
            </w:tcBorders>
            <w:noWrap w:val="0"/>
            <w:vAlign w:val="center"/>
          </w:tcPr>
          <w:p>
            <w:pPr>
              <w:jc w:val="center"/>
              <w:rPr>
                <w:rFonts w:hint="eastAsia"/>
              </w:rPr>
            </w:pPr>
          </w:p>
        </w:tc>
        <w:tc>
          <w:tcPr>
            <w:tcW w:w="1589" w:type="dxa"/>
            <w:tcBorders>
              <w:left w:val="single" w:color="auto" w:sz="4" w:space="0"/>
              <w:right w:val="single" w:color="auto" w:sz="4" w:space="0"/>
            </w:tcBorders>
            <w:noWrap w:val="0"/>
            <w:vAlign w:val="center"/>
          </w:tcPr>
          <w:p>
            <w:pPr>
              <w:jc w:val="center"/>
              <w:rPr>
                <w:rFonts w:hint="eastAsia"/>
              </w:rPr>
            </w:pPr>
            <w:r>
              <w:rPr>
                <w:rFonts w:hint="eastAsia"/>
              </w:rPr>
              <w:t>种树</w:t>
            </w:r>
          </w:p>
        </w:tc>
        <w:tc>
          <w:tcPr>
            <w:tcW w:w="1590" w:type="dxa"/>
            <w:tcBorders>
              <w:left w:val="single" w:color="auto" w:sz="4" w:space="0"/>
              <w:right w:val="single" w:color="auto" w:sz="4" w:space="0"/>
            </w:tcBorders>
            <w:noWrap w:val="0"/>
            <w:vAlign w:val="center"/>
          </w:tcPr>
          <w:p>
            <w:pPr>
              <w:jc w:val="center"/>
            </w:pPr>
            <w:r>
              <w:rPr>
                <w:rFonts w:hint="eastAsia"/>
              </w:rPr>
              <w:t>935株</w:t>
            </w:r>
          </w:p>
        </w:tc>
        <w:tc>
          <w:tcPr>
            <w:tcW w:w="2295" w:type="dxa"/>
            <w:vMerge w:val="continue"/>
            <w:tcBorders>
              <w:left w:val="single" w:color="auto" w:sz="4" w:space="0"/>
              <w:right w:val="single" w:color="auto" w:sz="4" w:space="0"/>
            </w:tcBorders>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exact"/>
          <w:jc w:val="center"/>
        </w:trPr>
        <w:tc>
          <w:tcPr>
            <w:tcW w:w="1247" w:type="dxa"/>
            <w:vMerge w:val="continue"/>
            <w:tcBorders>
              <w:left w:val="single" w:color="auto" w:sz="4" w:space="0"/>
              <w:right w:val="single" w:color="auto" w:sz="4" w:space="0"/>
            </w:tcBorders>
            <w:noWrap w:val="0"/>
            <w:vAlign w:val="center"/>
          </w:tcPr>
          <w:p>
            <w:pPr>
              <w:jc w:val="center"/>
              <w:rPr>
                <w:rFonts w:hint="eastAsia"/>
              </w:rPr>
            </w:pPr>
          </w:p>
        </w:tc>
        <w:tc>
          <w:tcPr>
            <w:tcW w:w="1569" w:type="dxa"/>
            <w:vMerge w:val="continue"/>
            <w:tcBorders>
              <w:left w:val="single" w:color="auto" w:sz="4" w:space="0"/>
              <w:right w:val="single" w:color="auto" w:sz="4" w:space="0"/>
            </w:tcBorders>
            <w:noWrap w:val="0"/>
            <w:vAlign w:val="center"/>
          </w:tcPr>
          <w:p>
            <w:pPr>
              <w:jc w:val="center"/>
              <w:rPr>
                <w:rFonts w:hint="eastAsia"/>
              </w:rPr>
            </w:pPr>
          </w:p>
        </w:tc>
        <w:tc>
          <w:tcPr>
            <w:tcW w:w="808" w:type="dxa"/>
            <w:vMerge w:val="continue"/>
            <w:tcBorders>
              <w:left w:val="single" w:color="auto" w:sz="4" w:space="0"/>
              <w:right w:val="single" w:color="auto" w:sz="4" w:space="0"/>
            </w:tcBorders>
            <w:noWrap w:val="0"/>
            <w:vAlign w:val="center"/>
          </w:tcPr>
          <w:p>
            <w:pPr>
              <w:jc w:val="center"/>
              <w:rPr>
                <w:rFonts w:hint="eastAsia"/>
              </w:rPr>
            </w:pPr>
          </w:p>
        </w:tc>
        <w:tc>
          <w:tcPr>
            <w:tcW w:w="1589" w:type="dxa"/>
            <w:tcBorders>
              <w:left w:val="single" w:color="auto" w:sz="4" w:space="0"/>
              <w:right w:val="single" w:color="auto" w:sz="4" w:space="0"/>
            </w:tcBorders>
            <w:noWrap w:val="0"/>
            <w:vAlign w:val="center"/>
          </w:tcPr>
          <w:p>
            <w:pPr>
              <w:jc w:val="center"/>
              <w:rPr>
                <w:rFonts w:hint="eastAsia"/>
              </w:rPr>
            </w:pPr>
            <w:r>
              <w:rPr>
                <w:rFonts w:hint="eastAsia"/>
              </w:rPr>
              <w:t>种草</w:t>
            </w:r>
          </w:p>
        </w:tc>
        <w:tc>
          <w:tcPr>
            <w:tcW w:w="1590" w:type="dxa"/>
            <w:tcBorders>
              <w:left w:val="single" w:color="auto" w:sz="4" w:space="0"/>
              <w:right w:val="single" w:color="auto" w:sz="4" w:space="0"/>
            </w:tcBorders>
            <w:noWrap w:val="0"/>
            <w:vAlign w:val="center"/>
          </w:tcPr>
          <w:p>
            <w:pPr>
              <w:jc w:val="center"/>
              <w:rPr>
                <w:rFonts w:hint="eastAsia"/>
              </w:rPr>
            </w:pPr>
            <w:r>
              <w:rPr>
                <w:rFonts w:hint="eastAsia"/>
              </w:rPr>
              <w:t>2493m</w:t>
            </w:r>
            <w:r>
              <w:rPr>
                <w:rFonts w:hint="eastAsia"/>
                <w:vertAlign w:val="superscript"/>
              </w:rPr>
              <w:t>2</w:t>
            </w:r>
          </w:p>
        </w:tc>
        <w:tc>
          <w:tcPr>
            <w:tcW w:w="2295" w:type="dxa"/>
            <w:vMerge w:val="continue"/>
            <w:tcBorders>
              <w:left w:val="single" w:color="auto" w:sz="4" w:space="0"/>
              <w:right w:val="single" w:color="auto" w:sz="4" w:space="0"/>
            </w:tcBorders>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exact"/>
          <w:jc w:val="center"/>
        </w:trPr>
        <w:tc>
          <w:tcPr>
            <w:tcW w:w="1247" w:type="dxa"/>
            <w:vMerge w:val="continue"/>
            <w:tcBorders>
              <w:left w:val="single" w:color="auto" w:sz="4" w:space="0"/>
              <w:right w:val="single" w:color="auto" w:sz="4" w:space="0"/>
            </w:tcBorders>
            <w:noWrap w:val="0"/>
            <w:vAlign w:val="center"/>
          </w:tcPr>
          <w:p>
            <w:pPr>
              <w:jc w:val="center"/>
              <w:rPr>
                <w:rFonts w:hint="eastAsia"/>
              </w:rPr>
            </w:pPr>
          </w:p>
        </w:tc>
        <w:tc>
          <w:tcPr>
            <w:tcW w:w="2377" w:type="dxa"/>
            <w:gridSpan w:val="2"/>
            <w:tcBorders>
              <w:left w:val="single" w:color="auto" w:sz="4" w:space="0"/>
              <w:right w:val="single" w:color="auto" w:sz="4" w:space="0"/>
            </w:tcBorders>
            <w:noWrap w:val="0"/>
            <w:vAlign w:val="center"/>
          </w:tcPr>
          <w:p>
            <w:pPr>
              <w:jc w:val="center"/>
              <w:rPr>
                <w:rFonts w:hint="eastAsia"/>
              </w:rPr>
            </w:pPr>
            <w:r>
              <w:rPr>
                <w:rFonts w:hint="eastAsia"/>
              </w:rPr>
              <w:t>矿山活动影响范围</w:t>
            </w:r>
          </w:p>
        </w:tc>
        <w:tc>
          <w:tcPr>
            <w:tcW w:w="3179" w:type="dxa"/>
            <w:gridSpan w:val="2"/>
            <w:tcBorders>
              <w:left w:val="single" w:color="auto" w:sz="4" w:space="0"/>
              <w:right w:val="single" w:color="auto" w:sz="4" w:space="0"/>
            </w:tcBorders>
            <w:noWrap w:val="0"/>
            <w:vAlign w:val="center"/>
          </w:tcPr>
          <w:p>
            <w:pPr>
              <w:jc w:val="center"/>
              <w:rPr>
                <w:rFonts w:hint="eastAsia"/>
              </w:rPr>
            </w:pPr>
            <w:r>
              <w:rPr>
                <w:rFonts w:hint="eastAsia"/>
              </w:rPr>
              <w:t>对矿山地形地貌及土地资源监测</w:t>
            </w:r>
          </w:p>
        </w:tc>
        <w:tc>
          <w:tcPr>
            <w:tcW w:w="2295" w:type="dxa"/>
            <w:tcBorders>
              <w:left w:val="single" w:color="auto" w:sz="4" w:space="0"/>
              <w:right w:val="single" w:color="auto" w:sz="4" w:space="0"/>
            </w:tcBorders>
            <w:noWrap w:val="0"/>
            <w:vAlign w:val="center"/>
          </w:tcPr>
          <w:p>
            <w:pPr>
              <w:jc w:val="center"/>
              <w:rPr>
                <w:rFonts w:hint="eastAsia"/>
              </w:rPr>
            </w:pPr>
            <w:r>
              <w:rPr>
                <w:rFonts w:hint="eastAsia"/>
              </w:rPr>
              <w:t>未完成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82" w:hRule="exact"/>
          <w:jc w:val="center"/>
        </w:trPr>
        <w:tc>
          <w:tcPr>
            <w:tcW w:w="1247" w:type="dxa"/>
            <w:vMerge w:val="continue"/>
            <w:tcBorders>
              <w:left w:val="single" w:color="auto" w:sz="4" w:space="0"/>
              <w:right w:val="single" w:color="auto" w:sz="4" w:space="0"/>
            </w:tcBorders>
            <w:noWrap w:val="0"/>
            <w:vAlign w:val="center"/>
          </w:tcPr>
          <w:p>
            <w:pPr>
              <w:jc w:val="center"/>
              <w:rPr>
                <w:rFonts w:hint="eastAsia"/>
              </w:rPr>
            </w:pPr>
          </w:p>
        </w:tc>
        <w:tc>
          <w:tcPr>
            <w:tcW w:w="2377" w:type="dxa"/>
            <w:gridSpan w:val="2"/>
            <w:tcBorders>
              <w:left w:val="single" w:color="auto" w:sz="4" w:space="0"/>
              <w:right w:val="single" w:color="auto" w:sz="4" w:space="0"/>
            </w:tcBorders>
            <w:noWrap w:val="0"/>
            <w:vAlign w:val="center"/>
          </w:tcPr>
          <w:p>
            <w:pPr>
              <w:jc w:val="center"/>
              <w:rPr>
                <w:rFonts w:hint="eastAsia"/>
              </w:rPr>
            </w:pPr>
            <w:r>
              <w:rPr>
                <w:rFonts w:hint="eastAsia"/>
              </w:rPr>
              <w:t>投入治理资金</w:t>
            </w:r>
          </w:p>
        </w:tc>
        <w:tc>
          <w:tcPr>
            <w:tcW w:w="3179" w:type="dxa"/>
            <w:gridSpan w:val="2"/>
            <w:tcBorders>
              <w:left w:val="single" w:color="auto" w:sz="4" w:space="0"/>
              <w:right w:val="single" w:color="auto" w:sz="4" w:space="0"/>
            </w:tcBorders>
            <w:noWrap w:val="0"/>
            <w:vAlign w:val="center"/>
          </w:tcPr>
          <w:p>
            <w:pPr>
              <w:jc w:val="center"/>
              <w:rPr>
                <w:rFonts w:hint="eastAsia"/>
              </w:rPr>
            </w:pPr>
            <w:r>
              <w:rPr>
                <w:rFonts w:hint="eastAsia"/>
              </w:rPr>
              <w:t>21.11万元</w:t>
            </w:r>
          </w:p>
        </w:tc>
        <w:tc>
          <w:tcPr>
            <w:tcW w:w="2295" w:type="dxa"/>
            <w:tcBorders>
              <w:left w:val="single" w:color="auto" w:sz="4" w:space="0"/>
              <w:right w:val="single" w:color="auto" w:sz="4" w:space="0"/>
            </w:tcBorders>
            <w:noWrap w:val="0"/>
            <w:vAlign w:val="center"/>
          </w:tcPr>
          <w:p>
            <w:pPr>
              <w:jc w:val="center"/>
              <w:rPr>
                <w:rFonts w:hint="eastAsia"/>
              </w:rPr>
            </w:pPr>
            <w:r>
              <w:rPr>
                <w:rFonts w:hint="eastAsia"/>
              </w:rPr>
              <w:t>--</w:t>
            </w:r>
          </w:p>
        </w:tc>
      </w:tr>
    </w:tbl>
    <w:p>
      <w:pPr>
        <w:spacing w:before="9" w:line="40" w:lineRule="exact"/>
        <w:rPr>
          <w:sz w:val="4"/>
          <w:szCs w:val="4"/>
        </w:rPr>
      </w:pPr>
    </w:p>
    <w:p>
      <w:pPr>
        <w:pStyle w:val="55"/>
        <w:rPr>
          <w:rFonts w:hint="eastAsia" w:ascii="Times New Roman" w:cs="Times New Roman"/>
          <w:color w:val="auto"/>
          <w:highlight w:val="cyan"/>
        </w:rPr>
      </w:pPr>
    </w:p>
    <w:p>
      <w:pPr>
        <w:pStyle w:val="55"/>
        <w:jc w:val="center"/>
        <w:rPr>
          <w:rFonts w:hint="eastAsia" w:ascii="Times New Roman" w:cs="Times New Roman"/>
          <w:color w:val="auto"/>
          <w:highlight w:val="cyan"/>
        </w:rPr>
      </w:pPr>
      <w:r>
        <w:rPr>
          <w:rFonts w:hint="eastAsia" w:ascii="Times New Roman" w:cs="Times New Roman"/>
          <w:color w:val="auto"/>
          <w:highlight w:val="cyan"/>
        </w:rPr>
        <w:drawing>
          <wp:inline distT="0" distB="0" distL="114300" distR="114300">
            <wp:extent cx="3785870" cy="2309495"/>
            <wp:effectExtent l="0" t="0" r="5080" b="14605"/>
            <wp:docPr id="5" name="图片 12" descr="2#露天采场全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2#露天采场全貌"/>
                    <pic:cNvPicPr>
                      <a:picLocks noChangeAspect="1"/>
                    </pic:cNvPicPr>
                  </pic:nvPicPr>
                  <pic:blipFill>
                    <a:blip r:embed="rId11"/>
                    <a:stretch>
                      <a:fillRect/>
                    </a:stretch>
                  </pic:blipFill>
                  <pic:spPr>
                    <a:xfrm>
                      <a:off x="0" y="0"/>
                      <a:ext cx="3785870" cy="2309495"/>
                    </a:xfrm>
                    <a:prstGeom prst="rect">
                      <a:avLst/>
                    </a:prstGeom>
                    <a:noFill/>
                    <a:ln>
                      <a:noFill/>
                    </a:ln>
                  </pic:spPr>
                </pic:pic>
              </a:graphicData>
            </a:graphic>
          </wp:inline>
        </w:drawing>
      </w:r>
    </w:p>
    <w:p>
      <w:pPr>
        <w:pStyle w:val="8"/>
        <w:spacing w:line="360" w:lineRule="auto"/>
        <w:ind w:left="440" w:right="818" w:firstLine="482" w:firstLineChars="200"/>
        <w:jc w:val="center"/>
        <w:rPr>
          <w:rFonts w:hint="eastAsia"/>
          <w:b/>
          <w:sz w:val="24"/>
          <w:szCs w:val="24"/>
          <w:lang w:eastAsia="zh-CN"/>
        </w:rPr>
      </w:pPr>
      <w:r>
        <w:rPr>
          <w:b/>
          <w:sz w:val="24"/>
          <w:szCs w:val="24"/>
          <w:lang w:eastAsia="zh-CN"/>
        </w:rPr>
        <w:t xml:space="preserve">照片 </w:t>
      </w:r>
      <w:r>
        <w:rPr>
          <w:rFonts w:hint="eastAsia"/>
          <w:b/>
          <w:sz w:val="24"/>
          <w:szCs w:val="24"/>
          <w:lang w:eastAsia="zh-CN"/>
        </w:rPr>
        <w:t xml:space="preserve">2-5  </w:t>
      </w:r>
      <w:r>
        <w:rPr>
          <w:b/>
          <w:sz w:val="24"/>
          <w:szCs w:val="24"/>
          <w:lang w:eastAsia="zh-CN"/>
        </w:rPr>
        <w:tab/>
      </w:r>
      <w:r>
        <w:rPr>
          <w:b/>
          <w:sz w:val="24"/>
          <w:szCs w:val="24"/>
          <w:lang w:eastAsia="zh-CN"/>
        </w:rPr>
        <w:t>原露天采场治理全貌</w:t>
      </w:r>
    </w:p>
    <w:p>
      <w:pPr>
        <w:pStyle w:val="8"/>
        <w:spacing w:line="360" w:lineRule="auto"/>
        <w:ind w:firstLine="480" w:firstLineChars="200"/>
        <w:rPr>
          <w:rFonts w:hint="eastAsia"/>
          <w:sz w:val="24"/>
          <w:szCs w:val="24"/>
          <w:lang w:eastAsia="zh-CN"/>
        </w:rPr>
      </w:pPr>
      <w:r>
        <w:rPr>
          <w:sz w:val="24"/>
          <w:szCs w:val="24"/>
          <w:lang w:eastAsia="zh-CN"/>
        </w:rPr>
        <w:t>对 “二分期”设计治理单元进行治理，未申请通过验收。</w:t>
      </w:r>
    </w:p>
    <w:p>
      <w:pPr>
        <w:pStyle w:val="8"/>
        <w:spacing w:line="360" w:lineRule="auto"/>
        <w:ind w:firstLine="480" w:firstLineChars="200"/>
        <w:rPr>
          <w:rFonts w:hint="eastAsia"/>
          <w:sz w:val="24"/>
          <w:szCs w:val="24"/>
          <w:lang w:eastAsia="zh-CN"/>
        </w:rPr>
      </w:pPr>
      <w:r>
        <w:rPr>
          <w:rFonts w:hint="eastAsia"/>
          <w:sz w:val="24"/>
          <w:szCs w:val="24"/>
          <w:lang w:eastAsia="zh-CN"/>
        </w:rPr>
        <w:t>4)2020年度治理计划</w:t>
      </w:r>
    </w:p>
    <w:p>
      <w:pPr>
        <w:pStyle w:val="8"/>
        <w:spacing w:line="360" w:lineRule="auto"/>
        <w:ind w:firstLine="480" w:firstLineChars="200"/>
        <w:rPr>
          <w:rFonts w:hint="eastAsia"/>
          <w:sz w:val="24"/>
          <w:szCs w:val="24"/>
          <w:lang w:eastAsia="zh-CN"/>
        </w:rPr>
      </w:pPr>
      <w:r>
        <w:rPr>
          <w:rFonts w:hint="eastAsia"/>
          <w:sz w:val="24"/>
          <w:szCs w:val="24"/>
          <w:lang w:eastAsia="zh-CN"/>
        </w:rPr>
        <w:t>（1）工程设计</w:t>
      </w:r>
    </w:p>
    <w:p>
      <w:pPr>
        <w:pStyle w:val="8"/>
        <w:spacing w:line="360" w:lineRule="auto"/>
        <w:ind w:firstLine="480" w:firstLineChars="200"/>
        <w:rPr>
          <w:rFonts w:hint="eastAsia"/>
          <w:sz w:val="24"/>
          <w:szCs w:val="24"/>
          <w:lang w:eastAsia="zh-CN"/>
        </w:rPr>
      </w:pPr>
      <w:r>
        <w:rPr>
          <w:sz w:val="24"/>
          <w:szCs w:val="24"/>
          <w:lang w:eastAsia="zh-CN"/>
        </w:rPr>
        <w:t>清除露天采场边坡危岩体</w:t>
      </w:r>
      <w:r>
        <w:rPr>
          <w:rFonts w:hint="eastAsia"/>
          <w:sz w:val="24"/>
          <w:szCs w:val="24"/>
          <w:lang w:eastAsia="zh-CN"/>
        </w:rPr>
        <w:t>，</w:t>
      </w:r>
      <w:r>
        <w:rPr>
          <w:sz w:val="24"/>
          <w:szCs w:val="24"/>
          <w:lang w:eastAsia="zh-CN"/>
        </w:rPr>
        <w:t>对露天采场边坡进行检测。</w:t>
      </w:r>
    </w:p>
    <w:p>
      <w:pPr>
        <w:pStyle w:val="8"/>
        <w:spacing w:line="360" w:lineRule="auto"/>
        <w:ind w:firstLine="480" w:firstLineChars="200"/>
        <w:rPr>
          <w:rFonts w:hint="eastAsia"/>
          <w:sz w:val="24"/>
          <w:szCs w:val="24"/>
          <w:lang w:eastAsia="zh-CN"/>
        </w:rPr>
      </w:pPr>
      <w:r>
        <w:rPr>
          <w:rFonts w:hint="eastAsia"/>
          <w:sz w:val="24"/>
          <w:szCs w:val="24"/>
          <w:lang w:eastAsia="zh-CN"/>
        </w:rPr>
        <w:t>5)2021年度治理计划</w:t>
      </w:r>
    </w:p>
    <w:p>
      <w:pPr>
        <w:pStyle w:val="8"/>
        <w:spacing w:line="360" w:lineRule="auto"/>
        <w:ind w:firstLine="480" w:firstLineChars="200"/>
        <w:rPr>
          <w:rFonts w:hint="eastAsia"/>
          <w:sz w:val="24"/>
          <w:szCs w:val="24"/>
          <w:lang w:eastAsia="zh-CN"/>
        </w:rPr>
      </w:pPr>
      <w:r>
        <w:rPr>
          <w:rFonts w:hint="eastAsia"/>
          <w:sz w:val="24"/>
          <w:szCs w:val="24"/>
          <w:lang w:eastAsia="zh-CN"/>
        </w:rPr>
        <w:t>（1）工程设计</w:t>
      </w:r>
    </w:p>
    <w:p>
      <w:pPr>
        <w:pStyle w:val="8"/>
        <w:spacing w:line="360" w:lineRule="auto"/>
        <w:ind w:firstLine="480" w:firstLineChars="200"/>
        <w:rPr>
          <w:rFonts w:hint="eastAsia"/>
          <w:sz w:val="24"/>
          <w:szCs w:val="24"/>
          <w:lang w:eastAsia="zh-CN"/>
        </w:rPr>
      </w:pPr>
      <w:r>
        <w:rPr>
          <w:sz w:val="24"/>
          <w:szCs w:val="24"/>
          <w:lang w:eastAsia="zh-CN"/>
        </w:rPr>
        <w:t>清除露天采场边坡危岩体</w:t>
      </w:r>
      <w:r>
        <w:rPr>
          <w:rFonts w:hint="eastAsia"/>
          <w:sz w:val="24"/>
          <w:szCs w:val="24"/>
          <w:lang w:eastAsia="zh-CN"/>
        </w:rPr>
        <w:t>，</w:t>
      </w:r>
      <w:r>
        <w:rPr>
          <w:sz w:val="24"/>
          <w:szCs w:val="24"/>
          <w:lang w:eastAsia="zh-CN"/>
        </w:rPr>
        <w:t>对露天采场边坡进行检测。</w:t>
      </w:r>
    </w:p>
    <w:p>
      <w:pPr>
        <w:pStyle w:val="8"/>
        <w:spacing w:line="360" w:lineRule="auto"/>
        <w:ind w:firstLine="480" w:firstLineChars="200"/>
        <w:rPr>
          <w:rFonts w:hint="eastAsia"/>
          <w:sz w:val="24"/>
          <w:szCs w:val="24"/>
          <w:lang w:eastAsia="zh-CN"/>
        </w:rPr>
      </w:pPr>
      <w:r>
        <w:rPr>
          <w:rFonts w:hint="eastAsia"/>
          <w:sz w:val="24"/>
          <w:szCs w:val="24"/>
          <w:lang w:eastAsia="zh-CN"/>
        </w:rPr>
        <w:t>6)2022年度治理计划</w:t>
      </w:r>
    </w:p>
    <w:p>
      <w:pPr>
        <w:pStyle w:val="8"/>
        <w:spacing w:line="360" w:lineRule="auto"/>
        <w:ind w:firstLine="480" w:firstLineChars="200"/>
        <w:rPr>
          <w:rFonts w:hint="eastAsia"/>
          <w:sz w:val="24"/>
          <w:szCs w:val="24"/>
          <w:lang w:eastAsia="zh-CN"/>
        </w:rPr>
      </w:pPr>
      <w:r>
        <w:rPr>
          <w:rFonts w:hint="eastAsia"/>
          <w:sz w:val="24"/>
          <w:szCs w:val="24"/>
          <w:lang w:eastAsia="zh-CN"/>
        </w:rPr>
        <w:t>（1）工程设计</w:t>
      </w:r>
    </w:p>
    <w:p>
      <w:pPr>
        <w:pStyle w:val="8"/>
        <w:spacing w:line="360" w:lineRule="auto"/>
        <w:ind w:firstLine="480" w:firstLineChars="200"/>
        <w:rPr>
          <w:rFonts w:hint="eastAsia"/>
          <w:sz w:val="24"/>
          <w:szCs w:val="24"/>
          <w:lang w:eastAsia="zh-CN"/>
        </w:rPr>
      </w:pPr>
      <w:r>
        <w:rPr>
          <w:sz w:val="24"/>
          <w:szCs w:val="24"/>
          <w:lang w:eastAsia="zh-CN"/>
        </w:rPr>
        <w:t>对北露天采场设计沙袋挡土墙</w:t>
      </w:r>
      <w:r>
        <w:rPr>
          <w:rFonts w:hint="eastAsia"/>
          <w:sz w:val="24"/>
          <w:szCs w:val="24"/>
          <w:lang w:eastAsia="zh-CN"/>
        </w:rPr>
        <w:t>345m</w:t>
      </w:r>
      <w:r>
        <w:rPr>
          <w:sz w:val="24"/>
          <w:szCs w:val="24"/>
          <w:lang w:eastAsia="zh-CN"/>
        </w:rPr>
        <w:t>，对露天采场边坡进行检测。</w:t>
      </w:r>
    </w:p>
    <w:p>
      <w:pPr>
        <w:pStyle w:val="8"/>
        <w:spacing w:line="360" w:lineRule="auto"/>
        <w:ind w:firstLine="480" w:firstLineChars="200"/>
        <w:rPr>
          <w:rFonts w:hint="eastAsia"/>
          <w:sz w:val="24"/>
          <w:szCs w:val="24"/>
          <w:lang w:eastAsia="zh-CN"/>
        </w:rPr>
      </w:pPr>
      <w:r>
        <w:rPr>
          <w:rFonts w:hint="eastAsia"/>
          <w:sz w:val="24"/>
          <w:szCs w:val="24"/>
          <w:lang w:eastAsia="zh-CN"/>
        </w:rPr>
        <w:t>4、存在的问题</w:t>
      </w:r>
    </w:p>
    <w:p>
      <w:pPr>
        <w:pStyle w:val="8"/>
        <w:spacing w:line="360" w:lineRule="auto"/>
        <w:ind w:firstLine="480" w:firstLineChars="200"/>
        <w:rPr>
          <w:rFonts w:hint="eastAsia"/>
          <w:sz w:val="24"/>
          <w:szCs w:val="24"/>
          <w:lang w:eastAsia="zh-CN"/>
        </w:rPr>
      </w:pPr>
      <w:r>
        <w:rPr>
          <w:rFonts w:hint="eastAsia"/>
          <w:sz w:val="24"/>
          <w:szCs w:val="24"/>
          <w:lang w:eastAsia="zh-CN"/>
        </w:rPr>
        <w:t>矿山一直在履行治理的义务， 1#露天采场矿区外部分进行了垫坡，场地已经平整，此场地准备作为工业场地留用。2#露天采场矿区外设计了治理，治理方法为削坡，进行了削坡，已到边界，无法再削坡，目前还存在高陡边坡，1#矿石场原堆放为废渣，清理后，由于矿石无处堆放，现作为矿石堆放场，近期1#矿石场准备治理，前期治理效果见照片2-3、2-4。</w:t>
      </w:r>
    </w:p>
    <w:p>
      <w:pPr>
        <w:pStyle w:val="2"/>
        <w:jc w:val="center"/>
        <w:rPr>
          <w:rFonts w:hint="eastAsia" w:ascii="宋体" w:hAnsi="宋体" w:eastAsia="宋体"/>
          <w:sz w:val="36"/>
          <w:szCs w:val="36"/>
        </w:rPr>
      </w:pPr>
      <w:bookmarkStart w:id="7" w:name="_Toc148251062"/>
      <w:r>
        <w:rPr>
          <w:rFonts w:ascii="宋体" w:hAnsi="宋体" w:eastAsia="宋体"/>
          <w:sz w:val="36"/>
          <w:szCs w:val="36"/>
        </w:rPr>
        <w:t>二、本年度矿山生产计划</w:t>
      </w:r>
      <w:bookmarkEnd w:id="7"/>
    </w:p>
    <w:p>
      <w:pPr>
        <w:pStyle w:val="8"/>
        <w:spacing w:line="360" w:lineRule="auto"/>
        <w:ind w:firstLine="480" w:firstLineChars="200"/>
        <w:rPr>
          <w:rFonts w:hint="eastAsia"/>
          <w:sz w:val="24"/>
          <w:szCs w:val="24"/>
          <w:lang w:val="en-US" w:eastAsia="zh-CN"/>
        </w:rPr>
      </w:pPr>
      <w:r>
        <w:rPr>
          <w:rFonts w:hint="eastAsia"/>
          <w:sz w:val="24"/>
          <w:szCs w:val="24"/>
          <w:lang w:val="en-US" w:eastAsia="zh-CN"/>
        </w:rPr>
        <w:t>（一）本年度的主要生产指标计划</w:t>
      </w:r>
    </w:p>
    <w:p>
      <w:pPr>
        <w:pStyle w:val="8"/>
        <w:spacing w:line="360" w:lineRule="auto"/>
        <w:ind w:firstLine="480" w:firstLineChars="200"/>
        <w:rPr>
          <w:rFonts w:hint="eastAsia"/>
          <w:sz w:val="24"/>
          <w:szCs w:val="24"/>
          <w:lang w:val="en-US" w:eastAsia="zh-CN"/>
        </w:rPr>
      </w:pPr>
      <w:r>
        <w:rPr>
          <w:rFonts w:hint="eastAsia"/>
          <w:sz w:val="24"/>
          <w:szCs w:val="24"/>
          <w:lang w:val="en-US" w:eastAsia="zh-CN"/>
        </w:rPr>
        <w:t>本年度矿山计划不生产，无开采矿石量和计划的生产单元</w:t>
      </w:r>
    </w:p>
    <w:p>
      <w:pPr>
        <w:pStyle w:val="8"/>
        <w:spacing w:line="360" w:lineRule="auto"/>
        <w:ind w:firstLine="480" w:firstLineChars="200"/>
        <w:rPr>
          <w:rFonts w:hint="eastAsia"/>
          <w:sz w:val="24"/>
          <w:szCs w:val="24"/>
          <w:lang w:val="en-US" w:eastAsia="zh-CN"/>
        </w:rPr>
      </w:pPr>
      <w:r>
        <w:rPr>
          <w:rFonts w:hint="eastAsia"/>
          <w:sz w:val="24"/>
          <w:szCs w:val="24"/>
          <w:lang w:val="en-US" w:eastAsia="zh-CN"/>
        </w:rPr>
        <w:t>（二）开采范围</w:t>
      </w:r>
    </w:p>
    <w:p>
      <w:pPr>
        <w:pStyle w:val="8"/>
        <w:spacing w:line="360" w:lineRule="auto"/>
        <w:ind w:firstLine="480" w:firstLineChars="200"/>
        <w:rPr>
          <w:rFonts w:hint="eastAsia"/>
          <w:sz w:val="24"/>
          <w:szCs w:val="24"/>
          <w:lang w:val="en-US" w:eastAsia="zh-CN"/>
        </w:rPr>
      </w:pPr>
      <w:r>
        <w:rPr>
          <w:rFonts w:hint="eastAsia"/>
          <w:sz w:val="24"/>
          <w:szCs w:val="24"/>
          <w:lang w:val="en-US" w:eastAsia="zh-CN"/>
        </w:rPr>
        <w:t>本年度矿山计划不生产，无开采位置及范围</w:t>
      </w:r>
    </w:p>
    <w:p>
      <w:pPr>
        <w:pStyle w:val="2"/>
        <w:jc w:val="center"/>
        <w:rPr>
          <w:rFonts w:hint="eastAsia" w:ascii="宋体" w:hAnsi="宋体" w:eastAsia="宋体"/>
          <w:sz w:val="36"/>
          <w:szCs w:val="36"/>
        </w:rPr>
      </w:pPr>
      <w:bookmarkStart w:id="8" w:name="_Toc148251063"/>
      <w:r>
        <w:rPr>
          <w:rFonts w:ascii="宋体" w:hAnsi="宋体" w:eastAsia="宋体"/>
          <w:sz w:val="36"/>
          <w:szCs w:val="36"/>
        </w:rPr>
        <w:t>三、矿山地质环境问题</w:t>
      </w:r>
      <w:bookmarkEnd w:id="8"/>
    </w:p>
    <w:p>
      <w:pPr>
        <w:spacing w:line="360" w:lineRule="auto"/>
        <w:ind w:firstLine="480" w:firstLineChars="200"/>
        <w:rPr>
          <w:rFonts w:hint="eastAsia" w:ascii="宋体" w:hAnsi="宋体"/>
          <w:sz w:val="24"/>
        </w:rPr>
      </w:pPr>
      <w:r>
        <w:rPr>
          <w:rFonts w:hint="eastAsia" w:ascii="宋体" w:hAnsi="宋体"/>
          <w:sz w:val="24"/>
        </w:rPr>
        <w:t>宁城县宝石山矿业有限公司龙宝山高岭土矿属于已建矿山，</w:t>
      </w:r>
      <w:r>
        <w:rPr>
          <w:rFonts w:ascii="宋体" w:hAnsi="宋体"/>
          <w:sz w:val="24"/>
        </w:rPr>
        <w:t>矿山开采方式为露天开采，</w:t>
      </w:r>
      <w:r>
        <w:rPr>
          <w:rFonts w:hint="eastAsia" w:ascii="宋体" w:hAnsi="宋体"/>
          <w:sz w:val="24"/>
        </w:rPr>
        <w:t>目前处于停产状态。</w:t>
      </w:r>
      <w:r>
        <w:rPr>
          <w:rFonts w:ascii="宋体" w:hAnsi="宋体"/>
          <w:sz w:val="24"/>
        </w:rPr>
        <w:t>现状形成的破坏单元有，矿区范围及矿区范围外形成</w:t>
      </w:r>
      <w:r>
        <w:rPr>
          <w:rFonts w:hint="eastAsia" w:ascii="宋体" w:hAnsi="宋体"/>
          <w:sz w:val="24"/>
        </w:rPr>
        <w:t>两个露天采场，一个探坑，两个矿石场、一个存储间及矿区道路，</w:t>
      </w:r>
      <w:r>
        <w:rPr>
          <w:rFonts w:ascii="宋体" w:hAnsi="宋体"/>
          <w:sz w:val="24"/>
        </w:rPr>
        <w:t>。根据《矿山地质环境保护与恢复治理方案编制规范》（DZ/T0223-2011）附录E矿山地质环境影响分级表，</w:t>
      </w:r>
      <w:r>
        <w:rPr>
          <w:rFonts w:hint="eastAsia" w:ascii="宋体" w:hAnsi="宋体"/>
          <w:sz w:val="24"/>
        </w:rPr>
        <w:t>对照</w:t>
      </w:r>
      <w:r>
        <w:rPr>
          <w:rFonts w:ascii="宋体" w:hAnsi="宋体"/>
          <w:sz w:val="24"/>
        </w:rPr>
        <w:t>《地质灾害危险性评估规范》（GB/T40112-2021），从四个方面</w:t>
      </w:r>
      <w:r>
        <w:rPr>
          <w:rFonts w:hint="eastAsia" w:ascii="宋体" w:hAnsi="宋体"/>
          <w:sz w:val="24"/>
        </w:rPr>
        <w:t>矿山地质灾害现状分析、</w:t>
      </w:r>
      <w:r>
        <w:rPr>
          <w:rFonts w:ascii="宋体" w:hAnsi="宋体"/>
          <w:sz w:val="24"/>
        </w:rPr>
        <w:t>含水层破坏现状分析、矿区地形地貌景观（地质遗迹、人文景观）破坏现状分析、矿区水土环境污染现状分析进行评估。</w:t>
      </w:r>
    </w:p>
    <w:p>
      <w:pPr>
        <w:spacing w:line="360" w:lineRule="auto"/>
        <w:ind w:firstLine="482" w:firstLineChars="200"/>
        <w:rPr>
          <w:rFonts w:hint="eastAsia" w:ascii="宋体" w:hAnsi="宋体"/>
          <w:snapToGrid w:val="0"/>
          <w:kern w:val="0"/>
          <w:sz w:val="24"/>
        </w:rPr>
      </w:pPr>
      <w:r>
        <w:rPr>
          <w:rFonts w:hint="eastAsia" w:ascii="宋体" w:hAnsi="宋体"/>
          <w:b/>
          <w:sz w:val="24"/>
        </w:rPr>
        <w:t>（一）地质环境现状</w:t>
      </w:r>
    </w:p>
    <w:p>
      <w:pPr>
        <w:spacing w:line="360" w:lineRule="auto"/>
        <w:ind w:firstLine="482" w:firstLineChars="200"/>
        <w:rPr>
          <w:rFonts w:hint="eastAsia" w:ascii="宋体" w:hAnsi="宋体"/>
          <w:snapToGrid w:val="0"/>
          <w:kern w:val="0"/>
          <w:sz w:val="24"/>
        </w:rPr>
      </w:pPr>
      <w:r>
        <w:rPr>
          <w:rFonts w:hint="eastAsia" w:ascii="宋体" w:hAnsi="宋体"/>
          <w:b/>
          <w:sz w:val="24"/>
        </w:rPr>
        <w:t>1、矿山地质灾害现状分析</w:t>
      </w:r>
    </w:p>
    <w:p>
      <w:pPr>
        <w:spacing w:line="360" w:lineRule="auto"/>
        <w:ind w:firstLine="480" w:firstLineChars="200"/>
        <w:rPr>
          <w:rFonts w:hint="eastAsia" w:ascii="宋体" w:hAnsi="宋体"/>
          <w:sz w:val="24"/>
        </w:rPr>
      </w:pPr>
      <w:r>
        <w:rPr>
          <w:rFonts w:hint="eastAsia" w:ascii="宋体" w:hAnsi="宋体"/>
          <w:sz w:val="24"/>
        </w:rPr>
        <w:t>现状形成露天采场两处，</w:t>
      </w:r>
      <w:r>
        <w:rPr>
          <w:rFonts w:hint="eastAsia" w:ascii="宋体" w:hAnsi="宋体" w:cs="宋体"/>
          <w:sz w:val="24"/>
        </w:rPr>
        <w:t>1#露天采场</w:t>
      </w:r>
      <w:r>
        <w:rPr>
          <w:rFonts w:hint="eastAsia" w:ascii="宋体" w:hAnsi="宋体"/>
          <w:sz w:val="24"/>
        </w:rPr>
        <w:t>位于矿区北，呈不规则形状展布，采场长轴约300m，宽轴约168m，最大高差约34</w:t>
      </w:r>
      <w:r>
        <w:rPr>
          <w:rFonts w:ascii="宋体" w:hAnsi="宋体"/>
          <w:sz w:val="24"/>
        </w:rPr>
        <w:t>m</w:t>
      </w:r>
      <w:r>
        <w:rPr>
          <w:rFonts w:hint="eastAsia" w:ascii="宋体" w:hAnsi="宋体"/>
          <w:sz w:val="24"/>
        </w:rPr>
        <w:t>，采标高为588.99-600m, 600-616m, 616-623m,平台宽度大小不等，最大边坡高约24m，位于采坑最低处，边坡角约25-60</w:t>
      </w:r>
      <w:r>
        <w:rPr>
          <w:rFonts w:ascii="宋体" w:hAnsi="宋体"/>
          <w:sz w:val="24"/>
        </w:rPr>
        <w:t>°</w:t>
      </w:r>
      <w:r>
        <w:rPr>
          <w:rFonts w:hint="eastAsia" w:ascii="宋体" w:hAnsi="宋体"/>
          <w:sz w:val="24"/>
        </w:rPr>
        <w:t>，局部近直立，总占地面积25519m</w:t>
      </w:r>
      <w:r>
        <w:rPr>
          <w:rFonts w:hint="eastAsia" w:ascii="宋体" w:hAnsi="宋体"/>
          <w:sz w:val="24"/>
          <w:vertAlign w:val="superscript"/>
        </w:rPr>
        <w:t>2</w:t>
      </w:r>
      <w:r>
        <w:rPr>
          <w:rFonts w:hint="eastAsia" w:ascii="宋体" w:hAnsi="宋体"/>
          <w:sz w:val="24"/>
        </w:rPr>
        <w:t>， 2#露天采场最大高差约45m，</w:t>
      </w:r>
      <w:r>
        <w:rPr>
          <w:rFonts w:hint="eastAsia" w:ascii="宋体" w:hAnsi="宋体" w:cs="宋体"/>
          <w:sz w:val="24"/>
        </w:rPr>
        <w:t>形成大小不等的5个台阶，最大边坡高约15m,</w:t>
      </w:r>
      <w:r>
        <w:rPr>
          <w:rFonts w:hint="eastAsia" w:ascii="宋体" w:hAnsi="宋体"/>
          <w:sz w:val="24"/>
        </w:rPr>
        <w:t>边坡坡度25°～</w:t>
      </w:r>
      <w:r>
        <w:rPr>
          <w:rFonts w:ascii="宋体" w:hAnsi="宋体"/>
          <w:sz w:val="24"/>
        </w:rPr>
        <w:t>6</w:t>
      </w:r>
      <w:r>
        <w:rPr>
          <w:rFonts w:hint="eastAsia" w:ascii="宋体" w:hAnsi="宋体"/>
          <w:sz w:val="24"/>
        </w:rPr>
        <w:t>0°，局部近直立；探坑深9m，坡角45°，局部近直立；道路高约1-5m，其它场地边坡较缓，</w:t>
      </w:r>
      <w:r>
        <w:rPr>
          <w:rFonts w:ascii="宋体" w:hAnsi="宋体"/>
          <w:sz w:val="24"/>
        </w:rPr>
        <w:t>现状未发</w:t>
      </w:r>
      <w:r>
        <w:rPr>
          <w:rFonts w:hint="eastAsia" w:ascii="宋体" w:hAnsi="宋体"/>
          <w:sz w:val="24"/>
        </w:rPr>
        <w:t>生</w:t>
      </w:r>
      <w:r>
        <w:rPr>
          <w:rFonts w:ascii="宋体" w:hAnsi="宋体"/>
          <w:sz w:val="24"/>
        </w:rPr>
        <w:t>崩塌、滑坡灾害</w:t>
      </w:r>
      <w:r>
        <w:rPr>
          <w:rFonts w:hint="eastAsia" w:ascii="宋体" w:hAnsi="宋体"/>
          <w:sz w:val="24"/>
        </w:rPr>
        <w:t>。</w:t>
      </w:r>
    </w:p>
    <w:p>
      <w:pPr>
        <w:pStyle w:val="51"/>
        <w:tabs>
          <w:tab w:val="left" w:pos="6120"/>
        </w:tabs>
        <w:spacing w:line="360" w:lineRule="auto"/>
        <w:ind w:firstLine="480"/>
        <w:rPr>
          <w:rFonts w:hint="eastAsia" w:ascii="宋体" w:hAnsi="宋体" w:eastAsia="宋体" w:cs="宋体"/>
          <w:sz w:val="24"/>
        </w:rPr>
      </w:pPr>
      <w:r>
        <w:rPr>
          <w:rFonts w:hint="eastAsia" w:ascii="宋体" w:hAnsi="宋体" w:eastAsia="宋体" w:cs="宋体"/>
          <w:sz w:val="24"/>
        </w:rPr>
        <w:t>根据现状调查，</w:t>
      </w:r>
      <w:r>
        <w:rPr>
          <w:rFonts w:ascii="宋体" w:hAnsi="宋体" w:eastAsia="宋体"/>
          <w:sz w:val="24"/>
        </w:rPr>
        <w:t>评估区</w:t>
      </w:r>
      <w:r>
        <w:rPr>
          <w:rFonts w:hint="eastAsia" w:ascii="宋体" w:hAnsi="宋体" w:eastAsia="宋体"/>
          <w:sz w:val="24"/>
        </w:rPr>
        <w:t>地处低山区，</w:t>
      </w:r>
      <w:r>
        <w:rPr>
          <w:rFonts w:ascii="宋体" w:hAnsi="宋体" w:eastAsia="宋体"/>
          <w:sz w:val="24"/>
        </w:rPr>
        <w:t>地形坡度一般在</w:t>
      </w:r>
      <w:r>
        <w:rPr>
          <w:rFonts w:ascii="宋体" w:hAnsi="宋体" w:eastAsia="宋体"/>
          <w:sz w:val="24"/>
          <w:lang w:val="zh-CN"/>
        </w:rPr>
        <w:t>5°-</w:t>
      </w:r>
      <w:r>
        <w:rPr>
          <w:rFonts w:hint="eastAsia" w:ascii="宋体" w:hAnsi="宋体" w:eastAsia="宋体"/>
          <w:sz w:val="24"/>
        </w:rPr>
        <w:t>30</w:t>
      </w:r>
      <w:r>
        <w:rPr>
          <w:rFonts w:ascii="宋体" w:hAnsi="宋体" w:eastAsia="宋体"/>
          <w:sz w:val="24"/>
          <w:lang w:val="zh-CN"/>
        </w:rPr>
        <w:t>°</w:t>
      </w:r>
      <w:r>
        <w:rPr>
          <w:rFonts w:ascii="宋体" w:hAnsi="宋体" w:eastAsia="宋体"/>
          <w:sz w:val="24"/>
        </w:rPr>
        <w:t>之间，</w:t>
      </w:r>
      <w:r>
        <w:rPr>
          <w:rFonts w:hint="eastAsia" w:ascii="宋体" w:hAnsi="宋体" w:eastAsia="宋体"/>
          <w:sz w:val="24"/>
        </w:rPr>
        <w:t>坡度较缓，岩体较完整</w:t>
      </w:r>
      <w:r>
        <w:rPr>
          <w:rFonts w:ascii="宋体" w:hAnsi="宋体" w:eastAsia="宋体"/>
          <w:sz w:val="24"/>
        </w:rPr>
        <w:t>，气候类型属半干旱大陆性季风气候，</w:t>
      </w:r>
      <w:r>
        <w:rPr>
          <w:rFonts w:hint="eastAsia" w:ascii="宋体" w:hAnsi="宋体" w:eastAsia="宋体" w:cs="宋体"/>
          <w:sz w:val="24"/>
        </w:rPr>
        <w:t>暴雨历时短，降雨量小，构不成泥石流发生的水动力条件。经现场调查访问，现状及以往未发生过泥石流地质灾害，不存在泥石流地质灾害。</w:t>
      </w:r>
    </w:p>
    <w:p>
      <w:pPr>
        <w:tabs>
          <w:tab w:val="left" w:pos="1300"/>
        </w:tabs>
        <w:spacing w:line="360" w:lineRule="auto"/>
        <w:ind w:firstLine="480" w:firstLineChars="200"/>
        <w:rPr>
          <w:rFonts w:hint="eastAsia" w:ascii="宋体" w:hAnsi="宋体" w:cs="宋体"/>
          <w:sz w:val="24"/>
        </w:rPr>
      </w:pPr>
      <w:r>
        <w:rPr>
          <w:rFonts w:hint="eastAsia" w:ascii="宋体" w:hAnsi="宋体" w:cs="宋体"/>
          <w:sz w:val="24"/>
        </w:rPr>
        <w:t>评估区无大的集中供水水源地，不存在地面沉降地质灾害。</w:t>
      </w:r>
    </w:p>
    <w:p>
      <w:pPr>
        <w:pStyle w:val="51"/>
        <w:tabs>
          <w:tab w:val="left" w:pos="6120"/>
        </w:tabs>
        <w:spacing w:line="360" w:lineRule="auto"/>
        <w:ind w:firstLine="480"/>
        <w:rPr>
          <w:rFonts w:hint="eastAsia" w:ascii="宋体" w:hAnsi="宋体" w:eastAsia="宋体"/>
          <w:sz w:val="24"/>
        </w:rPr>
      </w:pPr>
      <w:r>
        <w:rPr>
          <w:rFonts w:hint="eastAsia" w:ascii="宋体" w:hAnsi="宋体" w:eastAsia="宋体"/>
          <w:sz w:val="24"/>
        </w:rPr>
        <w:t>矿区内地质构造简单，第四系全新统</w:t>
      </w:r>
      <w:r>
        <w:rPr>
          <w:rFonts w:hint="eastAsia" w:ascii="宋体" w:hAnsi="宋体" w:eastAsia="宋体" w:cs="宋体"/>
          <w:sz w:val="24"/>
        </w:rPr>
        <w:t>岩性主要为砂质粘土，现状条件下不存在地裂缝地质灾害。</w:t>
      </w:r>
    </w:p>
    <w:p>
      <w:pPr>
        <w:pStyle w:val="51"/>
        <w:tabs>
          <w:tab w:val="left" w:pos="6120"/>
        </w:tabs>
        <w:spacing w:line="360" w:lineRule="auto"/>
        <w:ind w:firstLine="480"/>
        <w:rPr>
          <w:rFonts w:hint="eastAsia" w:ascii="宋体" w:hAnsi="宋体" w:eastAsia="宋体"/>
          <w:sz w:val="24"/>
          <w:lang w:eastAsia="zh-CN"/>
        </w:rPr>
      </w:pPr>
      <w:r>
        <w:rPr>
          <w:rFonts w:hint="eastAsia" w:ascii="宋体" w:hAnsi="宋体" w:eastAsia="宋体"/>
          <w:sz w:val="24"/>
        </w:rPr>
        <w:t>根据现场调查</w:t>
      </w:r>
      <w:r>
        <w:rPr>
          <w:rFonts w:ascii="宋体" w:hAnsi="宋体" w:eastAsia="宋体"/>
          <w:sz w:val="24"/>
        </w:rPr>
        <w:t>，</w:t>
      </w:r>
      <w:r>
        <w:rPr>
          <w:rFonts w:hint="eastAsia" w:ascii="宋体" w:hAnsi="宋体" w:eastAsia="宋体"/>
          <w:sz w:val="24"/>
        </w:rPr>
        <w:t>矿山开采方式为露天开采，现状地表无塌陷。</w:t>
      </w:r>
    </w:p>
    <w:p>
      <w:pPr>
        <w:pStyle w:val="51"/>
        <w:tabs>
          <w:tab w:val="left" w:pos="6120"/>
        </w:tabs>
        <w:spacing w:line="360" w:lineRule="auto"/>
        <w:ind w:firstLine="480"/>
        <w:rPr>
          <w:rFonts w:hint="eastAsia" w:ascii="宋体" w:hAnsi="宋体" w:eastAsia="宋体" w:cs="宋体"/>
          <w:sz w:val="24"/>
        </w:rPr>
      </w:pPr>
      <w:r>
        <w:rPr>
          <w:rFonts w:ascii="宋体" w:hAnsi="宋体" w:eastAsia="宋体" w:cs="宋体"/>
          <w:sz w:val="24"/>
        </w:rPr>
        <w:t>综上所述，现状条件下评估区内未发生崩塌、滑坡、泥石流、地面塌陷、地面沉降、地裂缝等灾害</w:t>
      </w:r>
      <w:r>
        <w:rPr>
          <w:rFonts w:hint="eastAsia" w:ascii="宋体" w:hAnsi="宋体" w:eastAsia="宋体" w:cs="宋体"/>
          <w:sz w:val="24"/>
        </w:rPr>
        <w:t>。</w:t>
      </w:r>
    </w:p>
    <w:p>
      <w:pPr>
        <w:spacing w:line="360" w:lineRule="auto"/>
        <w:ind w:firstLine="482" w:firstLineChars="200"/>
        <w:contextualSpacing/>
        <w:rPr>
          <w:rFonts w:hint="eastAsia" w:ascii="宋体" w:hAnsi="宋体"/>
          <w:b/>
          <w:sz w:val="24"/>
        </w:rPr>
      </w:pPr>
      <w:r>
        <w:rPr>
          <w:rFonts w:hint="eastAsia" w:ascii="宋体" w:hAnsi="宋体"/>
          <w:b/>
          <w:sz w:val="24"/>
        </w:rPr>
        <w:t>2、</w:t>
      </w:r>
      <w:r>
        <w:rPr>
          <w:rFonts w:ascii="宋体" w:hAnsi="宋体"/>
          <w:b/>
          <w:sz w:val="24"/>
        </w:rPr>
        <w:t>含水层破坏现状分析</w:t>
      </w:r>
    </w:p>
    <w:p>
      <w:pPr>
        <w:spacing w:line="360" w:lineRule="auto"/>
        <w:ind w:firstLine="480" w:firstLineChars="200"/>
        <w:contextualSpacing/>
        <w:rPr>
          <w:rFonts w:hint="eastAsia" w:ascii="宋体" w:hAnsi="宋体"/>
          <w:sz w:val="24"/>
        </w:rPr>
      </w:pPr>
      <w:r>
        <w:rPr>
          <w:rFonts w:hint="eastAsia" w:ascii="宋体" w:hAnsi="宋体"/>
          <w:sz w:val="24"/>
        </w:rPr>
        <w:t>（1）含水层结构破坏</w:t>
      </w:r>
    </w:p>
    <w:p>
      <w:pPr>
        <w:spacing w:line="360" w:lineRule="auto"/>
        <w:ind w:firstLine="480" w:firstLineChars="200"/>
        <w:contextualSpacing/>
        <w:rPr>
          <w:rFonts w:hint="eastAsia" w:ascii="宋体" w:hAnsi="宋体"/>
          <w:sz w:val="24"/>
        </w:rPr>
      </w:pPr>
      <w:r>
        <w:rPr>
          <w:rFonts w:hint="eastAsia" w:ascii="宋体" w:hAnsi="宋体"/>
          <w:sz w:val="24"/>
        </w:rPr>
        <w:t>矿区内无区域主要含水层，矿区主要含水层为基岩裂隙水含水层，矿区周围地下水位标高为</w:t>
      </w:r>
      <w:r>
        <w:rPr>
          <w:rFonts w:ascii="宋体" w:hAnsi="宋体"/>
          <w:sz w:val="24"/>
        </w:rPr>
        <w:t xml:space="preserve"> 584-580m</w:t>
      </w:r>
      <w:r>
        <w:rPr>
          <w:rFonts w:hint="eastAsia" w:ascii="宋体" w:hAnsi="宋体"/>
          <w:sz w:val="24"/>
        </w:rPr>
        <w:t>，现状露天采场最低开采标高为588.99</w:t>
      </w:r>
      <w:r>
        <w:rPr>
          <w:rFonts w:ascii="宋体" w:hAnsi="宋体"/>
          <w:sz w:val="24"/>
        </w:rPr>
        <w:t>m</w:t>
      </w:r>
      <w:r>
        <w:rPr>
          <w:rFonts w:hint="eastAsia" w:ascii="宋体" w:hAnsi="宋体"/>
          <w:sz w:val="24"/>
        </w:rPr>
        <w:t>，露天开挖未揭露了含水层，未破坏基岩裂隙含水层结构。</w:t>
      </w:r>
    </w:p>
    <w:p>
      <w:pPr>
        <w:spacing w:line="360" w:lineRule="auto"/>
        <w:ind w:firstLine="480" w:firstLineChars="200"/>
        <w:contextualSpacing/>
        <w:rPr>
          <w:rFonts w:ascii="宋体" w:hAnsi="宋体"/>
          <w:sz w:val="24"/>
        </w:rPr>
      </w:pPr>
      <w:r>
        <w:rPr>
          <w:rFonts w:hint="eastAsia" w:ascii="宋体" w:hAnsi="宋体"/>
          <w:sz w:val="24"/>
        </w:rPr>
        <w:t>（2）疏干水对含水层影响</w:t>
      </w:r>
    </w:p>
    <w:p>
      <w:pPr>
        <w:spacing w:line="360" w:lineRule="auto"/>
        <w:ind w:firstLine="480" w:firstLineChars="200"/>
        <w:contextualSpacing/>
        <w:rPr>
          <w:rFonts w:hint="eastAsia" w:ascii="宋体" w:hAnsi="宋体"/>
          <w:sz w:val="24"/>
        </w:rPr>
      </w:pPr>
      <w:r>
        <w:rPr>
          <w:rFonts w:hint="eastAsia" w:ascii="宋体" w:hAnsi="宋体"/>
          <w:sz w:val="24"/>
        </w:rPr>
        <w:t>矿山处于停产状态，在现状条件下，不向外排放废水，对含水层无影响。</w:t>
      </w:r>
    </w:p>
    <w:p>
      <w:pPr>
        <w:spacing w:line="360" w:lineRule="auto"/>
        <w:ind w:firstLine="480" w:firstLineChars="200"/>
        <w:contextualSpacing/>
        <w:rPr>
          <w:rFonts w:hint="eastAsia" w:ascii="宋体" w:hAnsi="宋体"/>
          <w:sz w:val="24"/>
        </w:rPr>
      </w:pPr>
      <w:r>
        <w:rPr>
          <w:rFonts w:hint="eastAsia" w:ascii="宋体" w:hAnsi="宋体"/>
          <w:sz w:val="24"/>
        </w:rPr>
        <w:t>（3）对矿区附近水源的影响</w:t>
      </w:r>
    </w:p>
    <w:p>
      <w:pPr>
        <w:spacing w:line="360" w:lineRule="auto"/>
        <w:ind w:firstLine="480" w:firstLineChars="200"/>
        <w:contextualSpacing/>
        <w:rPr>
          <w:rFonts w:hint="eastAsia" w:ascii="宋体" w:hAnsi="宋体"/>
          <w:sz w:val="24"/>
        </w:rPr>
      </w:pPr>
      <w:r>
        <w:rPr>
          <w:rFonts w:hint="eastAsia" w:ascii="宋体" w:hAnsi="宋体"/>
          <w:sz w:val="24"/>
        </w:rPr>
        <w:t>现状没有疏干水，因此露天采场对矿区水源无影响。</w:t>
      </w:r>
    </w:p>
    <w:p>
      <w:pPr>
        <w:spacing w:line="360" w:lineRule="auto"/>
        <w:ind w:firstLine="480" w:firstLineChars="200"/>
        <w:contextualSpacing/>
        <w:rPr>
          <w:rFonts w:hint="eastAsia" w:ascii="宋体" w:hAnsi="宋体"/>
          <w:sz w:val="24"/>
        </w:rPr>
      </w:pPr>
      <w:r>
        <w:rPr>
          <w:rFonts w:hint="eastAsia" w:ascii="宋体" w:hAnsi="宋体"/>
          <w:sz w:val="24"/>
        </w:rPr>
        <w:t>（4）对地下水水质影响</w:t>
      </w:r>
    </w:p>
    <w:p>
      <w:pPr>
        <w:spacing w:line="360" w:lineRule="auto"/>
        <w:ind w:firstLine="480" w:firstLineChars="200"/>
        <w:contextualSpacing/>
        <w:rPr>
          <w:rFonts w:hint="eastAsia" w:ascii="宋体" w:hAnsi="宋体"/>
          <w:sz w:val="24"/>
        </w:rPr>
      </w:pPr>
      <w:r>
        <w:rPr>
          <w:rFonts w:hint="eastAsia" w:ascii="宋体" w:hAnsi="宋体"/>
          <w:sz w:val="24"/>
        </w:rPr>
        <w:t>矿山处于停产生产阶段，不向外排放废水，少量生活污水用于绿化，因此矿区排水对地下水水质无影响。</w:t>
      </w:r>
    </w:p>
    <w:p>
      <w:pPr>
        <w:spacing w:line="360" w:lineRule="auto"/>
        <w:ind w:firstLine="482" w:firstLineChars="200"/>
        <w:contextualSpacing/>
        <w:rPr>
          <w:rFonts w:hint="eastAsia" w:ascii="宋体" w:hAnsi="宋体"/>
          <w:b/>
          <w:sz w:val="24"/>
        </w:rPr>
      </w:pPr>
      <w:r>
        <w:rPr>
          <w:rFonts w:hint="eastAsia" w:ascii="宋体" w:hAnsi="宋体"/>
          <w:b/>
          <w:sz w:val="24"/>
        </w:rPr>
        <w:t>3、</w:t>
      </w:r>
      <w:r>
        <w:rPr>
          <w:rFonts w:ascii="宋体" w:hAnsi="宋体"/>
          <w:b/>
          <w:sz w:val="24"/>
        </w:rPr>
        <w:t>地形地貌现状分析</w:t>
      </w:r>
    </w:p>
    <w:p>
      <w:pPr>
        <w:spacing w:line="360" w:lineRule="auto"/>
        <w:ind w:firstLine="480" w:firstLineChars="200"/>
        <w:rPr>
          <w:rFonts w:hint="eastAsia" w:ascii="宋体" w:hAnsi="宋体"/>
          <w:sz w:val="24"/>
        </w:rPr>
      </w:pPr>
      <w:r>
        <w:rPr>
          <w:rFonts w:hint="eastAsia" w:ascii="宋体" w:hAnsi="宋体"/>
          <w:sz w:val="24"/>
        </w:rPr>
        <w:t>（1）1#露天采场</w:t>
      </w:r>
    </w:p>
    <w:p>
      <w:pPr>
        <w:spacing w:line="360" w:lineRule="auto"/>
        <w:ind w:firstLine="200"/>
        <w:contextualSpacing/>
        <w:rPr>
          <w:rFonts w:hint="eastAsia" w:ascii="宋体" w:hAnsi="宋体"/>
          <w:sz w:val="24"/>
        </w:rPr>
      </w:pPr>
      <w:r>
        <w:rPr>
          <w:rFonts w:hint="eastAsia" w:ascii="宋体" w:hAnsi="宋体"/>
          <w:sz w:val="24"/>
        </w:rPr>
        <w:t>1#露天采场位于矿区北，呈不规则形状展布，采场长轴约300m，宽轴约168m，最大采深约34</w:t>
      </w:r>
      <w:r>
        <w:rPr>
          <w:rFonts w:ascii="宋体" w:hAnsi="宋体"/>
          <w:sz w:val="24"/>
        </w:rPr>
        <w:t>m</w:t>
      </w:r>
      <w:r>
        <w:rPr>
          <w:rFonts w:hint="eastAsia" w:ascii="宋体" w:hAnsi="宋体"/>
          <w:sz w:val="24"/>
        </w:rPr>
        <w:t>，开采标高为588.99-600m, 600-616m, 616-623m,平台宽度大小不等，最大边坡高约24m，位于采坑最低处，边坡角约25-60</w:t>
      </w:r>
      <w:r>
        <w:rPr>
          <w:rFonts w:ascii="宋体" w:hAnsi="宋体"/>
          <w:sz w:val="24"/>
        </w:rPr>
        <w:t>°</w:t>
      </w:r>
      <w:r>
        <w:rPr>
          <w:rFonts w:hint="eastAsia" w:ascii="宋体" w:hAnsi="宋体"/>
          <w:sz w:val="24"/>
        </w:rPr>
        <w:t>，局部近直立，总占地面积2.5519hm</w:t>
      </w:r>
      <w:r>
        <w:rPr>
          <w:rFonts w:hint="eastAsia" w:ascii="宋体" w:hAnsi="宋体"/>
          <w:sz w:val="24"/>
          <w:vertAlign w:val="superscript"/>
        </w:rPr>
        <w:t>2</w:t>
      </w:r>
      <w:r>
        <w:rPr>
          <w:rFonts w:hint="eastAsia" w:ascii="宋体" w:hAnsi="宋体"/>
          <w:sz w:val="24"/>
        </w:rPr>
        <w:t>，其中有部分平台已经恢复植被4404m</w:t>
      </w:r>
      <w:r>
        <w:rPr>
          <w:rFonts w:hint="eastAsia" w:ascii="宋体" w:hAnsi="宋体"/>
          <w:sz w:val="24"/>
          <w:vertAlign w:val="superscript"/>
        </w:rPr>
        <w:t>2</w:t>
      </w:r>
      <w:r>
        <w:rPr>
          <w:rFonts w:hint="eastAsia" w:ascii="宋体" w:hAnsi="宋体"/>
          <w:sz w:val="24"/>
        </w:rPr>
        <w:t>，部分为原植640m</w:t>
      </w:r>
      <w:r>
        <w:rPr>
          <w:rFonts w:hint="eastAsia" w:ascii="宋体" w:hAnsi="宋体"/>
          <w:sz w:val="24"/>
          <w:vertAlign w:val="superscript"/>
        </w:rPr>
        <w:t>2</w:t>
      </w:r>
      <w:r>
        <w:rPr>
          <w:rFonts w:hint="eastAsia" w:ascii="宋体" w:hAnsi="宋体"/>
          <w:sz w:val="24"/>
        </w:rPr>
        <w:t>，目前矿山对采坑进行了部分回填，1#露天采场</w:t>
      </w:r>
      <w:r>
        <w:rPr>
          <w:rFonts w:ascii="宋体" w:hAnsi="宋体"/>
          <w:sz w:val="24"/>
        </w:rPr>
        <w:t>破坏了山体完整性，对地表形态、植被等发生直接的破坏，对地形地貌景观破坏程度</w:t>
      </w:r>
      <w:r>
        <w:rPr>
          <w:rFonts w:hint="eastAsia" w:ascii="宋体" w:hAnsi="宋体"/>
          <w:sz w:val="24"/>
        </w:rPr>
        <w:t>大</w:t>
      </w:r>
      <w:r>
        <w:rPr>
          <w:rFonts w:ascii="宋体" w:hAnsi="宋体"/>
          <w:sz w:val="24"/>
        </w:rPr>
        <w:t>，故对地形地貌景观影响严重，</w:t>
      </w:r>
      <w:r>
        <w:rPr>
          <w:rFonts w:hint="eastAsia" w:ascii="宋体" w:hAnsi="宋体"/>
          <w:sz w:val="24"/>
        </w:rPr>
        <w:t>见照片3-1。</w:t>
      </w:r>
    </w:p>
    <w:p>
      <w:pPr>
        <w:spacing w:line="360" w:lineRule="auto"/>
        <w:ind w:firstLine="420" w:firstLineChars="200"/>
        <w:jc w:val="center"/>
        <w:rPr>
          <w:rFonts w:hint="eastAsia" w:ascii="宋体" w:hAnsi="宋体"/>
          <w:sz w:val="24"/>
        </w:rPr>
      </w:pPr>
      <w:r>
        <w:rPr>
          <w:rFonts w:hint="eastAsia" w:hAnsi="宋体"/>
        </w:rPr>
        <w:drawing>
          <wp:inline distT="0" distB="0" distL="114300" distR="114300">
            <wp:extent cx="4419600" cy="2596515"/>
            <wp:effectExtent l="0" t="0" r="0" b="13335"/>
            <wp:docPr id="6" name="图片 13" descr="回填中的北露天采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回填中的北露天采场1"/>
                    <pic:cNvPicPr>
                      <a:picLocks noChangeAspect="1"/>
                    </pic:cNvPicPr>
                  </pic:nvPicPr>
                  <pic:blipFill>
                    <a:blip r:embed="rId12"/>
                    <a:stretch>
                      <a:fillRect/>
                    </a:stretch>
                  </pic:blipFill>
                  <pic:spPr>
                    <a:xfrm>
                      <a:off x="0" y="0"/>
                      <a:ext cx="4419600" cy="2596515"/>
                    </a:xfrm>
                    <a:prstGeom prst="rect">
                      <a:avLst/>
                    </a:prstGeom>
                    <a:noFill/>
                    <a:ln>
                      <a:noFill/>
                    </a:ln>
                  </pic:spPr>
                </pic:pic>
              </a:graphicData>
            </a:graphic>
          </wp:inline>
        </w:drawing>
      </w:r>
    </w:p>
    <w:p>
      <w:pPr>
        <w:pStyle w:val="8"/>
        <w:spacing w:line="360" w:lineRule="auto"/>
        <w:ind w:left="440" w:right="818" w:firstLine="482" w:firstLineChars="200"/>
        <w:jc w:val="center"/>
        <w:rPr>
          <w:rFonts w:hint="eastAsia"/>
          <w:b/>
          <w:sz w:val="24"/>
          <w:szCs w:val="24"/>
          <w:lang w:eastAsia="zh-CN"/>
        </w:rPr>
      </w:pPr>
      <w:r>
        <w:rPr>
          <w:b/>
          <w:sz w:val="24"/>
          <w:szCs w:val="24"/>
          <w:lang w:eastAsia="zh-CN"/>
        </w:rPr>
        <w:t>照片 3-1</w:t>
      </w:r>
      <w:r>
        <w:rPr>
          <w:rFonts w:hint="eastAsia"/>
          <w:b/>
          <w:sz w:val="24"/>
          <w:szCs w:val="24"/>
          <w:lang w:eastAsia="zh-CN"/>
        </w:rPr>
        <w:t xml:space="preserve"> </w:t>
      </w:r>
      <w:r>
        <w:rPr>
          <w:b/>
          <w:sz w:val="24"/>
          <w:szCs w:val="24"/>
          <w:lang w:eastAsia="zh-CN"/>
        </w:rPr>
        <w:tab/>
      </w:r>
      <w:r>
        <w:rPr>
          <w:rFonts w:hint="eastAsia"/>
          <w:b/>
          <w:sz w:val="24"/>
          <w:szCs w:val="24"/>
          <w:lang w:eastAsia="zh-CN"/>
        </w:rPr>
        <w:t>1</w:t>
      </w:r>
      <w:r>
        <w:rPr>
          <w:b/>
          <w:sz w:val="24"/>
          <w:szCs w:val="24"/>
          <w:lang w:eastAsia="zh-CN"/>
        </w:rPr>
        <w:t>#天采场</w:t>
      </w:r>
    </w:p>
    <w:p>
      <w:pPr>
        <w:spacing w:line="360" w:lineRule="auto"/>
        <w:ind w:firstLine="480" w:firstLineChars="200"/>
        <w:rPr>
          <w:rFonts w:hint="eastAsia" w:ascii="宋体" w:hAnsi="宋体"/>
          <w:sz w:val="24"/>
        </w:rPr>
      </w:pPr>
      <w:r>
        <w:rPr>
          <w:rFonts w:hint="eastAsia" w:ascii="宋体" w:hAnsi="宋体"/>
          <w:sz w:val="24"/>
        </w:rPr>
        <w:t>（2）2#露天采场</w:t>
      </w:r>
    </w:p>
    <w:p>
      <w:pPr>
        <w:spacing w:line="360" w:lineRule="auto"/>
        <w:ind w:firstLine="480" w:firstLineChars="200"/>
        <w:rPr>
          <w:rFonts w:hint="eastAsia" w:ascii="宋体" w:hAnsi="宋体"/>
          <w:sz w:val="24"/>
        </w:rPr>
      </w:pPr>
      <w:r>
        <w:rPr>
          <w:rFonts w:hint="eastAsia" w:ascii="宋体" w:hAnsi="宋体"/>
          <w:sz w:val="24"/>
        </w:rPr>
        <w:t>2#露天采场位于矿区西部，大部分位于矿区外，呈不规则勺形状展布，采场长轴约246m，宽轴约76m，最大边坡长约260m。最高处标高657.78m，采坑最低标高为612.98m，高差约45</w:t>
      </w:r>
      <w:r>
        <w:rPr>
          <w:rFonts w:ascii="宋体" w:hAnsi="宋体"/>
          <w:sz w:val="24"/>
        </w:rPr>
        <w:t>m</w:t>
      </w:r>
      <w:r>
        <w:rPr>
          <w:rFonts w:hint="eastAsia" w:ascii="宋体" w:hAnsi="宋体"/>
          <w:sz w:val="24"/>
        </w:rPr>
        <w:t>。形成大小不等的5个台阶，最大边坡高约15m,边坡坡度25°～</w:t>
      </w:r>
      <w:r>
        <w:rPr>
          <w:rFonts w:ascii="宋体" w:hAnsi="宋体"/>
          <w:sz w:val="24"/>
        </w:rPr>
        <w:t>6</w:t>
      </w:r>
      <w:r>
        <w:rPr>
          <w:rFonts w:hint="eastAsia" w:ascii="宋体" w:hAnsi="宋体"/>
          <w:sz w:val="24"/>
        </w:rPr>
        <w:t>0°，台阶高度不一，存在高陡边坡。局部近直立；现状平台宽度2-80m，标高分别为657.78</w:t>
      </w:r>
      <w:r>
        <w:rPr>
          <w:rFonts w:ascii="宋体" w:hAnsi="宋体"/>
          <w:sz w:val="24"/>
        </w:rPr>
        <w:t>-</w:t>
      </w:r>
      <w:r>
        <w:rPr>
          <w:rFonts w:hint="eastAsia" w:ascii="宋体" w:hAnsi="宋体"/>
          <w:sz w:val="24"/>
        </w:rPr>
        <w:t>648</w:t>
      </w:r>
      <w:r>
        <w:rPr>
          <w:rFonts w:ascii="宋体" w:hAnsi="宋体"/>
          <w:sz w:val="24"/>
        </w:rPr>
        <w:t>m</w:t>
      </w:r>
      <w:r>
        <w:rPr>
          <w:rFonts w:hint="eastAsia" w:ascii="宋体" w:hAnsi="宋体"/>
          <w:sz w:val="24"/>
        </w:rPr>
        <w:t>、648</w:t>
      </w:r>
      <w:r>
        <w:rPr>
          <w:rFonts w:ascii="宋体" w:hAnsi="宋体"/>
          <w:sz w:val="24"/>
        </w:rPr>
        <w:t>-</w:t>
      </w:r>
      <w:r>
        <w:rPr>
          <w:rFonts w:hint="eastAsia" w:ascii="宋体" w:hAnsi="宋体"/>
          <w:sz w:val="24"/>
        </w:rPr>
        <w:t>641</w:t>
      </w:r>
      <w:r>
        <w:rPr>
          <w:rFonts w:ascii="宋体" w:hAnsi="宋体"/>
          <w:sz w:val="24"/>
        </w:rPr>
        <w:t>m</w:t>
      </w:r>
      <w:r>
        <w:rPr>
          <w:rFonts w:hint="eastAsia" w:ascii="宋体" w:hAnsi="宋体"/>
          <w:sz w:val="24"/>
        </w:rPr>
        <w:t>、641</w:t>
      </w:r>
      <w:r>
        <w:rPr>
          <w:rFonts w:ascii="宋体" w:hAnsi="宋体"/>
          <w:sz w:val="24"/>
        </w:rPr>
        <w:t>-</w:t>
      </w:r>
      <w:r>
        <w:rPr>
          <w:rFonts w:hint="eastAsia" w:ascii="宋体" w:hAnsi="宋体"/>
          <w:sz w:val="24"/>
        </w:rPr>
        <w:t>630</w:t>
      </w:r>
      <w:r>
        <w:rPr>
          <w:rFonts w:ascii="宋体" w:hAnsi="宋体"/>
          <w:sz w:val="24"/>
        </w:rPr>
        <w:t>m</w:t>
      </w:r>
      <w:r>
        <w:rPr>
          <w:rFonts w:hint="eastAsia" w:ascii="宋体" w:hAnsi="宋体"/>
          <w:sz w:val="24"/>
        </w:rPr>
        <w:t>、630</w:t>
      </w:r>
      <w:r>
        <w:rPr>
          <w:rFonts w:ascii="宋体" w:hAnsi="宋体"/>
          <w:sz w:val="24"/>
        </w:rPr>
        <w:t>-</w:t>
      </w:r>
      <w:r>
        <w:rPr>
          <w:rFonts w:hint="eastAsia" w:ascii="宋体" w:hAnsi="宋体"/>
          <w:sz w:val="24"/>
        </w:rPr>
        <w:t>623</w:t>
      </w:r>
      <w:r>
        <w:rPr>
          <w:rFonts w:ascii="宋体" w:hAnsi="宋体"/>
          <w:sz w:val="24"/>
        </w:rPr>
        <w:t>m</w:t>
      </w:r>
      <w:r>
        <w:rPr>
          <w:rFonts w:hint="eastAsia" w:ascii="宋体" w:hAnsi="宋体"/>
          <w:sz w:val="24"/>
        </w:rPr>
        <w:t>、底部采坑标高为623</w:t>
      </w:r>
      <w:r>
        <w:rPr>
          <w:rFonts w:ascii="宋体" w:hAnsi="宋体"/>
          <w:sz w:val="24"/>
        </w:rPr>
        <w:t>-</w:t>
      </w:r>
      <w:r>
        <w:rPr>
          <w:rFonts w:hint="eastAsia" w:ascii="宋体" w:hAnsi="宋体"/>
          <w:sz w:val="24"/>
        </w:rPr>
        <w:t>612</w:t>
      </w:r>
      <w:r>
        <w:rPr>
          <w:rFonts w:ascii="宋体" w:hAnsi="宋体"/>
          <w:sz w:val="24"/>
        </w:rPr>
        <w:t>m</w:t>
      </w:r>
      <w:r>
        <w:rPr>
          <w:rFonts w:hint="eastAsia" w:ascii="宋体" w:hAnsi="宋体"/>
          <w:sz w:val="24"/>
        </w:rPr>
        <w:t>，整个采场边坡角约25-</w:t>
      </w:r>
      <w:r>
        <w:rPr>
          <w:rFonts w:ascii="宋体" w:hAnsi="宋体"/>
          <w:sz w:val="24"/>
        </w:rPr>
        <w:t xml:space="preserve"> </w:t>
      </w:r>
      <w:r>
        <w:rPr>
          <w:rFonts w:hint="eastAsia" w:ascii="宋体" w:hAnsi="宋体"/>
          <w:sz w:val="24"/>
        </w:rPr>
        <w:t>6</w:t>
      </w:r>
      <w:r>
        <w:rPr>
          <w:rFonts w:ascii="宋体" w:hAnsi="宋体"/>
          <w:sz w:val="24"/>
        </w:rPr>
        <w:t>0°</w:t>
      </w:r>
      <w:r>
        <w:rPr>
          <w:rFonts w:hint="eastAsia" w:ascii="宋体" w:hAnsi="宋体"/>
          <w:sz w:val="24"/>
        </w:rPr>
        <w:t>，局部近直立。矿山前期对矿区外进行了部分治理，部分平台种植了松树，但未成活，由于设计削坡无法完成，场地存在高陡边坡，场地总面积1.4750h</w:t>
      </w:r>
      <w:r>
        <w:rPr>
          <w:rFonts w:ascii="宋体" w:hAnsi="宋体"/>
          <w:sz w:val="24"/>
        </w:rPr>
        <w:t>m²</w:t>
      </w:r>
      <w:r>
        <w:rPr>
          <w:rFonts w:hint="eastAsia" w:ascii="宋体" w:hAnsi="宋体"/>
          <w:sz w:val="24"/>
        </w:rPr>
        <w:t>。2#露天采场</w:t>
      </w:r>
      <w:r>
        <w:rPr>
          <w:rFonts w:ascii="宋体" w:hAnsi="宋体"/>
          <w:sz w:val="24"/>
        </w:rPr>
        <w:t>破坏了山体完整性，对地表形态、植被等发生直接的破坏，对地形地貌景观破坏程度</w:t>
      </w:r>
      <w:r>
        <w:rPr>
          <w:rFonts w:hint="eastAsia" w:ascii="宋体" w:hAnsi="宋体"/>
          <w:sz w:val="24"/>
        </w:rPr>
        <w:t>大</w:t>
      </w:r>
      <w:r>
        <w:rPr>
          <w:rFonts w:ascii="宋体" w:hAnsi="宋体"/>
          <w:sz w:val="24"/>
        </w:rPr>
        <w:t>，故对地形地貌景观影响严重，</w:t>
      </w:r>
      <w:r>
        <w:rPr>
          <w:rFonts w:hint="eastAsia" w:ascii="宋体" w:hAnsi="宋体"/>
          <w:sz w:val="24"/>
        </w:rPr>
        <w:t>见照片3-</w:t>
      </w:r>
      <w:r>
        <w:rPr>
          <w:rFonts w:ascii="宋体" w:hAnsi="宋体"/>
          <w:sz w:val="24"/>
        </w:rPr>
        <w:t>2</w:t>
      </w:r>
      <w:r>
        <w:rPr>
          <w:rFonts w:hint="eastAsia" w:ascii="宋体" w:hAnsi="宋体"/>
          <w:sz w:val="24"/>
        </w:rPr>
        <w:t>。</w:t>
      </w:r>
    </w:p>
    <w:p>
      <w:pPr>
        <w:pStyle w:val="55"/>
        <w:jc w:val="center"/>
        <w:rPr>
          <w:rFonts w:hint="eastAsia" w:ascii="Times New Roman" w:cs="Times New Roman"/>
          <w:color w:val="auto"/>
        </w:rPr>
      </w:pPr>
      <w:r>
        <w:rPr>
          <w:rFonts w:hint="eastAsia" w:ascii="Times New Roman" w:cs="Times New Roman"/>
          <w:color w:val="auto"/>
        </w:rPr>
        <w:drawing>
          <wp:inline distT="0" distB="0" distL="114300" distR="114300">
            <wp:extent cx="5390515" cy="1987550"/>
            <wp:effectExtent l="0" t="0" r="635" b="12700"/>
            <wp:docPr id="7" name="图片 15" descr="2#露天采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2#露天采场1"/>
                    <pic:cNvPicPr>
                      <a:picLocks noChangeAspect="1"/>
                    </pic:cNvPicPr>
                  </pic:nvPicPr>
                  <pic:blipFill>
                    <a:blip r:embed="rId7"/>
                    <a:stretch>
                      <a:fillRect/>
                    </a:stretch>
                  </pic:blipFill>
                  <pic:spPr>
                    <a:xfrm>
                      <a:off x="0" y="0"/>
                      <a:ext cx="5390515" cy="1987550"/>
                    </a:xfrm>
                    <a:prstGeom prst="rect">
                      <a:avLst/>
                    </a:prstGeom>
                    <a:noFill/>
                    <a:ln>
                      <a:noFill/>
                    </a:ln>
                  </pic:spPr>
                </pic:pic>
              </a:graphicData>
            </a:graphic>
          </wp:inline>
        </w:drawing>
      </w:r>
    </w:p>
    <w:p>
      <w:pPr>
        <w:pStyle w:val="55"/>
        <w:spacing w:line="360" w:lineRule="auto"/>
        <w:ind w:firstLine="200"/>
        <w:jc w:val="center"/>
        <w:rPr>
          <w:rFonts w:hint="eastAsia" w:hAnsi="宋体" w:cs="Times New Roman"/>
          <w:b/>
          <w:color w:val="auto"/>
        </w:rPr>
      </w:pPr>
      <w:r>
        <w:rPr>
          <w:rFonts w:hint="eastAsia" w:hAnsi="宋体" w:cs="Times New Roman"/>
          <w:b/>
          <w:color w:val="auto"/>
        </w:rPr>
        <w:t>照片3-</w:t>
      </w:r>
      <w:r>
        <w:rPr>
          <w:rFonts w:hAnsi="宋体" w:cs="Times New Roman"/>
          <w:b/>
          <w:color w:val="auto"/>
        </w:rPr>
        <w:t>2</w:t>
      </w:r>
      <w:r>
        <w:rPr>
          <w:rFonts w:hint="eastAsia" w:hAnsi="宋体" w:cs="Times New Roman"/>
          <w:b/>
          <w:color w:val="auto"/>
        </w:rPr>
        <w:t xml:space="preserve">  2#露天采场</w:t>
      </w:r>
    </w:p>
    <w:p>
      <w:pPr>
        <w:tabs>
          <w:tab w:val="left" w:pos="1300"/>
        </w:tabs>
        <w:spacing w:line="360" w:lineRule="auto"/>
        <w:ind w:firstLine="480" w:firstLineChars="200"/>
        <w:rPr>
          <w:rFonts w:hint="eastAsia" w:ascii="宋体" w:hAnsi="宋体"/>
          <w:sz w:val="24"/>
        </w:rPr>
      </w:pPr>
      <w:r>
        <w:rPr>
          <w:rFonts w:hint="eastAsia" w:ascii="宋体" w:hAnsi="宋体"/>
          <w:sz w:val="24"/>
        </w:rPr>
        <w:t>（3）探坑</w:t>
      </w:r>
    </w:p>
    <w:p>
      <w:pPr>
        <w:spacing w:line="360" w:lineRule="auto"/>
        <w:ind w:firstLine="480"/>
        <w:contextualSpacing/>
        <w:rPr>
          <w:rFonts w:hint="eastAsia" w:ascii="宋体" w:hAnsi="宋体"/>
          <w:sz w:val="24"/>
        </w:rPr>
      </w:pPr>
      <w:r>
        <w:rPr>
          <w:rFonts w:hint="eastAsia" w:ascii="宋体" w:hAnsi="宋体"/>
          <w:sz w:val="24"/>
        </w:rPr>
        <w:t>探坑位于矿区内西北部，呈不规则椭圆形，采场长轴约37m，宽轴约21m。开采标高为630.74-621.14m,最大采深约9</w:t>
      </w:r>
      <w:r>
        <w:rPr>
          <w:rFonts w:ascii="宋体" w:hAnsi="宋体"/>
          <w:sz w:val="24"/>
        </w:rPr>
        <w:t>m</w:t>
      </w:r>
      <w:r>
        <w:rPr>
          <w:rFonts w:hint="eastAsia" w:ascii="宋体" w:hAnsi="宋体"/>
          <w:sz w:val="24"/>
        </w:rPr>
        <w:t>，边坡角约30-80</w:t>
      </w:r>
      <w:r>
        <w:rPr>
          <w:rFonts w:ascii="宋体" w:hAnsi="宋体"/>
          <w:sz w:val="24"/>
        </w:rPr>
        <w:t>°</w:t>
      </w:r>
      <w:r>
        <w:rPr>
          <w:rFonts w:hint="eastAsia" w:ascii="宋体" w:hAnsi="宋体"/>
          <w:sz w:val="24"/>
        </w:rPr>
        <w:t>，总占地面积0.0628hm</w:t>
      </w:r>
      <w:r>
        <w:rPr>
          <w:rFonts w:hint="eastAsia" w:ascii="宋体" w:hAnsi="宋体"/>
          <w:sz w:val="24"/>
          <w:vertAlign w:val="superscript"/>
        </w:rPr>
        <w:t>2</w:t>
      </w:r>
      <w:r>
        <w:rPr>
          <w:rFonts w:hint="eastAsia" w:ascii="宋体" w:hAnsi="宋体"/>
          <w:sz w:val="24"/>
        </w:rPr>
        <w:t>，已经揭露高岭矿体。</w:t>
      </w:r>
      <w:r>
        <w:rPr>
          <w:rFonts w:ascii="宋体" w:hAnsi="宋体"/>
          <w:sz w:val="24"/>
        </w:rPr>
        <w:t>场地的建设破坏了山体完整性，对地表形态、植被等发生直接的破坏，对地形地貌景观破坏程度</w:t>
      </w:r>
      <w:r>
        <w:rPr>
          <w:rFonts w:hint="eastAsia" w:ascii="宋体" w:hAnsi="宋体"/>
          <w:sz w:val="24"/>
        </w:rPr>
        <w:t>大</w:t>
      </w:r>
      <w:r>
        <w:rPr>
          <w:rFonts w:ascii="宋体" w:hAnsi="宋体"/>
          <w:sz w:val="24"/>
        </w:rPr>
        <w:t>，故对地形地貌景观影响严重，</w:t>
      </w:r>
      <w:r>
        <w:rPr>
          <w:rFonts w:hint="eastAsia" w:ascii="宋体" w:hAnsi="宋体"/>
          <w:sz w:val="24"/>
        </w:rPr>
        <w:t>见照片3-</w:t>
      </w:r>
      <w:r>
        <w:rPr>
          <w:rFonts w:ascii="宋体" w:hAnsi="宋体"/>
          <w:sz w:val="24"/>
        </w:rPr>
        <w:t>3</w:t>
      </w:r>
      <w:r>
        <w:rPr>
          <w:rFonts w:hint="eastAsia" w:ascii="宋体" w:hAnsi="宋体"/>
          <w:sz w:val="24"/>
        </w:rPr>
        <w:t>。</w:t>
      </w:r>
    </w:p>
    <w:p>
      <w:pPr>
        <w:pStyle w:val="55"/>
        <w:jc w:val="center"/>
        <w:rPr>
          <w:rFonts w:hint="eastAsia" w:ascii="Times New Roman" w:cs="Times New Roman"/>
          <w:color w:val="auto"/>
        </w:rPr>
      </w:pPr>
      <w:r>
        <w:rPr>
          <w:rFonts w:hint="eastAsia" w:ascii="Times New Roman" w:cs="Times New Roman"/>
          <w:color w:val="auto"/>
        </w:rPr>
        <w:drawing>
          <wp:inline distT="0" distB="0" distL="114300" distR="114300">
            <wp:extent cx="2830830" cy="2106930"/>
            <wp:effectExtent l="0" t="0" r="7620" b="7620"/>
            <wp:docPr id="8" name="图片 16" descr="微信图片_2023062010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微信图片_20230620100534"/>
                    <pic:cNvPicPr>
                      <a:picLocks noChangeAspect="1"/>
                    </pic:cNvPicPr>
                  </pic:nvPicPr>
                  <pic:blipFill>
                    <a:blip r:embed="rId13"/>
                    <a:stretch>
                      <a:fillRect/>
                    </a:stretch>
                  </pic:blipFill>
                  <pic:spPr>
                    <a:xfrm>
                      <a:off x="0" y="0"/>
                      <a:ext cx="2830830" cy="2106930"/>
                    </a:xfrm>
                    <a:prstGeom prst="rect">
                      <a:avLst/>
                    </a:prstGeom>
                    <a:noFill/>
                    <a:ln>
                      <a:noFill/>
                    </a:ln>
                  </pic:spPr>
                </pic:pic>
              </a:graphicData>
            </a:graphic>
          </wp:inline>
        </w:drawing>
      </w:r>
    </w:p>
    <w:p>
      <w:pPr>
        <w:pStyle w:val="55"/>
        <w:spacing w:line="360" w:lineRule="auto"/>
        <w:ind w:firstLine="200"/>
        <w:jc w:val="center"/>
        <w:rPr>
          <w:rFonts w:hint="eastAsia" w:hAnsi="宋体" w:cs="Times New Roman"/>
          <w:b/>
          <w:color w:val="auto"/>
        </w:rPr>
      </w:pPr>
      <w:r>
        <w:rPr>
          <w:rFonts w:hint="eastAsia" w:hAnsi="宋体" w:cs="Times New Roman"/>
          <w:b/>
          <w:color w:val="auto"/>
        </w:rPr>
        <w:t>照片3-</w:t>
      </w:r>
      <w:r>
        <w:rPr>
          <w:rFonts w:hAnsi="宋体" w:cs="Times New Roman"/>
          <w:b/>
          <w:color w:val="auto"/>
        </w:rPr>
        <w:t>3</w:t>
      </w:r>
      <w:r>
        <w:rPr>
          <w:rFonts w:hint="eastAsia" w:hAnsi="宋体" w:cs="Times New Roman"/>
          <w:b/>
          <w:color w:val="auto"/>
        </w:rPr>
        <w:t xml:space="preserve">  探坑</w:t>
      </w:r>
    </w:p>
    <w:p>
      <w:pPr>
        <w:tabs>
          <w:tab w:val="left" w:pos="1300"/>
        </w:tabs>
        <w:spacing w:line="360" w:lineRule="auto"/>
        <w:ind w:firstLine="480" w:firstLineChars="200"/>
        <w:rPr>
          <w:rFonts w:hint="eastAsia" w:ascii="宋体" w:hAnsi="宋体"/>
          <w:sz w:val="24"/>
        </w:rPr>
      </w:pPr>
      <w:r>
        <w:rPr>
          <w:rFonts w:hint="eastAsia" w:ascii="宋体" w:hAnsi="宋体"/>
          <w:sz w:val="24"/>
        </w:rPr>
        <w:t>（4）1#矿石场</w:t>
      </w:r>
    </w:p>
    <w:p>
      <w:pPr>
        <w:spacing w:line="360" w:lineRule="auto"/>
        <w:ind w:firstLine="480" w:firstLineChars="200"/>
        <w:rPr>
          <w:rFonts w:hint="eastAsia" w:ascii="宋体" w:hAnsi="宋体"/>
          <w:sz w:val="24"/>
        </w:rPr>
      </w:pPr>
      <w:r>
        <w:rPr>
          <w:rFonts w:hint="eastAsia" w:ascii="宋体" w:hAnsi="宋体"/>
          <w:sz w:val="24"/>
        </w:rPr>
        <w:t>1#矿石场位于1#露天采场西北部，地势平坦，场地内堆放原矿石，最大堆高约4m，堆放坡角约30°，</w:t>
      </w:r>
      <w:r>
        <w:rPr>
          <w:rFonts w:hint="eastAsia"/>
          <w:sz w:val="24"/>
          <w:lang/>
        </w:rPr>
        <w:t>三角网法计算堆放矿石</w:t>
      </w:r>
      <w:r>
        <w:rPr>
          <w:rFonts w:hint="eastAsia" w:ascii="宋体" w:hAnsi="宋体"/>
          <w:sz w:val="24"/>
        </w:rPr>
        <w:t>方量为（7396</w:t>
      </w:r>
      <w:r>
        <w:rPr>
          <w:rFonts w:ascii="宋体" w:hAnsi="宋体"/>
          <w:sz w:val="24"/>
        </w:rPr>
        <w:t>m</w:t>
      </w:r>
      <w:r>
        <w:rPr>
          <w:rFonts w:ascii="宋体" w:hAnsi="宋体"/>
          <w:sz w:val="24"/>
          <w:vertAlign w:val="superscript"/>
        </w:rPr>
        <w:t>3</w:t>
      </w:r>
      <w:r>
        <w:rPr>
          <w:rFonts w:hint="eastAsia" w:ascii="宋体" w:hAnsi="宋体"/>
          <w:sz w:val="24"/>
        </w:rPr>
        <w:t>）</w:t>
      </w:r>
      <w:r>
        <w:rPr>
          <w:rFonts w:ascii="宋体" w:hAnsi="宋体"/>
          <w:sz w:val="24"/>
        </w:rPr>
        <w:t>见图</w:t>
      </w:r>
      <w:r>
        <w:rPr>
          <w:rFonts w:hint="eastAsia" w:ascii="宋体" w:hAnsi="宋体"/>
          <w:sz w:val="24"/>
        </w:rPr>
        <w:t>3-1，占地面积0.5608h</w:t>
      </w:r>
      <w:r>
        <w:rPr>
          <w:rFonts w:ascii="宋体" w:hAnsi="宋体"/>
          <w:sz w:val="24"/>
        </w:rPr>
        <w:t>m</w:t>
      </w:r>
      <w:r>
        <w:rPr>
          <w:rFonts w:ascii="宋体" w:hAnsi="宋体"/>
          <w:sz w:val="24"/>
          <w:vertAlign w:val="superscript"/>
        </w:rPr>
        <w:t>2</w:t>
      </w:r>
      <w:r>
        <w:rPr>
          <w:rFonts w:hint="eastAsia" w:ascii="宋体" w:hAnsi="宋体"/>
          <w:sz w:val="24"/>
        </w:rPr>
        <w:t>。</w:t>
      </w:r>
      <w:r>
        <w:rPr>
          <w:rFonts w:ascii="宋体" w:hAnsi="宋体"/>
          <w:sz w:val="24"/>
        </w:rPr>
        <w:t>场地的建设破坏了山体完整性，</w:t>
      </w:r>
      <w:r>
        <w:rPr>
          <w:rFonts w:hint="eastAsia" w:ascii="宋体"/>
          <w:sz w:val="24"/>
        </w:rPr>
        <w:t>现状</w:t>
      </w:r>
      <w:r>
        <w:rPr>
          <w:rFonts w:ascii="宋体"/>
          <w:sz w:val="24"/>
        </w:rPr>
        <w:t>对矿区原始地形地貌景观破坏影响程度较严重。</w:t>
      </w:r>
      <w:r>
        <w:rPr>
          <w:rFonts w:hint="eastAsia" w:ascii="宋体" w:hAnsi="宋体"/>
          <w:sz w:val="24"/>
        </w:rPr>
        <w:t>见照片3-</w:t>
      </w:r>
      <w:r>
        <w:rPr>
          <w:rFonts w:ascii="宋体" w:hAnsi="宋体"/>
          <w:sz w:val="24"/>
        </w:rPr>
        <w:t>4。</w:t>
      </w:r>
    </w:p>
    <w:p>
      <w:pPr>
        <w:pStyle w:val="55"/>
        <w:rPr>
          <w:rFonts w:hint="eastAsia" w:ascii="Times New Roman" w:cs="Times New Roman"/>
          <w:color w:val="auto"/>
        </w:rPr>
      </w:pPr>
      <w:r>
        <w:rPr>
          <w:rFonts w:hint="eastAsia" w:ascii="Times New Roman" w:cs="Times New Roman"/>
          <w:color w:val="auto"/>
        </w:rPr>
        <w:drawing>
          <wp:inline distT="0" distB="0" distL="114300" distR="114300">
            <wp:extent cx="5936615" cy="1814830"/>
            <wp:effectExtent l="0" t="0" r="6985" b="13970"/>
            <wp:docPr id="9" name="图片 17" descr="1#矿石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1#矿石堆1"/>
                    <pic:cNvPicPr>
                      <a:picLocks noChangeAspect="1"/>
                    </pic:cNvPicPr>
                  </pic:nvPicPr>
                  <pic:blipFill>
                    <a:blip r:embed="rId14"/>
                    <a:stretch>
                      <a:fillRect/>
                    </a:stretch>
                  </pic:blipFill>
                  <pic:spPr>
                    <a:xfrm>
                      <a:off x="0" y="0"/>
                      <a:ext cx="5936615" cy="1814830"/>
                    </a:xfrm>
                    <a:prstGeom prst="rect">
                      <a:avLst/>
                    </a:prstGeom>
                    <a:noFill/>
                    <a:ln>
                      <a:noFill/>
                    </a:ln>
                  </pic:spPr>
                </pic:pic>
              </a:graphicData>
            </a:graphic>
          </wp:inline>
        </w:drawing>
      </w:r>
    </w:p>
    <w:p>
      <w:pPr>
        <w:pStyle w:val="55"/>
        <w:spacing w:line="360" w:lineRule="auto"/>
        <w:ind w:firstLine="200"/>
        <w:jc w:val="center"/>
        <w:rPr>
          <w:rFonts w:hint="eastAsia" w:hAnsi="宋体" w:cs="Times New Roman"/>
          <w:b/>
          <w:color w:val="auto"/>
        </w:rPr>
      </w:pPr>
      <w:r>
        <w:rPr>
          <w:rFonts w:hint="eastAsia" w:hAnsi="宋体" w:cs="Times New Roman"/>
          <w:b/>
          <w:color w:val="auto"/>
        </w:rPr>
        <w:t>照片3-</w:t>
      </w:r>
      <w:r>
        <w:rPr>
          <w:rFonts w:hAnsi="宋体" w:cs="Times New Roman"/>
          <w:b/>
          <w:color w:val="auto"/>
        </w:rPr>
        <w:t>4</w:t>
      </w:r>
      <w:r>
        <w:rPr>
          <w:rFonts w:hint="eastAsia" w:hAnsi="宋体" w:cs="Times New Roman"/>
          <w:b/>
          <w:color w:val="auto"/>
        </w:rPr>
        <w:t xml:space="preserve">   1#矿石堆</w:t>
      </w:r>
    </w:p>
    <w:p>
      <w:pPr>
        <w:pStyle w:val="55"/>
        <w:jc w:val="center"/>
        <w:rPr>
          <w:rFonts w:hint="eastAsia" w:ascii="Times New Roman" w:cs="Times New Roman"/>
          <w:color w:val="auto"/>
        </w:rPr>
      </w:pPr>
      <w:r>
        <w:rPr>
          <w:rFonts w:hint="eastAsia" w:ascii="Times New Roman" w:cs="Times New Roman"/>
          <w:color w:val="auto"/>
        </w:rPr>
        <w:drawing>
          <wp:inline distT="0" distB="0" distL="114300" distR="114300">
            <wp:extent cx="3895090" cy="3342640"/>
            <wp:effectExtent l="0" t="0" r="10160" b="10160"/>
            <wp:docPr id="10" name="图片 18" descr="三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三角"/>
                    <pic:cNvPicPr>
                      <a:picLocks noChangeAspect="1"/>
                    </pic:cNvPicPr>
                  </pic:nvPicPr>
                  <pic:blipFill>
                    <a:blip r:embed="rId15"/>
                    <a:srcRect r="54800" b="5075"/>
                    <a:stretch>
                      <a:fillRect/>
                    </a:stretch>
                  </pic:blipFill>
                  <pic:spPr>
                    <a:xfrm>
                      <a:off x="0" y="0"/>
                      <a:ext cx="3895090" cy="3342640"/>
                    </a:xfrm>
                    <a:prstGeom prst="rect">
                      <a:avLst/>
                    </a:prstGeom>
                    <a:noFill/>
                    <a:ln>
                      <a:noFill/>
                    </a:ln>
                  </pic:spPr>
                </pic:pic>
              </a:graphicData>
            </a:graphic>
          </wp:inline>
        </w:drawing>
      </w:r>
    </w:p>
    <w:p>
      <w:pPr>
        <w:spacing w:line="360" w:lineRule="auto"/>
        <w:contextualSpacing/>
        <w:jc w:val="center"/>
        <w:rPr>
          <w:rFonts w:ascii="宋体" w:hAnsi="宋体"/>
          <w:sz w:val="24"/>
        </w:rPr>
      </w:pPr>
      <w:r>
        <w:rPr>
          <w:rFonts w:hint="eastAsia"/>
          <w:sz w:val="24"/>
          <w:lang/>
        </w:rPr>
        <w:t>图3</w:t>
      </w:r>
      <w:r>
        <w:rPr>
          <w:sz w:val="24"/>
          <w:lang/>
        </w:rPr>
        <w:t xml:space="preserve">-1  </w:t>
      </w:r>
      <w:r>
        <w:rPr>
          <w:rFonts w:hint="eastAsia"/>
          <w:sz w:val="24"/>
          <w:lang/>
        </w:rPr>
        <w:t>三角网法计算堆放矿石方量图</w:t>
      </w:r>
    </w:p>
    <w:p>
      <w:pPr>
        <w:tabs>
          <w:tab w:val="left" w:pos="1300"/>
        </w:tabs>
        <w:spacing w:line="360" w:lineRule="auto"/>
        <w:ind w:firstLine="480" w:firstLineChars="200"/>
        <w:rPr>
          <w:rFonts w:hint="eastAsia" w:ascii="宋体" w:hAnsi="宋体"/>
          <w:sz w:val="24"/>
        </w:rPr>
      </w:pPr>
      <w:r>
        <w:rPr>
          <w:rFonts w:hint="eastAsia" w:ascii="宋体" w:hAnsi="宋体"/>
          <w:sz w:val="24"/>
        </w:rPr>
        <w:t>（5）2#矿石场</w:t>
      </w:r>
    </w:p>
    <w:p>
      <w:pPr>
        <w:spacing w:line="360" w:lineRule="auto"/>
        <w:ind w:firstLine="480" w:firstLineChars="200"/>
        <w:rPr>
          <w:rFonts w:hint="eastAsia" w:ascii="宋体" w:hAnsi="宋体"/>
          <w:sz w:val="24"/>
        </w:rPr>
      </w:pPr>
      <w:r>
        <w:rPr>
          <w:rFonts w:hint="eastAsia" w:ascii="宋体" w:hAnsi="宋体"/>
          <w:sz w:val="24"/>
        </w:rPr>
        <w:t>2</w:t>
      </w:r>
      <w:r>
        <w:rPr>
          <w:rFonts w:ascii="宋体" w:hAnsi="宋体"/>
          <w:sz w:val="24"/>
        </w:rPr>
        <w:t>#</w:t>
      </w:r>
      <w:r>
        <w:rPr>
          <w:rFonts w:hint="eastAsia" w:ascii="宋体" w:hAnsi="宋体"/>
          <w:sz w:val="24"/>
        </w:rPr>
        <w:t>矿石场位于1#露天采坑北部，场地平缓，且无切坡工程，场地内堆放原矿石，最大堆高3m，堆放坡角约30°，</w:t>
      </w:r>
      <w:r>
        <w:rPr>
          <w:rFonts w:hint="eastAsia"/>
          <w:sz w:val="24"/>
          <w:lang/>
        </w:rPr>
        <w:t>三角网法计算堆放矿石</w:t>
      </w:r>
      <w:r>
        <w:rPr>
          <w:rFonts w:hint="eastAsia" w:ascii="宋体" w:hAnsi="宋体"/>
          <w:sz w:val="24"/>
        </w:rPr>
        <w:t>方量为（889.34</w:t>
      </w:r>
      <w:r>
        <w:rPr>
          <w:rFonts w:ascii="宋体" w:hAnsi="宋体"/>
          <w:sz w:val="24"/>
        </w:rPr>
        <w:t>m</w:t>
      </w:r>
      <w:r>
        <w:rPr>
          <w:rFonts w:ascii="宋体" w:hAnsi="宋体"/>
          <w:sz w:val="24"/>
          <w:vertAlign w:val="superscript"/>
        </w:rPr>
        <w:t>3</w:t>
      </w:r>
      <w:r>
        <w:rPr>
          <w:rFonts w:ascii="宋体" w:hAnsi="宋体"/>
          <w:sz w:val="24"/>
        </w:rPr>
        <w:t>，见图</w:t>
      </w:r>
      <w:r>
        <w:rPr>
          <w:rFonts w:hint="eastAsia" w:ascii="宋体" w:hAnsi="宋体"/>
          <w:sz w:val="24"/>
        </w:rPr>
        <w:t>3-2），占地面积0.1262h</w:t>
      </w:r>
      <w:r>
        <w:rPr>
          <w:rFonts w:ascii="宋体" w:hAnsi="宋体"/>
          <w:sz w:val="24"/>
        </w:rPr>
        <w:t>m</w:t>
      </w:r>
      <w:r>
        <w:rPr>
          <w:rFonts w:ascii="宋体" w:hAnsi="宋体"/>
          <w:sz w:val="24"/>
          <w:vertAlign w:val="superscript"/>
        </w:rPr>
        <w:t>2</w:t>
      </w:r>
      <w:r>
        <w:rPr>
          <w:rFonts w:hint="eastAsia" w:ascii="宋体" w:hAnsi="宋体"/>
          <w:sz w:val="24"/>
        </w:rPr>
        <w:t>。</w:t>
      </w:r>
      <w:r>
        <w:rPr>
          <w:rFonts w:ascii="宋体" w:hAnsi="宋体"/>
          <w:sz w:val="24"/>
        </w:rPr>
        <w:t>场地的建设，破坏了山体完整性，</w:t>
      </w:r>
      <w:r>
        <w:rPr>
          <w:rFonts w:hint="eastAsia" w:ascii="宋体"/>
          <w:sz w:val="24"/>
        </w:rPr>
        <w:t>现状</w:t>
      </w:r>
      <w:r>
        <w:rPr>
          <w:rFonts w:ascii="宋体"/>
          <w:sz w:val="24"/>
        </w:rPr>
        <w:t>对矿区原始地形地貌景观破坏影响程度较严重</w:t>
      </w:r>
      <w:r>
        <w:rPr>
          <w:rFonts w:hint="eastAsia" w:ascii="宋体"/>
          <w:sz w:val="24"/>
        </w:rPr>
        <w:t>，</w:t>
      </w:r>
      <w:r>
        <w:rPr>
          <w:rFonts w:hint="eastAsia" w:ascii="宋体" w:hAnsi="宋体"/>
          <w:sz w:val="24"/>
        </w:rPr>
        <w:t>见照片3-</w:t>
      </w:r>
      <w:r>
        <w:rPr>
          <w:rFonts w:ascii="宋体" w:hAnsi="宋体"/>
          <w:sz w:val="24"/>
        </w:rPr>
        <w:t>5。</w:t>
      </w:r>
    </w:p>
    <w:p>
      <w:pPr>
        <w:pStyle w:val="55"/>
        <w:jc w:val="center"/>
        <w:rPr>
          <w:rFonts w:hint="eastAsia" w:ascii="Times New Roman" w:cs="Times New Roman"/>
          <w:color w:val="auto"/>
        </w:rPr>
      </w:pPr>
      <w:r>
        <w:rPr>
          <w:rFonts w:hint="eastAsia" w:ascii="Times New Roman" w:cs="Times New Roman"/>
          <w:color w:val="auto"/>
        </w:rPr>
        <w:drawing>
          <wp:inline distT="0" distB="0" distL="114300" distR="114300">
            <wp:extent cx="4607560" cy="1855470"/>
            <wp:effectExtent l="0" t="0" r="2540" b="11430"/>
            <wp:docPr id="11" name="图片 19" descr="矿石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矿石堆2"/>
                    <pic:cNvPicPr>
                      <a:picLocks noChangeAspect="1"/>
                    </pic:cNvPicPr>
                  </pic:nvPicPr>
                  <pic:blipFill>
                    <a:blip r:embed="rId16"/>
                    <a:srcRect l="4388" t="19522"/>
                    <a:stretch>
                      <a:fillRect/>
                    </a:stretch>
                  </pic:blipFill>
                  <pic:spPr>
                    <a:xfrm>
                      <a:off x="0" y="0"/>
                      <a:ext cx="4607560" cy="1855470"/>
                    </a:xfrm>
                    <a:prstGeom prst="rect">
                      <a:avLst/>
                    </a:prstGeom>
                    <a:noFill/>
                    <a:ln>
                      <a:noFill/>
                    </a:ln>
                  </pic:spPr>
                </pic:pic>
              </a:graphicData>
            </a:graphic>
          </wp:inline>
        </w:drawing>
      </w:r>
    </w:p>
    <w:p>
      <w:pPr>
        <w:pStyle w:val="55"/>
        <w:spacing w:line="360" w:lineRule="auto"/>
        <w:ind w:firstLine="200"/>
        <w:jc w:val="center"/>
        <w:rPr>
          <w:rFonts w:hint="eastAsia" w:hAnsi="宋体" w:cs="Times New Roman"/>
          <w:b/>
          <w:color w:val="auto"/>
        </w:rPr>
      </w:pPr>
      <w:r>
        <w:rPr>
          <w:rFonts w:hint="eastAsia" w:hAnsi="宋体" w:cs="Times New Roman"/>
          <w:b/>
          <w:color w:val="auto"/>
        </w:rPr>
        <w:t>照片3-</w:t>
      </w:r>
      <w:r>
        <w:rPr>
          <w:rFonts w:hAnsi="宋体" w:cs="Times New Roman"/>
          <w:b/>
          <w:color w:val="auto"/>
        </w:rPr>
        <w:t>5</w:t>
      </w:r>
      <w:r>
        <w:rPr>
          <w:rFonts w:hint="eastAsia" w:hAnsi="宋体" w:cs="Times New Roman"/>
          <w:b/>
          <w:color w:val="auto"/>
        </w:rPr>
        <w:t xml:space="preserve">   2#矿石堆</w:t>
      </w:r>
    </w:p>
    <w:p>
      <w:pPr>
        <w:spacing w:line="360" w:lineRule="auto"/>
        <w:contextualSpacing/>
        <w:jc w:val="center"/>
        <w:rPr>
          <w:rFonts w:hint="eastAsia"/>
          <w:sz w:val="24"/>
          <w:lang/>
        </w:rPr>
      </w:pPr>
      <w:r>
        <w:rPr>
          <w:rFonts w:hint="eastAsia"/>
          <w:sz w:val="24"/>
          <w:lang/>
        </w:rPr>
        <w:drawing>
          <wp:inline distT="0" distB="0" distL="114300" distR="114300">
            <wp:extent cx="3784600" cy="2134235"/>
            <wp:effectExtent l="0" t="0" r="6350" b="18415"/>
            <wp:docPr id="12" name="图片 20" descr="三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descr="三角"/>
                    <pic:cNvPicPr>
                      <a:picLocks noChangeAspect="1"/>
                    </pic:cNvPicPr>
                  </pic:nvPicPr>
                  <pic:blipFill>
                    <a:blip r:embed="rId15"/>
                    <a:srcRect l="64453" r="873" b="52094"/>
                    <a:stretch>
                      <a:fillRect/>
                    </a:stretch>
                  </pic:blipFill>
                  <pic:spPr>
                    <a:xfrm>
                      <a:off x="0" y="0"/>
                      <a:ext cx="3784600" cy="2134235"/>
                    </a:xfrm>
                    <a:prstGeom prst="rect">
                      <a:avLst/>
                    </a:prstGeom>
                    <a:noFill/>
                    <a:ln>
                      <a:noFill/>
                    </a:ln>
                  </pic:spPr>
                </pic:pic>
              </a:graphicData>
            </a:graphic>
          </wp:inline>
        </w:drawing>
      </w:r>
    </w:p>
    <w:p>
      <w:pPr>
        <w:spacing w:line="360" w:lineRule="auto"/>
        <w:contextualSpacing/>
        <w:jc w:val="center"/>
        <w:rPr>
          <w:rFonts w:ascii="宋体" w:hAnsi="宋体"/>
          <w:sz w:val="24"/>
        </w:rPr>
      </w:pPr>
      <w:r>
        <w:rPr>
          <w:rFonts w:hint="eastAsia"/>
          <w:sz w:val="24"/>
          <w:lang/>
        </w:rPr>
        <w:t>图3</w:t>
      </w:r>
      <w:r>
        <w:rPr>
          <w:sz w:val="24"/>
          <w:lang/>
        </w:rPr>
        <w:t>-</w:t>
      </w:r>
      <w:r>
        <w:rPr>
          <w:rFonts w:hint="eastAsia"/>
          <w:sz w:val="24"/>
          <w:lang/>
        </w:rPr>
        <w:t>2  三角网法计算堆放矿石方量图</w:t>
      </w:r>
    </w:p>
    <w:p>
      <w:pPr>
        <w:tabs>
          <w:tab w:val="left" w:pos="1300"/>
        </w:tabs>
        <w:spacing w:line="360" w:lineRule="auto"/>
        <w:ind w:firstLine="480" w:firstLineChars="200"/>
        <w:rPr>
          <w:rFonts w:hint="eastAsia" w:ascii="宋体" w:hAnsi="宋体"/>
          <w:sz w:val="24"/>
        </w:rPr>
      </w:pPr>
      <w:r>
        <w:rPr>
          <w:rFonts w:hint="eastAsia" w:ascii="宋体" w:hAnsi="宋体"/>
          <w:sz w:val="24"/>
        </w:rPr>
        <w:t>（6）存储间</w:t>
      </w:r>
    </w:p>
    <w:p>
      <w:pPr>
        <w:tabs>
          <w:tab w:val="left" w:pos="1300"/>
        </w:tabs>
        <w:spacing w:line="360" w:lineRule="auto"/>
        <w:ind w:firstLine="480" w:firstLineChars="200"/>
        <w:rPr>
          <w:rFonts w:hint="eastAsia" w:ascii="宋体" w:hAnsi="宋体"/>
          <w:sz w:val="24"/>
        </w:rPr>
      </w:pPr>
      <w:r>
        <w:rPr>
          <w:rFonts w:hint="eastAsia" w:ascii="宋体" w:hAnsi="宋体"/>
          <w:sz w:val="24"/>
        </w:rPr>
        <w:t>存储间紧邻矿石场，</w:t>
      </w:r>
      <w:r>
        <w:rPr>
          <w:rFonts w:hint="eastAsia"/>
          <w:sz w:val="24"/>
        </w:rPr>
        <w:t>建筑物占地面积0.002</w:t>
      </w:r>
      <w:r>
        <w:rPr>
          <w:sz w:val="24"/>
        </w:rPr>
        <w:t>1</w:t>
      </w:r>
      <w:r>
        <w:rPr>
          <w:rFonts w:hint="eastAsia"/>
          <w:sz w:val="24"/>
        </w:rPr>
        <w:t>h</w:t>
      </w:r>
      <w:r>
        <w:rPr>
          <w:sz w:val="24"/>
        </w:rPr>
        <w:t>m</w:t>
      </w:r>
      <w:r>
        <w:rPr>
          <w:sz w:val="24"/>
          <w:vertAlign w:val="superscript"/>
        </w:rPr>
        <w:t>2</w:t>
      </w:r>
      <w:r>
        <w:rPr>
          <w:rFonts w:hint="eastAsia"/>
          <w:sz w:val="24"/>
        </w:rPr>
        <w:t>，高度约</w:t>
      </w:r>
      <w:r>
        <w:rPr>
          <w:sz w:val="24"/>
        </w:rPr>
        <w:t>2.6m</w:t>
      </w:r>
      <w:r>
        <w:rPr>
          <w:rFonts w:hint="eastAsia"/>
          <w:sz w:val="24"/>
        </w:rPr>
        <w:t>，</w:t>
      </w:r>
      <w:r>
        <w:rPr>
          <w:rFonts w:hint="eastAsia" w:ascii="宋体" w:hAnsi="宋体"/>
          <w:sz w:val="24"/>
        </w:rPr>
        <w:t>为彩钢砖瓦结构，场地平坦，</w:t>
      </w:r>
      <w:r>
        <w:rPr>
          <w:rFonts w:ascii="宋体" w:hAnsi="宋体"/>
          <w:sz w:val="24"/>
        </w:rPr>
        <w:t>场地的建设，与周边环境协调性较差，对矿区原始地形地貌景观破坏影响程度较轻，</w:t>
      </w:r>
      <w:r>
        <w:rPr>
          <w:rFonts w:hint="eastAsia" w:ascii="宋体" w:hAnsi="宋体"/>
          <w:sz w:val="24"/>
        </w:rPr>
        <w:t>见照片3-</w:t>
      </w:r>
      <w:r>
        <w:rPr>
          <w:rFonts w:ascii="宋体" w:hAnsi="宋体"/>
          <w:sz w:val="24"/>
        </w:rPr>
        <w:t>6。</w:t>
      </w:r>
    </w:p>
    <w:p>
      <w:pPr>
        <w:pStyle w:val="55"/>
        <w:jc w:val="center"/>
        <w:rPr>
          <w:rFonts w:hint="eastAsia" w:ascii="Times New Roman" w:cs="Times New Roman"/>
          <w:color w:val="auto"/>
        </w:rPr>
      </w:pPr>
      <w:r>
        <w:rPr>
          <w:rFonts w:hint="eastAsia" w:ascii="Times New Roman" w:cs="Times New Roman"/>
          <w:color w:val="auto"/>
        </w:rPr>
        <w:drawing>
          <wp:inline distT="0" distB="0" distL="114300" distR="114300">
            <wp:extent cx="2418080" cy="1821815"/>
            <wp:effectExtent l="0" t="0" r="1270" b="6985"/>
            <wp:docPr id="13" name="图片 21" descr="工具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工具房1"/>
                    <pic:cNvPicPr>
                      <a:picLocks noChangeAspect="1"/>
                    </pic:cNvPicPr>
                  </pic:nvPicPr>
                  <pic:blipFill>
                    <a:blip r:embed="rId17"/>
                    <a:stretch>
                      <a:fillRect/>
                    </a:stretch>
                  </pic:blipFill>
                  <pic:spPr>
                    <a:xfrm>
                      <a:off x="0" y="0"/>
                      <a:ext cx="2418080" cy="1821815"/>
                    </a:xfrm>
                    <a:prstGeom prst="rect">
                      <a:avLst/>
                    </a:prstGeom>
                    <a:noFill/>
                    <a:ln>
                      <a:noFill/>
                    </a:ln>
                  </pic:spPr>
                </pic:pic>
              </a:graphicData>
            </a:graphic>
          </wp:inline>
        </w:drawing>
      </w:r>
    </w:p>
    <w:p>
      <w:pPr>
        <w:pStyle w:val="55"/>
        <w:spacing w:line="360" w:lineRule="auto"/>
        <w:ind w:firstLine="200"/>
        <w:jc w:val="center"/>
        <w:rPr>
          <w:rFonts w:hint="eastAsia" w:hAnsi="宋体" w:cs="Times New Roman"/>
          <w:b/>
          <w:color w:val="auto"/>
        </w:rPr>
      </w:pPr>
      <w:r>
        <w:rPr>
          <w:rFonts w:hint="eastAsia" w:hAnsi="宋体" w:cs="Times New Roman"/>
          <w:b/>
          <w:color w:val="auto"/>
        </w:rPr>
        <w:t>照片3-</w:t>
      </w:r>
      <w:r>
        <w:rPr>
          <w:rFonts w:hAnsi="宋体" w:cs="Times New Roman"/>
          <w:b/>
          <w:color w:val="auto"/>
        </w:rPr>
        <w:t>6</w:t>
      </w:r>
      <w:r>
        <w:rPr>
          <w:rFonts w:hint="eastAsia" w:hAnsi="宋体" w:cs="Times New Roman"/>
          <w:b/>
          <w:color w:val="auto"/>
        </w:rPr>
        <w:t xml:space="preserve">  存储间</w:t>
      </w:r>
    </w:p>
    <w:p>
      <w:pPr>
        <w:tabs>
          <w:tab w:val="left" w:pos="1300"/>
        </w:tabs>
        <w:spacing w:line="360" w:lineRule="auto"/>
        <w:ind w:firstLine="480" w:firstLineChars="200"/>
        <w:rPr>
          <w:rFonts w:hint="eastAsia" w:ascii="宋体" w:hAnsi="宋体"/>
          <w:sz w:val="24"/>
        </w:rPr>
      </w:pPr>
      <w:r>
        <w:rPr>
          <w:rFonts w:hint="eastAsia" w:ascii="宋体" w:hAnsi="宋体"/>
          <w:sz w:val="24"/>
        </w:rPr>
        <w:t>（7）矿区道路</w:t>
      </w:r>
    </w:p>
    <w:p>
      <w:pPr>
        <w:spacing w:line="360" w:lineRule="auto"/>
        <w:ind w:firstLine="480"/>
        <w:contextualSpacing/>
        <w:rPr>
          <w:rFonts w:hint="eastAsia" w:ascii="宋体" w:hAnsi="宋体"/>
          <w:sz w:val="24"/>
        </w:rPr>
      </w:pPr>
      <w:r>
        <w:rPr>
          <w:rFonts w:ascii="宋体" w:hAnsi="宋体"/>
          <w:sz w:val="24"/>
        </w:rPr>
        <w:t>矿区道路已使用多年。</w:t>
      </w:r>
      <w:r>
        <w:rPr>
          <w:rFonts w:hint="eastAsia" w:ascii="宋体" w:hAnsi="宋体"/>
          <w:sz w:val="24"/>
        </w:rPr>
        <w:t>道路总长约</w:t>
      </w:r>
      <w:r>
        <w:rPr>
          <w:rFonts w:ascii="宋体" w:hAnsi="宋体"/>
          <w:sz w:val="24"/>
        </w:rPr>
        <w:t>929</w:t>
      </w:r>
      <w:r>
        <w:rPr>
          <w:rFonts w:hint="eastAsia" w:ascii="宋体" w:hAnsi="宋体"/>
          <w:sz w:val="24"/>
        </w:rPr>
        <w:t>m，宽约3.0-14.0m，其中村民用路长</w:t>
      </w:r>
      <w:r>
        <w:rPr>
          <w:rFonts w:ascii="宋体" w:hAnsi="宋体"/>
          <w:sz w:val="24"/>
        </w:rPr>
        <w:t>473</w:t>
      </w:r>
      <w:r>
        <w:rPr>
          <w:rFonts w:hint="eastAsia" w:ascii="宋体" w:hAnsi="宋体"/>
          <w:sz w:val="24"/>
        </w:rPr>
        <w:t>m，面积0.</w:t>
      </w:r>
      <w:r>
        <w:rPr>
          <w:rFonts w:ascii="宋体" w:hAnsi="宋体"/>
          <w:sz w:val="24"/>
        </w:rPr>
        <w:t>1931</w:t>
      </w:r>
      <w:r>
        <w:rPr>
          <w:rFonts w:hint="eastAsia" w:ascii="宋体" w:hAnsi="宋体"/>
          <w:sz w:val="24"/>
        </w:rPr>
        <w:t>h</w:t>
      </w:r>
      <w:r>
        <w:rPr>
          <w:rFonts w:ascii="宋体" w:hAnsi="宋体"/>
          <w:sz w:val="24"/>
        </w:rPr>
        <w:t>m</w:t>
      </w:r>
      <w:r>
        <w:rPr>
          <w:rFonts w:ascii="宋体" w:hAnsi="宋体"/>
          <w:sz w:val="24"/>
          <w:vertAlign w:val="superscript"/>
        </w:rPr>
        <w:t>2</w:t>
      </w:r>
      <w:r>
        <w:rPr>
          <w:rFonts w:hint="eastAsia" w:ascii="宋体" w:hAnsi="宋体"/>
          <w:sz w:val="24"/>
        </w:rPr>
        <w:t>，矿区道路长约</w:t>
      </w:r>
      <w:r>
        <w:rPr>
          <w:rFonts w:ascii="宋体" w:hAnsi="宋体"/>
          <w:sz w:val="24"/>
        </w:rPr>
        <w:t>456</w:t>
      </w:r>
      <w:r>
        <w:rPr>
          <w:rFonts w:hint="eastAsia" w:ascii="宋体" w:hAnsi="宋体"/>
          <w:sz w:val="24"/>
        </w:rPr>
        <w:t>m，面积0.</w:t>
      </w:r>
      <w:r>
        <w:rPr>
          <w:rFonts w:ascii="宋体" w:hAnsi="宋体"/>
          <w:sz w:val="24"/>
        </w:rPr>
        <w:t>6546</w:t>
      </w:r>
      <w:r>
        <w:rPr>
          <w:rFonts w:hint="eastAsia" w:ascii="宋体" w:hAnsi="宋体"/>
          <w:sz w:val="24"/>
        </w:rPr>
        <w:t>h</w:t>
      </w:r>
      <w:r>
        <w:rPr>
          <w:rFonts w:ascii="宋体" w:hAnsi="宋体"/>
          <w:sz w:val="24"/>
        </w:rPr>
        <w:t>m</w:t>
      </w:r>
      <w:r>
        <w:rPr>
          <w:rFonts w:ascii="宋体" w:hAnsi="宋体"/>
          <w:sz w:val="24"/>
          <w:vertAlign w:val="superscript"/>
        </w:rPr>
        <w:t>2</w:t>
      </w:r>
      <w:r>
        <w:rPr>
          <w:rFonts w:hint="eastAsia" w:ascii="宋体" w:hAnsi="宋体"/>
          <w:sz w:val="24"/>
        </w:rPr>
        <w:t>，部分道路存在切坡，切坡长3</w:t>
      </w:r>
      <w:r>
        <w:rPr>
          <w:rFonts w:ascii="宋体" w:hAnsi="宋体"/>
          <w:sz w:val="24"/>
        </w:rPr>
        <w:t>55m</w:t>
      </w:r>
      <w:r>
        <w:rPr>
          <w:rFonts w:hint="eastAsia" w:ascii="宋体" w:hAnsi="宋体"/>
          <w:sz w:val="24"/>
        </w:rPr>
        <w:t>，高约1</w:t>
      </w:r>
      <w:r>
        <w:rPr>
          <w:rFonts w:ascii="宋体" w:hAnsi="宋体"/>
          <w:sz w:val="24"/>
        </w:rPr>
        <w:t>-</w:t>
      </w:r>
      <w:r>
        <w:rPr>
          <w:rFonts w:hint="eastAsia" w:ascii="宋体" w:hAnsi="宋体"/>
          <w:sz w:val="24"/>
        </w:rPr>
        <w:t>5</w:t>
      </w:r>
      <w:r>
        <w:rPr>
          <w:rFonts w:ascii="宋体" w:hAnsi="宋体"/>
          <w:sz w:val="24"/>
        </w:rPr>
        <w:t>m,</w:t>
      </w:r>
      <w:r>
        <w:rPr>
          <w:rFonts w:hint="eastAsia" w:ascii="宋体" w:hAnsi="宋体"/>
          <w:sz w:val="24"/>
        </w:rPr>
        <w:t>局部边坡近直立，面积0.4780h</w:t>
      </w:r>
      <w:r>
        <w:rPr>
          <w:rFonts w:ascii="宋体" w:hAnsi="宋体"/>
          <w:sz w:val="24"/>
        </w:rPr>
        <w:t>m</w:t>
      </w:r>
      <w:r>
        <w:rPr>
          <w:rFonts w:ascii="宋体" w:hAnsi="宋体"/>
          <w:sz w:val="24"/>
          <w:vertAlign w:val="superscript"/>
        </w:rPr>
        <w:t>2</w:t>
      </w:r>
      <w:r>
        <w:rPr>
          <w:rFonts w:hint="eastAsia" w:ascii="宋体" w:hAnsi="宋体"/>
          <w:sz w:val="24"/>
        </w:rPr>
        <w:t>，平坦道路长</w:t>
      </w:r>
      <w:r>
        <w:rPr>
          <w:rFonts w:ascii="宋体" w:hAnsi="宋体"/>
          <w:sz w:val="24"/>
        </w:rPr>
        <w:t>101</w:t>
      </w:r>
      <w:r>
        <w:rPr>
          <w:rFonts w:hint="eastAsia" w:ascii="宋体" w:hAnsi="宋体"/>
          <w:sz w:val="24"/>
        </w:rPr>
        <w:t>m。矿区道路</w:t>
      </w:r>
      <w:r>
        <w:rPr>
          <w:rFonts w:ascii="宋体" w:hAnsi="宋体"/>
          <w:sz w:val="24"/>
        </w:rPr>
        <w:t>的建设，对地表形态、植被等发生直接的破坏，对地形地貌景观破坏程度</w:t>
      </w:r>
      <w:r>
        <w:rPr>
          <w:rFonts w:hint="eastAsia" w:ascii="宋体" w:hAnsi="宋体"/>
          <w:sz w:val="24"/>
        </w:rPr>
        <w:t>大</w:t>
      </w:r>
      <w:r>
        <w:rPr>
          <w:rFonts w:ascii="宋体" w:hAnsi="宋体"/>
          <w:sz w:val="24"/>
        </w:rPr>
        <w:t>，故对地形地貌景观影响较严重，</w:t>
      </w:r>
      <w:r>
        <w:rPr>
          <w:rFonts w:hint="eastAsia" w:ascii="宋体" w:hAnsi="宋体"/>
          <w:sz w:val="24"/>
        </w:rPr>
        <w:t>见照片3-</w:t>
      </w:r>
      <w:r>
        <w:rPr>
          <w:rFonts w:ascii="宋体" w:hAnsi="宋体"/>
          <w:sz w:val="24"/>
        </w:rPr>
        <w:t>7</w:t>
      </w:r>
      <w:r>
        <w:rPr>
          <w:rFonts w:hint="eastAsia" w:ascii="宋体" w:hAnsi="宋体"/>
          <w:sz w:val="24"/>
        </w:rPr>
        <w:t>。</w:t>
      </w:r>
    </w:p>
    <w:p>
      <w:pPr>
        <w:pStyle w:val="55"/>
        <w:jc w:val="center"/>
        <w:rPr>
          <w:rFonts w:hint="eastAsia" w:ascii="Times New Roman" w:cs="Times New Roman"/>
          <w:color w:val="auto"/>
        </w:rPr>
      </w:pPr>
      <w:r>
        <w:rPr>
          <w:rFonts w:hint="eastAsia" w:ascii="Times New Roman" w:cs="Times New Roman"/>
          <w:color w:val="auto"/>
        </w:rPr>
        <w:drawing>
          <wp:inline distT="0" distB="0" distL="114300" distR="114300">
            <wp:extent cx="4094480" cy="2501265"/>
            <wp:effectExtent l="0" t="0" r="1270" b="13335"/>
            <wp:docPr id="14" name="图片 22" descr="矿区道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descr="矿区道路1"/>
                    <pic:cNvPicPr>
                      <a:picLocks noChangeAspect="1"/>
                    </pic:cNvPicPr>
                  </pic:nvPicPr>
                  <pic:blipFill>
                    <a:blip r:embed="rId18"/>
                    <a:stretch>
                      <a:fillRect/>
                    </a:stretch>
                  </pic:blipFill>
                  <pic:spPr>
                    <a:xfrm>
                      <a:off x="0" y="0"/>
                      <a:ext cx="4094480" cy="2501265"/>
                    </a:xfrm>
                    <a:prstGeom prst="rect">
                      <a:avLst/>
                    </a:prstGeom>
                    <a:noFill/>
                    <a:ln>
                      <a:noFill/>
                    </a:ln>
                  </pic:spPr>
                </pic:pic>
              </a:graphicData>
            </a:graphic>
          </wp:inline>
        </w:drawing>
      </w:r>
    </w:p>
    <w:p>
      <w:pPr>
        <w:pStyle w:val="55"/>
        <w:spacing w:line="360" w:lineRule="auto"/>
        <w:ind w:firstLine="200"/>
        <w:jc w:val="center"/>
        <w:rPr>
          <w:rFonts w:hint="eastAsia" w:hAnsi="宋体" w:cs="Times New Roman"/>
          <w:b/>
          <w:color w:val="auto"/>
        </w:rPr>
      </w:pPr>
      <w:r>
        <w:rPr>
          <w:rFonts w:hint="eastAsia" w:hAnsi="宋体" w:cs="Times New Roman"/>
          <w:b/>
          <w:color w:val="auto"/>
        </w:rPr>
        <w:t>照片3-</w:t>
      </w:r>
      <w:r>
        <w:rPr>
          <w:rFonts w:hAnsi="宋体" w:cs="Times New Roman"/>
          <w:b/>
          <w:color w:val="auto"/>
        </w:rPr>
        <w:t>7</w:t>
      </w:r>
      <w:r>
        <w:rPr>
          <w:rFonts w:hint="eastAsia" w:hAnsi="宋体" w:cs="Times New Roman"/>
          <w:b/>
          <w:color w:val="auto"/>
        </w:rPr>
        <w:t xml:space="preserve">   矿区道路</w:t>
      </w:r>
    </w:p>
    <w:p>
      <w:pPr>
        <w:spacing w:line="360" w:lineRule="auto"/>
        <w:ind w:firstLine="482" w:firstLineChars="200"/>
        <w:contextualSpacing/>
        <w:rPr>
          <w:rFonts w:hint="eastAsia" w:ascii="宋体" w:hAnsi="宋体"/>
          <w:b/>
          <w:sz w:val="24"/>
        </w:rPr>
      </w:pPr>
      <w:r>
        <w:rPr>
          <w:rFonts w:ascii="宋体" w:hAnsi="宋体"/>
          <w:b/>
          <w:sz w:val="24"/>
        </w:rPr>
        <w:t>4</w:t>
      </w:r>
      <w:r>
        <w:rPr>
          <w:rFonts w:hint="eastAsia" w:ascii="宋体" w:hAnsi="宋体"/>
          <w:b/>
          <w:sz w:val="24"/>
        </w:rPr>
        <w:t>、</w:t>
      </w:r>
      <w:r>
        <w:rPr>
          <w:rFonts w:ascii="宋体" w:hAnsi="宋体"/>
          <w:b/>
          <w:sz w:val="24"/>
        </w:rPr>
        <w:t>矿区水土环境污染现状分析</w:t>
      </w:r>
    </w:p>
    <w:p>
      <w:pPr>
        <w:tabs>
          <w:tab w:val="left" w:pos="1300"/>
        </w:tabs>
        <w:spacing w:line="360" w:lineRule="auto"/>
        <w:ind w:firstLine="480" w:firstLineChars="200"/>
        <w:rPr>
          <w:rFonts w:ascii="宋体" w:hAnsi="宋体"/>
          <w:bCs/>
          <w:sz w:val="24"/>
        </w:rPr>
      </w:pPr>
      <w:r>
        <w:rPr>
          <w:rFonts w:ascii="宋体" w:hAnsi="宋体"/>
          <w:bCs/>
          <w:sz w:val="24"/>
        </w:rPr>
        <w:t>现状条件下，</w:t>
      </w:r>
      <w:r>
        <w:rPr>
          <w:rFonts w:hint="eastAsia" w:ascii="宋体" w:hAnsi="宋体"/>
          <w:bCs/>
          <w:sz w:val="24"/>
        </w:rPr>
        <w:t>矿山开采未揭露基岩裂隙含水层，无疏干水，对含水层影响较轻。</w:t>
      </w:r>
    </w:p>
    <w:p>
      <w:pPr>
        <w:pStyle w:val="12"/>
        <w:spacing w:after="0" w:line="360" w:lineRule="auto"/>
        <w:ind w:firstLine="480" w:firstLineChars="200"/>
        <w:contextualSpacing/>
        <w:jc w:val="both"/>
        <w:rPr>
          <w:rFonts w:hint="eastAsia" w:hAnsi="宋体"/>
          <w:bCs/>
          <w:sz w:val="24"/>
          <w:szCs w:val="24"/>
        </w:rPr>
      </w:pPr>
      <w:r>
        <w:rPr>
          <w:rFonts w:hint="eastAsia" w:hAnsi="宋体"/>
          <w:bCs/>
          <w:sz w:val="24"/>
          <w:szCs w:val="24"/>
        </w:rPr>
        <w:t>（1）固体废弃物</w:t>
      </w:r>
    </w:p>
    <w:p>
      <w:pPr>
        <w:pStyle w:val="12"/>
        <w:spacing w:after="0" w:line="360" w:lineRule="auto"/>
        <w:ind w:firstLine="480" w:firstLineChars="200"/>
        <w:contextualSpacing/>
        <w:jc w:val="both"/>
        <w:rPr>
          <w:rFonts w:hint="eastAsia" w:hAnsi="宋体" w:cs="宋体"/>
          <w:sz w:val="24"/>
          <w:szCs w:val="24"/>
        </w:rPr>
      </w:pPr>
      <w:r>
        <w:rPr>
          <w:rFonts w:hint="eastAsia" w:hAnsi="宋体" w:cs="宋体"/>
          <w:sz w:val="24"/>
          <w:szCs w:val="24"/>
        </w:rPr>
        <w:t>根据《开发利用方案》，生产期间排弃固体废弃物包括采矿产出的废石废渣及生活垃圾。</w:t>
      </w:r>
      <w:r>
        <w:rPr>
          <w:rFonts w:hint="eastAsia" w:hAnsi="宋体"/>
          <w:sz w:val="24"/>
          <w:szCs w:val="24"/>
        </w:rPr>
        <w:t>矿区最大剥采比按0.05m</w:t>
      </w:r>
      <w:r>
        <w:rPr>
          <w:rFonts w:hint="eastAsia" w:hAnsi="宋体" w:cs="宋体"/>
          <w:sz w:val="24"/>
          <w:szCs w:val="24"/>
          <w:vertAlign w:val="superscript"/>
          <w:lang w:val="zh-CN"/>
        </w:rPr>
        <w:t>3</w:t>
      </w:r>
      <w:r>
        <w:rPr>
          <w:rFonts w:hint="eastAsia" w:hAnsi="宋体"/>
          <w:sz w:val="24"/>
          <w:szCs w:val="24"/>
        </w:rPr>
        <w:t>/</w:t>
      </w:r>
      <w:r>
        <w:rPr>
          <w:rFonts w:hint="eastAsia" w:hAnsi="宋体" w:cs="宋体"/>
          <w:sz w:val="24"/>
          <w:szCs w:val="24"/>
          <w:lang w:val="zh-CN"/>
        </w:rPr>
        <w:t>m</w:t>
      </w:r>
      <w:r>
        <w:rPr>
          <w:rFonts w:hint="eastAsia" w:hAnsi="宋体" w:cs="宋体"/>
          <w:sz w:val="24"/>
          <w:szCs w:val="24"/>
          <w:vertAlign w:val="superscript"/>
          <w:lang w:val="zh-CN"/>
        </w:rPr>
        <w:t>3</w:t>
      </w:r>
      <w:r>
        <w:rPr>
          <w:rFonts w:hint="eastAsia" w:hAnsi="宋体" w:cs="宋体"/>
          <w:sz w:val="24"/>
          <w:szCs w:val="24"/>
          <w:lang w:val="zh-CN"/>
        </w:rPr>
        <w:t>估算</w:t>
      </w:r>
      <w:r>
        <w:rPr>
          <w:rFonts w:hint="eastAsia" w:hAnsi="宋体"/>
          <w:sz w:val="24"/>
          <w:szCs w:val="24"/>
        </w:rPr>
        <w:t>，年需采剥总量</w:t>
      </w:r>
      <w:r>
        <w:rPr>
          <w:rFonts w:hAnsi="宋体"/>
          <w:sz w:val="24"/>
          <w:szCs w:val="24"/>
        </w:rPr>
        <w:t>6</w:t>
      </w:r>
      <w:r>
        <w:rPr>
          <w:rFonts w:hint="eastAsia" w:hAnsi="宋体"/>
          <w:sz w:val="24"/>
          <w:szCs w:val="24"/>
        </w:rPr>
        <w:t>0</w:t>
      </w:r>
      <w:r>
        <w:rPr>
          <w:rFonts w:hAnsi="宋体"/>
          <w:sz w:val="24"/>
          <w:szCs w:val="24"/>
        </w:rPr>
        <w:t>3</w:t>
      </w:r>
      <w:r>
        <w:rPr>
          <w:rFonts w:hint="eastAsia" w:hAnsi="宋体"/>
          <w:sz w:val="24"/>
          <w:szCs w:val="24"/>
        </w:rPr>
        <w:t>0t（</w:t>
      </w:r>
      <w:r>
        <w:rPr>
          <w:rFonts w:hAnsi="宋体"/>
          <w:sz w:val="24"/>
          <w:szCs w:val="24"/>
        </w:rPr>
        <w:t>2704</w:t>
      </w:r>
      <w:r>
        <w:rPr>
          <w:rFonts w:hint="eastAsia" w:hAnsi="宋体" w:cs="宋体"/>
          <w:sz w:val="24"/>
          <w:szCs w:val="24"/>
          <w:lang w:val="zh-CN"/>
        </w:rPr>
        <w:t>m</w:t>
      </w:r>
      <w:r>
        <w:rPr>
          <w:rFonts w:hint="eastAsia" w:hAnsi="宋体" w:cs="宋体"/>
          <w:sz w:val="24"/>
          <w:szCs w:val="24"/>
          <w:vertAlign w:val="superscript"/>
          <w:lang w:val="zh-CN"/>
        </w:rPr>
        <w:t>3</w:t>
      </w:r>
      <w:r>
        <w:rPr>
          <w:rFonts w:hint="eastAsia" w:hAnsi="宋体"/>
          <w:sz w:val="24"/>
          <w:szCs w:val="24"/>
        </w:rPr>
        <w:t>），则终采后剥离量约5043</w:t>
      </w:r>
      <w:r>
        <w:rPr>
          <w:rFonts w:hint="eastAsia" w:hAnsi="宋体" w:cs="宋体"/>
          <w:sz w:val="24"/>
          <w:szCs w:val="24"/>
          <w:lang w:val="zh-CN"/>
        </w:rPr>
        <w:t>m</w:t>
      </w:r>
      <w:r>
        <w:rPr>
          <w:rFonts w:hint="eastAsia" w:hAnsi="宋体" w:cs="宋体"/>
          <w:sz w:val="24"/>
          <w:szCs w:val="24"/>
          <w:vertAlign w:val="superscript"/>
          <w:lang w:val="zh-CN"/>
        </w:rPr>
        <w:t>3</w:t>
      </w:r>
      <w:r>
        <w:rPr>
          <w:rFonts w:hint="eastAsia" w:hAnsi="宋体"/>
          <w:sz w:val="24"/>
          <w:szCs w:val="24"/>
        </w:rPr>
        <w:t>。剥离的废石</w:t>
      </w:r>
      <w:r>
        <w:rPr>
          <w:rFonts w:hint="eastAsia" w:hAnsi="宋体"/>
          <w:bCs/>
          <w:sz w:val="24"/>
          <w:szCs w:val="24"/>
        </w:rPr>
        <w:t>运到排土场内集中堆放，堆置范围小，不会构成危害。废石中不含放射性物质和其它有害物质，不会对周围环境造成危害。</w:t>
      </w:r>
    </w:p>
    <w:p>
      <w:pPr>
        <w:pStyle w:val="12"/>
        <w:spacing w:after="0" w:line="360" w:lineRule="auto"/>
        <w:ind w:firstLine="480" w:firstLineChars="200"/>
        <w:jc w:val="both"/>
        <w:rPr>
          <w:rFonts w:hint="eastAsia" w:hAnsi="宋体"/>
          <w:bCs/>
          <w:sz w:val="24"/>
          <w:szCs w:val="24"/>
        </w:rPr>
      </w:pPr>
      <w:r>
        <w:rPr>
          <w:rFonts w:hint="eastAsia" w:hAnsi="宋体"/>
          <w:bCs/>
          <w:sz w:val="24"/>
          <w:szCs w:val="24"/>
        </w:rPr>
        <w:t>（2）废水</w:t>
      </w:r>
    </w:p>
    <w:p>
      <w:pPr>
        <w:spacing w:line="360" w:lineRule="auto"/>
        <w:ind w:firstLine="480" w:firstLineChars="200"/>
        <w:rPr>
          <w:rFonts w:hint="eastAsia" w:ascii="宋体" w:hAnsi="宋体"/>
          <w:sz w:val="24"/>
        </w:rPr>
      </w:pPr>
      <w:r>
        <w:rPr>
          <w:rFonts w:hint="eastAsia" w:ascii="宋体" w:hAnsi="宋体"/>
          <w:sz w:val="24"/>
        </w:rPr>
        <w:t>矿山生产中排出的废水主要为采场内涌水</w:t>
      </w:r>
      <w:r>
        <w:rPr>
          <w:rFonts w:ascii="宋体" w:hAnsi="宋体"/>
          <w:sz w:val="24"/>
        </w:rPr>
        <w:t>和生活污水。</w:t>
      </w:r>
    </w:p>
    <w:p>
      <w:pPr>
        <w:spacing w:line="360" w:lineRule="auto"/>
        <w:ind w:firstLine="480" w:firstLineChars="200"/>
        <w:rPr>
          <w:rFonts w:hint="eastAsia" w:ascii="宋体" w:hAnsi="宋体"/>
          <w:sz w:val="24"/>
        </w:rPr>
      </w:pPr>
      <w:r>
        <w:rPr>
          <w:rFonts w:hint="eastAsia" w:ascii="宋体" w:hAnsi="宋体"/>
          <w:sz w:val="24"/>
        </w:rPr>
        <w:t>露天采场内排出的地下水仅含固体颗粒物，水质与当地农业生产抽取的地下水一致，可用于</w:t>
      </w:r>
      <w:r>
        <w:rPr>
          <w:rFonts w:hint="eastAsia" w:ascii="宋体" w:hAnsi="宋体" w:cs="宋体"/>
          <w:sz w:val="24"/>
        </w:rPr>
        <w:t>绿化或道路降尘等，不会对周围环境造成危害。</w:t>
      </w:r>
    </w:p>
    <w:p>
      <w:pPr>
        <w:spacing w:line="360" w:lineRule="auto"/>
        <w:ind w:firstLine="480" w:firstLineChars="200"/>
        <w:rPr>
          <w:rFonts w:hint="eastAsia" w:ascii="宋体" w:hAnsi="宋体" w:cs="宋体"/>
          <w:sz w:val="24"/>
        </w:rPr>
      </w:pPr>
      <w:r>
        <w:rPr>
          <w:rFonts w:hint="eastAsia" w:ascii="宋体" w:hAnsi="宋体" w:cs="宋体"/>
          <w:sz w:val="24"/>
        </w:rPr>
        <w:t>生活污水主要为生活废水及排泄物，排放生活污水量小。生活污水的主要污染因子是COD、BOD5、SS，无有害污染物，生活污水排放量小，成分简单，经简单处理后可用于矿区绿化或道路降尘。</w:t>
      </w:r>
    </w:p>
    <w:p>
      <w:pPr>
        <w:spacing w:line="360" w:lineRule="auto"/>
        <w:ind w:firstLine="480" w:firstLineChars="200"/>
        <w:rPr>
          <w:rFonts w:ascii="宋体" w:hAnsi="宋体"/>
          <w:sz w:val="24"/>
        </w:rPr>
      </w:pPr>
      <w:r>
        <w:rPr>
          <w:rFonts w:ascii="宋体" w:hAnsi="宋体"/>
          <w:sz w:val="24"/>
        </w:rPr>
        <w:t>（</w:t>
      </w:r>
      <w:r>
        <w:rPr>
          <w:rFonts w:hint="eastAsia" w:ascii="宋体" w:hAnsi="宋体"/>
          <w:sz w:val="24"/>
        </w:rPr>
        <w:t>3</w:t>
      </w:r>
      <w:r>
        <w:rPr>
          <w:rFonts w:ascii="宋体" w:hAnsi="宋体"/>
          <w:sz w:val="24"/>
        </w:rPr>
        <w:t>）</w:t>
      </w:r>
      <w:r>
        <w:rPr>
          <w:rFonts w:hint="eastAsia" w:ascii="宋体" w:hAnsi="宋体"/>
          <w:sz w:val="24"/>
        </w:rPr>
        <w:t>废气</w:t>
      </w:r>
    </w:p>
    <w:p>
      <w:pPr>
        <w:spacing w:line="360" w:lineRule="auto"/>
        <w:ind w:firstLine="480" w:firstLineChars="200"/>
        <w:rPr>
          <w:rFonts w:hint="eastAsia" w:ascii="宋体" w:hAnsi="宋体" w:cs="宋体"/>
          <w:sz w:val="24"/>
        </w:rPr>
      </w:pPr>
      <w:r>
        <w:rPr>
          <w:rFonts w:hint="eastAsia" w:ascii="宋体" w:hAnsi="宋体" w:cs="宋体"/>
          <w:sz w:val="24"/>
        </w:rPr>
        <w:t>矿山计划不进行爆破采矿，产生部分粉尘，道路运输也会引起粉尘。由于废气中含有有害气体少，粉尘进入大气稀释后，对环境影响不大。</w:t>
      </w:r>
    </w:p>
    <w:p>
      <w:pPr>
        <w:pStyle w:val="8"/>
        <w:spacing w:line="360" w:lineRule="auto"/>
        <w:ind w:firstLine="480" w:firstLineChars="200"/>
        <w:rPr>
          <w:sz w:val="24"/>
          <w:szCs w:val="24"/>
          <w:lang w:eastAsia="zh-CN"/>
        </w:rPr>
      </w:pPr>
      <w:r>
        <w:rPr>
          <w:sz w:val="24"/>
          <w:szCs w:val="24"/>
          <w:lang w:eastAsia="zh-CN"/>
        </w:rPr>
        <w:t>总之</w:t>
      </w:r>
      <w:r>
        <w:rPr>
          <w:spacing w:val="-32"/>
          <w:sz w:val="24"/>
          <w:szCs w:val="24"/>
          <w:lang w:eastAsia="zh-CN"/>
        </w:rPr>
        <w:t>，</w:t>
      </w:r>
      <w:r>
        <w:rPr>
          <w:sz w:val="24"/>
          <w:szCs w:val="24"/>
          <w:lang w:eastAsia="zh-CN"/>
        </w:rPr>
        <w:t>矿区严格按照相关行业规范设计</w:t>
      </w:r>
      <w:r>
        <w:rPr>
          <w:spacing w:val="-32"/>
          <w:sz w:val="24"/>
          <w:szCs w:val="24"/>
          <w:lang w:eastAsia="zh-CN"/>
        </w:rPr>
        <w:t>、</w:t>
      </w:r>
      <w:r>
        <w:rPr>
          <w:sz w:val="24"/>
          <w:szCs w:val="24"/>
          <w:lang w:eastAsia="zh-CN"/>
        </w:rPr>
        <w:t>生产</w:t>
      </w:r>
      <w:r>
        <w:rPr>
          <w:spacing w:val="-32"/>
          <w:sz w:val="24"/>
          <w:szCs w:val="24"/>
          <w:lang w:eastAsia="zh-CN"/>
        </w:rPr>
        <w:t>，</w:t>
      </w:r>
      <w:r>
        <w:rPr>
          <w:sz w:val="24"/>
          <w:szCs w:val="24"/>
          <w:lang w:eastAsia="zh-CN"/>
        </w:rPr>
        <w:t>潜在污染场地对生态环境的影响将降到最小。</w:t>
      </w:r>
    </w:p>
    <w:p>
      <w:pPr>
        <w:spacing w:line="360" w:lineRule="auto"/>
        <w:ind w:firstLine="587" w:firstLineChars="236"/>
        <w:textAlignment w:val="center"/>
        <w:rPr>
          <w:b/>
          <w:spacing w:val="4"/>
          <w:sz w:val="24"/>
        </w:rPr>
      </w:pPr>
      <w:bookmarkStart w:id="9" w:name="_Toc23472"/>
      <w:r>
        <w:rPr>
          <w:rFonts w:hint="eastAsia"/>
          <w:b/>
          <w:spacing w:val="4"/>
          <w:sz w:val="24"/>
        </w:rPr>
        <w:t>(二)矿山地质环境问题预测</w:t>
      </w:r>
      <w:bookmarkEnd w:id="9"/>
    </w:p>
    <w:p>
      <w:pPr>
        <w:pStyle w:val="8"/>
        <w:spacing w:line="360" w:lineRule="auto"/>
        <w:ind w:firstLine="496" w:firstLineChars="200"/>
        <w:rPr>
          <w:sz w:val="24"/>
          <w:szCs w:val="24"/>
        </w:rPr>
      </w:pPr>
      <w:r>
        <w:rPr>
          <w:rFonts w:hint="eastAsia"/>
          <w:spacing w:val="4"/>
          <w:sz w:val="24"/>
          <w:szCs w:val="24"/>
        </w:rPr>
        <w:t>矿山本年度不生产活动，</w:t>
      </w:r>
      <w:r>
        <w:rPr>
          <w:rFonts w:hint="eastAsia"/>
          <w:spacing w:val="4"/>
          <w:sz w:val="24"/>
          <w:szCs w:val="24"/>
          <w:lang w:eastAsia="zh-CN"/>
        </w:rPr>
        <w:t>只</w:t>
      </w:r>
      <w:r>
        <w:rPr>
          <w:rFonts w:hint="eastAsia"/>
          <w:spacing w:val="4"/>
          <w:sz w:val="24"/>
        </w:rPr>
        <w:t>拟建取土场，取土</w:t>
      </w:r>
      <w:r>
        <w:rPr>
          <w:sz w:val="24"/>
          <w:szCs w:val="24"/>
        </w:rPr>
        <w:t>设立于</w:t>
      </w:r>
      <w:r>
        <w:rPr>
          <w:rFonts w:hint="eastAsia"/>
          <w:sz w:val="24"/>
          <w:szCs w:val="24"/>
        </w:rPr>
        <w:t>2#露天采场西南部，场地面积0.</w:t>
      </w:r>
      <w:r>
        <w:rPr>
          <w:rFonts w:hint="eastAsia"/>
          <w:sz w:val="24"/>
          <w:szCs w:val="24"/>
          <w:lang w:eastAsia="zh-CN"/>
        </w:rPr>
        <w:t>2946</w:t>
      </w:r>
      <w:r>
        <w:rPr>
          <w:rFonts w:hint="eastAsia"/>
          <w:sz w:val="24"/>
          <w:szCs w:val="24"/>
        </w:rPr>
        <w:t>h</w:t>
      </w:r>
      <w:r>
        <w:rPr>
          <w:rFonts w:hint="eastAsia"/>
          <w:sz w:val="24"/>
        </w:rPr>
        <w:t>m</w:t>
      </w:r>
      <w:r>
        <w:rPr>
          <w:rFonts w:hint="eastAsia"/>
          <w:sz w:val="24"/>
          <w:vertAlign w:val="superscript"/>
        </w:rPr>
        <w:t>2</w:t>
      </w:r>
      <w:r>
        <w:rPr>
          <w:rFonts w:hint="eastAsia"/>
          <w:sz w:val="24"/>
        </w:rPr>
        <w:t>，土层厚度约</w:t>
      </w:r>
      <w:r>
        <w:rPr>
          <w:rFonts w:hint="eastAsia"/>
          <w:sz w:val="24"/>
          <w:lang w:eastAsia="zh-CN"/>
        </w:rPr>
        <w:t>5</w:t>
      </w:r>
      <w:r>
        <w:rPr>
          <w:rFonts w:hint="eastAsia"/>
          <w:sz w:val="24"/>
        </w:rPr>
        <w:t>-10m，设计取土厚度</w:t>
      </w:r>
      <w:r>
        <w:rPr>
          <w:rFonts w:hint="eastAsia"/>
          <w:sz w:val="24"/>
          <w:lang w:eastAsia="zh-CN"/>
        </w:rPr>
        <w:t>3-4</w:t>
      </w:r>
      <w:r>
        <w:rPr>
          <w:rFonts w:hint="eastAsia"/>
          <w:sz w:val="24"/>
        </w:rPr>
        <w:t>m，</w:t>
      </w:r>
      <w:r>
        <w:rPr>
          <w:rFonts w:hint="eastAsia"/>
          <w:sz w:val="24"/>
          <w:lang w:eastAsia="zh-CN"/>
        </w:rPr>
        <w:t>地质灾害不发育，影响了地形地貌景观，无污染，不会破坏含水层结构</w:t>
      </w:r>
      <w:r>
        <w:rPr>
          <w:rFonts w:hint="eastAsia"/>
          <w:spacing w:val="4"/>
          <w:sz w:val="24"/>
          <w:szCs w:val="24"/>
          <w:lang w:eastAsia="zh-CN"/>
        </w:rPr>
        <w:t>，</w:t>
      </w:r>
      <w:r>
        <w:rPr>
          <w:rFonts w:hint="eastAsia"/>
          <w:bCs/>
          <w:sz w:val="24"/>
          <w:szCs w:val="24"/>
        </w:rPr>
        <w:t>预测矿山地质环境问题与现状一致，所以本章节不再叙述。</w:t>
      </w:r>
    </w:p>
    <w:p>
      <w:pPr>
        <w:pStyle w:val="2"/>
        <w:jc w:val="center"/>
        <w:rPr>
          <w:rFonts w:hint="eastAsia" w:ascii="宋体" w:hAnsi="宋体" w:eastAsia="宋体"/>
          <w:sz w:val="36"/>
          <w:szCs w:val="36"/>
        </w:rPr>
      </w:pPr>
      <w:bookmarkStart w:id="10" w:name="_Toc148251064"/>
      <w:r>
        <w:rPr>
          <w:rFonts w:hint="eastAsia" w:ascii="宋体" w:hAnsi="宋体" w:eastAsia="宋体"/>
          <w:sz w:val="36"/>
          <w:szCs w:val="36"/>
        </w:rPr>
        <w:t>四</w:t>
      </w:r>
      <w:r>
        <w:rPr>
          <w:rFonts w:ascii="宋体" w:hAnsi="宋体" w:eastAsia="宋体"/>
          <w:sz w:val="36"/>
          <w:szCs w:val="36"/>
        </w:rPr>
        <w:t>、矿山土地损毁现状</w:t>
      </w:r>
      <w:bookmarkEnd w:id="10"/>
    </w:p>
    <w:p>
      <w:pPr>
        <w:spacing w:line="360" w:lineRule="auto"/>
        <w:ind w:firstLine="480" w:firstLineChars="200"/>
        <w:rPr>
          <w:rFonts w:ascii="宋体" w:hAnsi="宋体"/>
          <w:snapToGrid w:val="0"/>
          <w:kern w:val="0"/>
          <w:sz w:val="24"/>
        </w:rPr>
      </w:pPr>
      <w:r>
        <w:rPr>
          <w:rFonts w:ascii="宋体" w:hAnsi="宋体"/>
          <w:snapToGrid w:val="0"/>
          <w:kern w:val="0"/>
          <w:sz w:val="24"/>
        </w:rPr>
        <w:t>通过现场调查，龙宝山高岭土矿已损毁土地的破坏形式为地面工程建 筑物造成的压占损毁和挖损损毁，分别详述如下：</w:t>
      </w:r>
    </w:p>
    <w:p>
      <w:pPr>
        <w:spacing w:line="360" w:lineRule="auto"/>
        <w:ind w:firstLine="480" w:firstLineChars="200"/>
        <w:rPr>
          <w:rFonts w:ascii="宋体" w:hAnsi="宋体" w:cs="宋体"/>
          <w:sz w:val="24"/>
        </w:rPr>
      </w:pPr>
      <w:r>
        <w:rPr>
          <w:rFonts w:hint="eastAsia" w:ascii="宋体" w:hAnsi="宋体" w:cs="宋体"/>
          <w:sz w:val="24"/>
        </w:rPr>
        <w:t>（1）1#</w:t>
      </w:r>
      <w:r>
        <w:rPr>
          <w:rFonts w:ascii="宋体" w:hAnsi="宋体" w:cs="宋体"/>
          <w:sz w:val="24"/>
        </w:rPr>
        <w:t>露天采场</w:t>
      </w:r>
    </w:p>
    <w:p>
      <w:pPr>
        <w:pStyle w:val="8"/>
        <w:spacing w:line="360" w:lineRule="auto"/>
        <w:ind w:firstLine="556" w:firstLineChars="232"/>
        <w:rPr>
          <w:rFonts w:hint="eastAsia"/>
          <w:sz w:val="24"/>
          <w:szCs w:val="24"/>
          <w:lang w:eastAsia="zh-CN"/>
        </w:rPr>
      </w:pPr>
      <w:r>
        <w:rPr>
          <w:rFonts w:hint="eastAsia"/>
          <w:sz w:val="24"/>
          <w:szCs w:val="24"/>
        </w:rPr>
        <w:t>1#露天采场损毁土地面积2.5519hm</w:t>
      </w:r>
      <w:r>
        <w:rPr>
          <w:rFonts w:hint="eastAsia"/>
          <w:sz w:val="24"/>
          <w:szCs w:val="24"/>
          <w:vertAlign w:val="superscript"/>
        </w:rPr>
        <w:t>2</w:t>
      </w:r>
      <w:r>
        <w:rPr>
          <w:rFonts w:hint="eastAsia"/>
          <w:sz w:val="24"/>
          <w:szCs w:val="24"/>
        </w:rPr>
        <w:t>，开采标高为588.99-623m, 最大采深约34</w:t>
      </w:r>
      <w:r>
        <w:rPr>
          <w:sz w:val="24"/>
          <w:szCs w:val="24"/>
        </w:rPr>
        <w:t>m</w:t>
      </w:r>
      <w:r>
        <w:rPr>
          <w:rFonts w:hint="eastAsia"/>
          <w:sz w:val="24"/>
          <w:szCs w:val="24"/>
        </w:rPr>
        <w:t>，边坡角约25-</w:t>
      </w:r>
      <w:r>
        <w:rPr>
          <w:sz w:val="24"/>
          <w:szCs w:val="24"/>
        </w:rPr>
        <w:t xml:space="preserve"> </w:t>
      </w:r>
      <w:r>
        <w:rPr>
          <w:rFonts w:hint="eastAsia"/>
          <w:sz w:val="24"/>
          <w:szCs w:val="24"/>
        </w:rPr>
        <w:t>80</w:t>
      </w:r>
      <w:r>
        <w:rPr>
          <w:sz w:val="24"/>
          <w:szCs w:val="24"/>
        </w:rPr>
        <w:t>°</w:t>
      </w:r>
      <w:r>
        <w:rPr>
          <w:rFonts w:hint="eastAsia"/>
          <w:sz w:val="24"/>
          <w:szCs w:val="24"/>
        </w:rPr>
        <w:t>，损毁形式主要为挖损。</w:t>
      </w:r>
      <w:r>
        <w:rPr>
          <w:sz w:val="24"/>
          <w:szCs w:val="24"/>
          <w:lang w:eastAsia="zh-CN"/>
        </w:rPr>
        <w:t>破坏土地利用类型一级地类为林地、</w:t>
      </w:r>
      <w:r>
        <w:rPr>
          <w:sz w:val="24"/>
          <w:szCs w:val="24"/>
        </w:rPr>
        <w:t>工矿仓储用地</w:t>
      </w:r>
      <w:r>
        <w:rPr>
          <w:rFonts w:hint="eastAsia"/>
          <w:sz w:val="24"/>
          <w:szCs w:val="24"/>
          <w:lang w:eastAsia="zh-CN"/>
        </w:rPr>
        <w:t>，</w:t>
      </w:r>
      <w:r>
        <w:rPr>
          <w:sz w:val="24"/>
          <w:szCs w:val="24"/>
          <w:lang w:eastAsia="zh-CN"/>
        </w:rPr>
        <w:t>二级地类为</w:t>
      </w:r>
      <w:r>
        <w:rPr>
          <w:sz w:val="24"/>
          <w:szCs w:val="24"/>
        </w:rPr>
        <w:t>乔木林地</w:t>
      </w:r>
      <w:r>
        <w:rPr>
          <w:rFonts w:hint="eastAsia"/>
          <w:sz w:val="24"/>
          <w:szCs w:val="24"/>
        </w:rPr>
        <w:t>0.0</w:t>
      </w:r>
      <w:r>
        <w:rPr>
          <w:rFonts w:hint="eastAsia"/>
          <w:sz w:val="24"/>
          <w:szCs w:val="24"/>
          <w:lang w:eastAsia="zh-CN"/>
        </w:rPr>
        <w:t>179m</w:t>
      </w:r>
      <w:r>
        <w:rPr>
          <w:rFonts w:hint="eastAsia"/>
          <w:sz w:val="24"/>
          <w:szCs w:val="24"/>
          <w:vertAlign w:val="superscript"/>
          <w:lang w:eastAsia="zh-CN"/>
        </w:rPr>
        <w:t>2</w:t>
      </w:r>
      <w:r>
        <w:rPr>
          <w:sz w:val="24"/>
          <w:szCs w:val="24"/>
        </w:rPr>
        <w:t>，</w:t>
      </w:r>
      <w:r>
        <w:rPr>
          <w:sz w:val="24"/>
          <w:szCs w:val="24"/>
          <w:lang w:eastAsia="zh-CN"/>
        </w:rPr>
        <w:t>灌木林地</w:t>
      </w:r>
      <w:r>
        <w:rPr>
          <w:rFonts w:hint="eastAsia"/>
          <w:sz w:val="24"/>
          <w:szCs w:val="24"/>
        </w:rPr>
        <w:t>0.0</w:t>
      </w:r>
      <w:r>
        <w:rPr>
          <w:rFonts w:hint="eastAsia"/>
          <w:sz w:val="24"/>
          <w:szCs w:val="24"/>
          <w:lang w:eastAsia="zh-CN"/>
        </w:rPr>
        <w:t>403</w:t>
      </w:r>
      <w:r>
        <w:rPr>
          <w:rFonts w:hint="eastAsia"/>
          <w:sz w:val="24"/>
          <w:szCs w:val="24"/>
        </w:rPr>
        <w:t>h</w:t>
      </w:r>
      <w:r>
        <w:rPr>
          <w:rFonts w:hint="eastAsia"/>
          <w:sz w:val="24"/>
          <w:szCs w:val="24"/>
          <w:lang w:eastAsia="zh-CN"/>
        </w:rPr>
        <w:t>m</w:t>
      </w:r>
      <w:r>
        <w:rPr>
          <w:rFonts w:hint="eastAsia"/>
          <w:sz w:val="24"/>
          <w:szCs w:val="24"/>
          <w:vertAlign w:val="superscript"/>
          <w:lang w:eastAsia="zh-CN"/>
        </w:rPr>
        <w:t>2</w:t>
      </w:r>
      <w:r>
        <w:rPr>
          <w:sz w:val="24"/>
          <w:szCs w:val="24"/>
        </w:rPr>
        <w:t>，采矿用地</w:t>
      </w:r>
      <w:r>
        <w:rPr>
          <w:rFonts w:hint="eastAsia"/>
          <w:sz w:val="24"/>
          <w:szCs w:val="24"/>
          <w:lang w:eastAsia="zh-CN"/>
        </w:rPr>
        <w:t>2</w:t>
      </w:r>
      <w:r>
        <w:rPr>
          <w:rFonts w:hint="eastAsia"/>
          <w:sz w:val="24"/>
          <w:szCs w:val="24"/>
        </w:rPr>
        <w:t>.</w:t>
      </w:r>
      <w:r>
        <w:rPr>
          <w:rFonts w:hint="eastAsia"/>
          <w:sz w:val="24"/>
          <w:szCs w:val="24"/>
          <w:lang w:eastAsia="zh-CN"/>
        </w:rPr>
        <w:t>4937</w:t>
      </w:r>
      <w:r>
        <w:rPr>
          <w:rFonts w:hint="eastAsia"/>
          <w:sz w:val="24"/>
          <w:szCs w:val="24"/>
        </w:rPr>
        <w:t>h</w:t>
      </w:r>
      <w:r>
        <w:rPr>
          <w:rFonts w:hint="eastAsia"/>
          <w:sz w:val="24"/>
          <w:szCs w:val="24"/>
          <w:lang w:eastAsia="zh-CN"/>
        </w:rPr>
        <w:t>m</w:t>
      </w:r>
      <w:r>
        <w:rPr>
          <w:rFonts w:hint="eastAsia"/>
          <w:sz w:val="24"/>
          <w:szCs w:val="24"/>
          <w:vertAlign w:val="superscript"/>
          <w:lang w:eastAsia="zh-CN"/>
        </w:rPr>
        <w:t>2</w:t>
      </w:r>
      <w:r>
        <w:rPr>
          <w:sz w:val="24"/>
          <w:szCs w:val="24"/>
          <w:lang w:eastAsia="zh-CN"/>
        </w:rPr>
        <w:t>。</w:t>
      </w:r>
      <w:r>
        <w:rPr>
          <w:sz w:val="24"/>
        </w:rPr>
        <w:t>损毁程度为重度</w:t>
      </w:r>
    </w:p>
    <w:p>
      <w:pPr>
        <w:spacing w:line="360" w:lineRule="auto"/>
        <w:ind w:firstLine="480" w:firstLineChars="200"/>
        <w:rPr>
          <w:rFonts w:ascii="宋体" w:hAnsi="宋体" w:cs="宋体"/>
          <w:sz w:val="24"/>
        </w:rPr>
      </w:pPr>
      <w:r>
        <w:rPr>
          <w:rFonts w:hint="eastAsia" w:ascii="宋体" w:hAnsi="宋体" w:cs="宋体"/>
          <w:sz w:val="24"/>
        </w:rPr>
        <w:t>（2）2#</w:t>
      </w:r>
      <w:r>
        <w:rPr>
          <w:rFonts w:ascii="宋体" w:hAnsi="宋体" w:cs="宋体"/>
          <w:sz w:val="24"/>
        </w:rPr>
        <w:t>露天采场</w:t>
      </w:r>
    </w:p>
    <w:p>
      <w:pPr>
        <w:spacing w:line="360" w:lineRule="auto"/>
        <w:ind w:firstLine="436" w:firstLineChars="182"/>
        <w:rPr>
          <w:rFonts w:ascii="宋体" w:hAnsi="宋体"/>
          <w:sz w:val="24"/>
        </w:rPr>
      </w:pPr>
      <w:r>
        <w:rPr>
          <w:rFonts w:hint="eastAsia" w:ascii="宋体" w:hAnsi="宋体"/>
          <w:sz w:val="24"/>
        </w:rPr>
        <w:t>2#露天采场处于治理阶段，高差约最45</w:t>
      </w:r>
      <w:r>
        <w:rPr>
          <w:rFonts w:ascii="宋体" w:hAnsi="宋体"/>
          <w:sz w:val="24"/>
        </w:rPr>
        <w:t>m</w:t>
      </w:r>
      <w:r>
        <w:rPr>
          <w:rFonts w:hint="eastAsia" w:ascii="宋体" w:hAnsi="宋体"/>
          <w:sz w:val="24"/>
        </w:rPr>
        <w:t>。平台宽度2-80m，形成不等的台阶，整个采场边坡角约25-</w:t>
      </w:r>
      <w:r>
        <w:rPr>
          <w:rFonts w:ascii="宋体" w:hAnsi="宋体"/>
          <w:sz w:val="24"/>
        </w:rPr>
        <w:t xml:space="preserve"> 80°</w:t>
      </w:r>
      <w:r>
        <w:rPr>
          <w:rFonts w:hint="eastAsia" w:ascii="宋体" w:hAnsi="宋体"/>
          <w:sz w:val="24"/>
        </w:rPr>
        <w:t>，损毁土地面积1.4750h</w:t>
      </w:r>
      <w:r>
        <w:rPr>
          <w:rFonts w:ascii="宋体" w:hAnsi="宋体"/>
          <w:sz w:val="24"/>
        </w:rPr>
        <w:t>m²</w:t>
      </w:r>
      <w:r>
        <w:rPr>
          <w:rFonts w:hint="eastAsia" w:ascii="宋体" w:hAnsi="宋体"/>
          <w:sz w:val="24"/>
        </w:rPr>
        <w:t>。损毁形式主要为挖损。</w:t>
      </w:r>
      <w:r>
        <w:rPr>
          <w:rFonts w:ascii="宋体" w:hAnsi="宋体"/>
          <w:sz w:val="24"/>
        </w:rPr>
        <w:t>破坏土地利用类型一级地类为林地、工矿仓储用地</w:t>
      </w:r>
      <w:r>
        <w:rPr>
          <w:rFonts w:hint="eastAsia" w:ascii="宋体" w:hAnsi="宋体"/>
          <w:sz w:val="24"/>
        </w:rPr>
        <w:t>，</w:t>
      </w:r>
      <w:r>
        <w:rPr>
          <w:rFonts w:ascii="宋体" w:hAnsi="宋体"/>
          <w:sz w:val="24"/>
        </w:rPr>
        <w:t>二级地类为乔木林地</w:t>
      </w:r>
      <w:r>
        <w:rPr>
          <w:rFonts w:hint="eastAsia" w:ascii="宋体" w:hAnsi="宋体"/>
          <w:sz w:val="24"/>
        </w:rPr>
        <w:t>0.1564hm</w:t>
      </w:r>
      <w:r>
        <w:rPr>
          <w:rFonts w:hint="eastAsia" w:ascii="宋体" w:hAnsi="宋体"/>
          <w:sz w:val="24"/>
          <w:vertAlign w:val="superscript"/>
        </w:rPr>
        <w:t>2</w:t>
      </w:r>
      <w:r>
        <w:rPr>
          <w:rFonts w:ascii="宋体" w:hAnsi="宋体"/>
          <w:sz w:val="24"/>
        </w:rPr>
        <w:t>，灌木林地</w:t>
      </w:r>
      <w:r>
        <w:rPr>
          <w:rFonts w:hint="eastAsia" w:ascii="宋体" w:hAnsi="宋体"/>
          <w:sz w:val="24"/>
        </w:rPr>
        <w:t>0.0095hm</w:t>
      </w:r>
      <w:r>
        <w:rPr>
          <w:rFonts w:hint="eastAsia" w:ascii="宋体" w:hAnsi="宋体"/>
          <w:sz w:val="24"/>
          <w:vertAlign w:val="superscript"/>
        </w:rPr>
        <w:t>2</w:t>
      </w:r>
      <w:r>
        <w:rPr>
          <w:rFonts w:ascii="宋体" w:hAnsi="宋体"/>
          <w:sz w:val="24"/>
        </w:rPr>
        <w:t>，采矿用地</w:t>
      </w:r>
      <w:r>
        <w:rPr>
          <w:rFonts w:hint="eastAsia" w:ascii="宋体" w:hAnsi="宋体"/>
          <w:sz w:val="24"/>
        </w:rPr>
        <w:t>1.3091hm</w:t>
      </w:r>
      <w:r>
        <w:rPr>
          <w:rFonts w:hint="eastAsia" w:ascii="宋体" w:hAnsi="宋体"/>
          <w:sz w:val="24"/>
          <w:vertAlign w:val="superscript"/>
        </w:rPr>
        <w:t>2</w:t>
      </w:r>
      <w:r>
        <w:rPr>
          <w:rFonts w:ascii="宋体" w:hAnsi="宋体"/>
          <w:sz w:val="24"/>
        </w:rPr>
        <w:t>，损毁程度为重度。</w:t>
      </w:r>
    </w:p>
    <w:p>
      <w:pPr>
        <w:pStyle w:val="8"/>
        <w:spacing w:line="360" w:lineRule="auto"/>
        <w:ind w:firstLine="480" w:firstLineChars="200"/>
        <w:rPr>
          <w:rFonts w:hint="eastAsia"/>
          <w:sz w:val="24"/>
          <w:lang w:eastAsia="zh-CN"/>
        </w:rPr>
      </w:pPr>
      <w:r>
        <w:rPr>
          <w:rFonts w:hint="eastAsia"/>
          <w:sz w:val="24"/>
          <w:lang w:eastAsia="zh-CN"/>
        </w:rPr>
        <w:t>（3）</w:t>
      </w:r>
      <w:r>
        <w:rPr>
          <w:rFonts w:hint="eastAsia"/>
          <w:sz w:val="24"/>
        </w:rPr>
        <w:t>探坑</w:t>
      </w:r>
    </w:p>
    <w:p>
      <w:pPr>
        <w:pStyle w:val="8"/>
        <w:spacing w:line="360" w:lineRule="auto"/>
        <w:ind w:firstLine="480" w:firstLineChars="200"/>
        <w:rPr>
          <w:sz w:val="24"/>
          <w:szCs w:val="24"/>
          <w:lang w:eastAsia="zh-CN"/>
        </w:rPr>
      </w:pPr>
      <w:r>
        <w:rPr>
          <w:rFonts w:hint="eastAsia"/>
          <w:sz w:val="24"/>
        </w:rPr>
        <w:t>探坑损毁土地面积0.0</w:t>
      </w:r>
      <w:r>
        <w:rPr>
          <w:rFonts w:hint="eastAsia"/>
          <w:sz w:val="24"/>
          <w:lang w:eastAsia="zh-CN"/>
        </w:rPr>
        <w:t>620</w:t>
      </w:r>
      <w:r>
        <w:rPr>
          <w:rFonts w:hint="eastAsia"/>
          <w:sz w:val="24"/>
        </w:rPr>
        <w:t>hm</w:t>
      </w:r>
      <w:r>
        <w:rPr>
          <w:rFonts w:hint="eastAsia"/>
          <w:sz w:val="24"/>
          <w:vertAlign w:val="superscript"/>
        </w:rPr>
        <w:t>2</w:t>
      </w:r>
      <w:r>
        <w:rPr>
          <w:rFonts w:hint="eastAsia"/>
          <w:sz w:val="24"/>
          <w:lang w:eastAsia="zh-CN"/>
        </w:rPr>
        <w:t>,</w:t>
      </w:r>
      <w:r>
        <w:rPr>
          <w:rFonts w:hint="eastAsia"/>
          <w:sz w:val="24"/>
        </w:rPr>
        <w:t>标高为630.74-621.14m,最大采深约9</w:t>
      </w:r>
      <w:r>
        <w:rPr>
          <w:sz w:val="24"/>
        </w:rPr>
        <w:t>m</w:t>
      </w:r>
      <w:r>
        <w:rPr>
          <w:rFonts w:hint="eastAsia"/>
          <w:sz w:val="24"/>
        </w:rPr>
        <w:t>，边坡角约</w:t>
      </w:r>
      <w:r>
        <w:rPr>
          <w:rFonts w:hint="eastAsia"/>
          <w:sz w:val="24"/>
          <w:lang w:eastAsia="zh-CN"/>
        </w:rPr>
        <w:t>4</w:t>
      </w:r>
      <w:r>
        <w:rPr>
          <w:rFonts w:hint="eastAsia"/>
          <w:sz w:val="24"/>
        </w:rPr>
        <w:t>5</w:t>
      </w:r>
      <w:r>
        <w:rPr>
          <w:sz w:val="24"/>
        </w:rPr>
        <w:t>°</w:t>
      </w:r>
      <w:r>
        <w:rPr>
          <w:rFonts w:hint="eastAsia"/>
          <w:sz w:val="24"/>
        </w:rPr>
        <w:t>，局部近直立，损毁形式主要为挖损。</w:t>
      </w:r>
      <w:r>
        <w:rPr>
          <w:sz w:val="24"/>
          <w:szCs w:val="24"/>
          <w:lang w:eastAsia="zh-CN"/>
        </w:rPr>
        <w:t>破坏土地利用类型一级地类为林地、</w:t>
      </w:r>
      <w:r>
        <w:rPr>
          <w:rFonts w:hint="eastAsia"/>
          <w:sz w:val="24"/>
          <w:szCs w:val="24"/>
          <w:lang w:eastAsia="zh-CN"/>
        </w:rPr>
        <w:t>交通</w:t>
      </w:r>
      <w:r>
        <w:rPr>
          <w:sz w:val="24"/>
          <w:szCs w:val="24"/>
        </w:rPr>
        <w:t>运输用地</w:t>
      </w:r>
      <w:r>
        <w:rPr>
          <w:rFonts w:hint="eastAsia"/>
          <w:sz w:val="24"/>
          <w:szCs w:val="24"/>
          <w:lang w:eastAsia="zh-CN"/>
        </w:rPr>
        <w:t>，</w:t>
      </w:r>
      <w:r>
        <w:rPr>
          <w:sz w:val="24"/>
          <w:szCs w:val="24"/>
          <w:lang w:eastAsia="zh-CN"/>
        </w:rPr>
        <w:t>二级地类为</w:t>
      </w:r>
      <w:r>
        <w:rPr>
          <w:sz w:val="24"/>
          <w:szCs w:val="24"/>
        </w:rPr>
        <w:t>乔木林地</w:t>
      </w:r>
      <w:r>
        <w:rPr>
          <w:rFonts w:hint="eastAsia"/>
          <w:sz w:val="24"/>
          <w:szCs w:val="24"/>
        </w:rPr>
        <w:t>0.0</w:t>
      </w:r>
      <w:r>
        <w:rPr>
          <w:rFonts w:hint="eastAsia"/>
          <w:sz w:val="24"/>
          <w:szCs w:val="24"/>
          <w:lang w:eastAsia="zh-CN"/>
        </w:rPr>
        <w:t>607</w:t>
      </w:r>
      <w:r>
        <w:rPr>
          <w:rFonts w:hint="eastAsia"/>
          <w:sz w:val="24"/>
          <w:szCs w:val="24"/>
        </w:rPr>
        <w:t>hm</w:t>
      </w:r>
      <w:r>
        <w:rPr>
          <w:rFonts w:hint="eastAsia"/>
          <w:sz w:val="24"/>
          <w:szCs w:val="24"/>
          <w:vertAlign w:val="superscript"/>
        </w:rPr>
        <w:t>2</w:t>
      </w:r>
      <w:r>
        <w:rPr>
          <w:sz w:val="24"/>
          <w:szCs w:val="24"/>
        </w:rPr>
        <w:t>，</w:t>
      </w:r>
      <w:r>
        <w:rPr>
          <w:sz w:val="24"/>
          <w:szCs w:val="24"/>
          <w:lang w:eastAsia="zh-CN"/>
        </w:rPr>
        <w:t>农村道路用地</w:t>
      </w:r>
      <w:r>
        <w:rPr>
          <w:rFonts w:hint="eastAsia"/>
          <w:sz w:val="24"/>
          <w:szCs w:val="24"/>
        </w:rPr>
        <w:t>0.00</w:t>
      </w:r>
      <w:r>
        <w:rPr>
          <w:rFonts w:hint="eastAsia"/>
          <w:sz w:val="24"/>
          <w:szCs w:val="24"/>
          <w:lang w:eastAsia="zh-CN"/>
        </w:rPr>
        <w:t>13</w:t>
      </w:r>
      <w:r>
        <w:rPr>
          <w:rFonts w:hint="eastAsia"/>
          <w:sz w:val="24"/>
          <w:szCs w:val="24"/>
        </w:rPr>
        <w:t>hm</w:t>
      </w:r>
      <w:r>
        <w:rPr>
          <w:rFonts w:hint="eastAsia"/>
          <w:sz w:val="24"/>
          <w:szCs w:val="24"/>
          <w:vertAlign w:val="superscript"/>
        </w:rPr>
        <w:t>2</w:t>
      </w:r>
      <w:r>
        <w:rPr>
          <w:sz w:val="24"/>
          <w:szCs w:val="24"/>
        </w:rPr>
        <w:t>，</w:t>
      </w:r>
      <w:r>
        <w:rPr>
          <w:sz w:val="24"/>
          <w:szCs w:val="24"/>
          <w:lang w:eastAsia="zh-CN"/>
        </w:rPr>
        <w:t>损毁程度为</w:t>
      </w:r>
      <w:r>
        <w:rPr>
          <w:rFonts w:hint="eastAsia"/>
          <w:sz w:val="24"/>
          <w:szCs w:val="24"/>
          <w:lang w:eastAsia="zh-CN"/>
        </w:rPr>
        <w:t>中</w:t>
      </w:r>
      <w:r>
        <w:rPr>
          <w:sz w:val="24"/>
          <w:szCs w:val="24"/>
          <w:lang w:eastAsia="zh-CN"/>
        </w:rPr>
        <w:t>度。</w:t>
      </w:r>
    </w:p>
    <w:p>
      <w:pPr>
        <w:spacing w:line="360" w:lineRule="auto"/>
        <w:ind w:firstLine="480" w:firstLineChars="200"/>
        <w:rPr>
          <w:rFonts w:hint="eastAsia" w:ascii="宋体" w:hAnsi="宋体"/>
          <w:sz w:val="24"/>
        </w:rPr>
      </w:pPr>
      <w:r>
        <w:rPr>
          <w:rFonts w:hint="eastAsia" w:ascii="宋体" w:hAnsi="宋体"/>
          <w:sz w:val="24"/>
        </w:rPr>
        <w:t>（4）1#矿石场</w:t>
      </w:r>
    </w:p>
    <w:p>
      <w:pPr>
        <w:pStyle w:val="8"/>
        <w:spacing w:line="360" w:lineRule="auto"/>
        <w:ind w:firstLine="480" w:firstLineChars="200"/>
        <w:rPr>
          <w:sz w:val="24"/>
          <w:szCs w:val="24"/>
          <w:lang w:eastAsia="zh-CN"/>
        </w:rPr>
      </w:pPr>
      <w:r>
        <w:rPr>
          <w:rFonts w:hint="eastAsia"/>
          <w:sz w:val="24"/>
        </w:rPr>
        <w:t>1</w:t>
      </w:r>
      <w:r>
        <w:rPr>
          <w:sz w:val="24"/>
        </w:rPr>
        <w:t>#</w:t>
      </w:r>
      <w:r>
        <w:rPr>
          <w:rFonts w:hint="eastAsia"/>
          <w:sz w:val="24"/>
        </w:rPr>
        <w:t>矿石场面积5.608h</w:t>
      </w:r>
      <w:r>
        <w:rPr>
          <w:sz w:val="24"/>
        </w:rPr>
        <w:t>m</w:t>
      </w:r>
      <w:r>
        <w:rPr>
          <w:sz w:val="24"/>
          <w:vertAlign w:val="superscript"/>
        </w:rPr>
        <w:t>2</w:t>
      </w:r>
      <w:r>
        <w:rPr>
          <w:sz w:val="24"/>
        </w:rPr>
        <w:t>，</w:t>
      </w:r>
      <w:r>
        <w:rPr>
          <w:rFonts w:hint="eastAsia"/>
          <w:sz w:val="24"/>
        </w:rPr>
        <w:t>场地平缓，且无切坡工程，场地内堆放原矿石，最大堆高约4m，堆放坡角约30°，矿石场放方量为7396</w:t>
      </w:r>
      <w:r>
        <w:rPr>
          <w:sz w:val="24"/>
        </w:rPr>
        <w:t>m</w:t>
      </w:r>
      <w:r>
        <w:rPr>
          <w:rFonts w:hint="eastAsia"/>
          <w:sz w:val="24"/>
          <w:vertAlign w:val="superscript"/>
          <w:lang w:eastAsia="zh-CN"/>
        </w:rPr>
        <w:t>3</w:t>
      </w:r>
      <w:r>
        <w:rPr>
          <w:rFonts w:hint="eastAsia"/>
          <w:sz w:val="24"/>
        </w:rPr>
        <w:t>。</w:t>
      </w:r>
      <w:r>
        <w:rPr>
          <w:sz w:val="24"/>
          <w:szCs w:val="24"/>
          <w:lang w:eastAsia="zh-CN"/>
        </w:rPr>
        <w:t>破坏土地利用类型一级地类为林地、</w:t>
      </w:r>
      <w:r>
        <w:rPr>
          <w:rFonts w:hint="eastAsia"/>
          <w:sz w:val="24"/>
          <w:szCs w:val="24"/>
          <w:lang w:eastAsia="zh-CN"/>
        </w:rPr>
        <w:t>交通</w:t>
      </w:r>
      <w:r>
        <w:rPr>
          <w:sz w:val="24"/>
          <w:szCs w:val="24"/>
        </w:rPr>
        <w:t>运输用地</w:t>
      </w:r>
      <w:r>
        <w:rPr>
          <w:rFonts w:hint="eastAsia"/>
          <w:sz w:val="24"/>
          <w:szCs w:val="24"/>
          <w:lang w:eastAsia="zh-CN"/>
        </w:rPr>
        <w:t>，</w:t>
      </w:r>
      <w:r>
        <w:rPr>
          <w:sz w:val="24"/>
          <w:szCs w:val="24"/>
          <w:lang w:eastAsia="zh-CN"/>
        </w:rPr>
        <w:t>二级地类为</w:t>
      </w:r>
      <w:r>
        <w:rPr>
          <w:sz w:val="24"/>
          <w:szCs w:val="24"/>
        </w:rPr>
        <w:t>乔木林地</w:t>
      </w:r>
      <w:r>
        <w:rPr>
          <w:rFonts w:hint="eastAsia"/>
          <w:sz w:val="24"/>
          <w:szCs w:val="24"/>
        </w:rPr>
        <w:t>0.</w:t>
      </w:r>
      <w:r>
        <w:rPr>
          <w:rFonts w:hint="eastAsia"/>
          <w:sz w:val="24"/>
          <w:szCs w:val="24"/>
          <w:lang w:eastAsia="zh-CN"/>
        </w:rPr>
        <w:t>5461</w:t>
      </w:r>
      <w:r>
        <w:rPr>
          <w:rFonts w:hint="eastAsia"/>
          <w:sz w:val="24"/>
          <w:szCs w:val="24"/>
        </w:rPr>
        <w:t>hm</w:t>
      </w:r>
      <w:r>
        <w:rPr>
          <w:rFonts w:hint="eastAsia"/>
          <w:sz w:val="24"/>
          <w:szCs w:val="24"/>
          <w:vertAlign w:val="superscript"/>
        </w:rPr>
        <w:t>2</w:t>
      </w:r>
      <w:r>
        <w:rPr>
          <w:sz w:val="24"/>
          <w:szCs w:val="24"/>
        </w:rPr>
        <w:t>，</w:t>
      </w:r>
      <w:r>
        <w:rPr>
          <w:sz w:val="24"/>
          <w:szCs w:val="24"/>
          <w:lang w:eastAsia="zh-CN"/>
        </w:rPr>
        <w:t>农村道路用地</w:t>
      </w:r>
      <w:r>
        <w:rPr>
          <w:rFonts w:hint="eastAsia"/>
          <w:sz w:val="24"/>
          <w:szCs w:val="24"/>
        </w:rPr>
        <w:t>0.00</w:t>
      </w:r>
      <w:r>
        <w:rPr>
          <w:rFonts w:hint="eastAsia"/>
          <w:sz w:val="24"/>
          <w:szCs w:val="24"/>
          <w:lang w:eastAsia="zh-CN"/>
        </w:rPr>
        <w:t>13</w:t>
      </w:r>
      <w:r>
        <w:rPr>
          <w:rFonts w:hint="eastAsia"/>
          <w:sz w:val="24"/>
          <w:szCs w:val="24"/>
        </w:rPr>
        <w:t>hm</w:t>
      </w:r>
      <w:r>
        <w:rPr>
          <w:rFonts w:hint="eastAsia"/>
          <w:sz w:val="24"/>
          <w:szCs w:val="24"/>
          <w:vertAlign w:val="superscript"/>
        </w:rPr>
        <w:t>2</w:t>
      </w:r>
      <w:r>
        <w:rPr>
          <w:sz w:val="24"/>
          <w:szCs w:val="24"/>
        </w:rPr>
        <w:t>，</w:t>
      </w:r>
      <w:r>
        <w:rPr>
          <w:sz w:val="24"/>
          <w:szCs w:val="24"/>
          <w:lang w:eastAsia="zh-CN"/>
        </w:rPr>
        <w:t>该区域损毁了土地的生态功能</w:t>
      </w:r>
      <w:r>
        <w:rPr>
          <w:spacing w:val="-36"/>
          <w:sz w:val="24"/>
          <w:szCs w:val="24"/>
          <w:lang w:eastAsia="zh-CN"/>
        </w:rPr>
        <w:t>，</w:t>
      </w:r>
      <w:r>
        <w:rPr>
          <w:sz w:val="24"/>
          <w:szCs w:val="24"/>
          <w:lang w:eastAsia="zh-CN"/>
        </w:rPr>
        <w:t>原有植物遭到破坏</w:t>
      </w:r>
      <w:r>
        <w:rPr>
          <w:spacing w:val="-17"/>
          <w:sz w:val="24"/>
          <w:szCs w:val="24"/>
          <w:lang w:eastAsia="zh-CN"/>
        </w:rPr>
        <w:t>，</w:t>
      </w:r>
      <w:r>
        <w:rPr>
          <w:sz w:val="24"/>
          <w:szCs w:val="24"/>
          <w:lang w:eastAsia="zh-CN"/>
        </w:rPr>
        <w:t>损毁类型为压占</w:t>
      </w:r>
      <w:r>
        <w:rPr>
          <w:rFonts w:hint="eastAsia"/>
          <w:spacing w:val="-17"/>
          <w:sz w:val="24"/>
          <w:szCs w:val="24"/>
          <w:lang w:eastAsia="zh-CN"/>
        </w:rPr>
        <w:t>，</w:t>
      </w:r>
      <w:r>
        <w:rPr>
          <w:sz w:val="24"/>
          <w:szCs w:val="24"/>
          <w:lang w:eastAsia="zh-CN"/>
        </w:rPr>
        <w:t>损毁程度为中度。</w:t>
      </w:r>
    </w:p>
    <w:p>
      <w:pPr>
        <w:spacing w:line="360" w:lineRule="auto"/>
        <w:ind w:firstLine="480" w:firstLineChars="200"/>
        <w:rPr>
          <w:rFonts w:hint="eastAsia" w:ascii="宋体" w:hAnsi="宋体"/>
          <w:sz w:val="24"/>
        </w:rPr>
      </w:pPr>
      <w:r>
        <w:rPr>
          <w:rFonts w:hint="eastAsia" w:ascii="宋体" w:hAnsi="宋体"/>
          <w:sz w:val="24"/>
        </w:rPr>
        <w:t>（5）2#矿石场</w:t>
      </w:r>
    </w:p>
    <w:p>
      <w:pPr>
        <w:pStyle w:val="8"/>
        <w:spacing w:line="360" w:lineRule="auto"/>
        <w:ind w:firstLine="480" w:firstLineChars="200"/>
        <w:rPr>
          <w:sz w:val="24"/>
          <w:szCs w:val="24"/>
          <w:lang w:eastAsia="zh-CN"/>
        </w:rPr>
      </w:pPr>
      <w:r>
        <w:rPr>
          <w:rFonts w:hint="eastAsia"/>
          <w:sz w:val="24"/>
        </w:rPr>
        <w:t>2</w:t>
      </w:r>
      <w:r>
        <w:rPr>
          <w:sz w:val="24"/>
        </w:rPr>
        <w:t>#</w:t>
      </w:r>
      <w:r>
        <w:rPr>
          <w:rFonts w:hint="eastAsia"/>
          <w:sz w:val="24"/>
        </w:rPr>
        <w:t>矿石场占地面积0.1262h</w:t>
      </w:r>
      <w:r>
        <w:rPr>
          <w:sz w:val="24"/>
        </w:rPr>
        <w:t>m</w:t>
      </w:r>
      <w:r>
        <w:rPr>
          <w:sz w:val="24"/>
          <w:vertAlign w:val="superscript"/>
        </w:rPr>
        <w:t>2</w:t>
      </w:r>
      <w:r>
        <w:rPr>
          <w:rFonts w:hint="eastAsia"/>
          <w:sz w:val="24"/>
        </w:rPr>
        <w:t>，场地平缓，且无切坡工程，场地内堆放原矿石，最大堆高3m，堆放坡角约30°，原料堆放方量为889.34h</w:t>
      </w:r>
      <w:r>
        <w:rPr>
          <w:sz w:val="24"/>
        </w:rPr>
        <w:t>m</w:t>
      </w:r>
      <w:r>
        <w:rPr>
          <w:rFonts w:hint="eastAsia"/>
          <w:sz w:val="24"/>
          <w:vertAlign w:val="superscript"/>
          <w:lang w:eastAsia="zh-CN"/>
        </w:rPr>
        <w:t>3</w:t>
      </w:r>
      <w:r>
        <w:rPr>
          <w:rFonts w:hint="eastAsia"/>
          <w:sz w:val="24"/>
        </w:rPr>
        <w:t>。</w:t>
      </w:r>
      <w:r>
        <w:rPr>
          <w:sz w:val="24"/>
          <w:szCs w:val="24"/>
          <w:lang w:eastAsia="zh-CN"/>
        </w:rPr>
        <w:t>破坏土地利用类型一级地类为林地</w:t>
      </w:r>
      <w:r>
        <w:rPr>
          <w:rFonts w:hint="eastAsia"/>
          <w:sz w:val="24"/>
          <w:szCs w:val="24"/>
          <w:lang w:eastAsia="zh-CN"/>
        </w:rPr>
        <w:t>，</w:t>
      </w:r>
      <w:r>
        <w:rPr>
          <w:sz w:val="24"/>
          <w:szCs w:val="24"/>
          <w:lang w:eastAsia="zh-CN"/>
        </w:rPr>
        <w:t>二级地类为</w:t>
      </w:r>
      <w:r>
        <w:rPr>
          <w:sz w:val="24"/>
          <w:szCs w:val="24"/>
        </w:rPr>
        <w:t>乔木林地</w:t>
      </w:r>
      <w:r>
        <w:rPr>
          <w:rFonts w:hint="eastAsia"/>
          <w:sz w:val="24"/>
          <w:szCs w:val="24"/>
        </w:rPr>
        <w:t>0.</w:t>
      </w:r>
      <w:r>
        <w:rPr>
          <w:rFonts w:hint="eastAsia"/>
          <w:sz w:val="24"/>
        </w:rPr>
        <w:t>1262h</w:t>
      </w:r>
      <w:r>
        <w:rPr>
          <w:sz w:val="24"/>
        </w:rPr>
        <w:t>m</w:t>
      </w:r>
      <w:r>
        <w:rPr>
          <w:sz w:val="24"/>
          <w:vertAlign w:val="superscript"/>
        </w:rPr>
        <w:t>2</w:t>
      </w:r>
      <w:r>
        <w:rPr>
          <w:sz w:val="24"/>
          <w:szCs w:val="24"/>
        </w:rPr>
        <w:t>，</w:t>
      </w:r>
      <w:r>
        <w:rPr>
          <w:sz w:val="24"/>
          <w:szCs w:val="24"/>
          <w:lang w:eastAsia="zh-CN"/>
        </w:rPr>
        <w:t>损毁类型为压占</w:t>
      </w:r>
      <w:r>
        <w:rPr>
          <w:spacing w:val="-17"/>
          <w:sz w:val="24"/>
          <w:szCs w:val="24"/>
          <w:lang w:eastAsia="zh-CN"/>
        </w:rPr>
        <w:t>，</w:t>
      </w:r>
      <w:r>
        <w:rPr>
          <w:sz w:val="24"/>
          <w:szCs w:val="24"/>
          <w:lang w:eastAsia="zh-CN"/>
        </w:rPr>
        <w:t>损毁程度为中度。</w:t>
      </w:r>
    </w:p>
    <w:p>
      <w:pPr>
        <w:pStyle w:val="8"/>
        <w:spacing w:line="360" w:lineRule="auto"/>
        <w:ind w:firstLine="480" w:firstLineChars="200"/>
        <w:rPr>
          <w:sz w:val="24"/>
        </w:rPr>
      </w:pPr>
      <w:r>
        <w:rPr>
          <w:rFonts w:hint="eastAsia"/>
          <w:sz w:val="24"/>
          <w:lang w:eastAsia="zh-CN"/>
        </w:rPr>
        <w:t>（6）</w:t>
      </w:r>
      <w:r>
        <w:rPr>
          <w:rFonts w:hint="eastAsia"/>
          <w:sz w:val="24"/>
        </w:rPr>
        <w:t>矿区道路</w:t>
      </w:r>
    </w:p>
    <w:p>
      <w:pPr>
        <w:pStyle w:val="8"/>
        <w:spacing w:line="360" w:lineRule="auto"/>
        <w:ind w:firstLine="480" w:firstLineChars="200"/>
        <w:rPr>
          <w:sz w:val="24"/>
          <w:szCs w:val="24"/>
          <w:lang w:eastAsia="zh-CN"/>
        </w:rPr>
      </w:pPr>
      <w:r>
        <w:rPr>
          <w:sz w:val="24"/>
        </w:rPr>
        <w:t>矿区道路已使用多年。</w:t>
      </w:r>
      <w:r>
        <w:rPr>
          <w:rFonts w:hint="eastAsia"/>
          <w:sz w:val="24"/>
        </w:rPr>
        <w:t>道路总长约0.0</w:t>
      </w:r>
      <w:r>
        <w:rPr>
          <w:sz w:val="24"/>
        </w:rPr>
        <w:t>929</w:t>
      </w:r>
      <w:r>
        <w:rPr>
          <w:rFonts w:hint="eastAsia"/>
          <w:sz w:val="24"/>
        </w:rPr>
        <w:t>m，宽约3.0-14.0m，其中村民用路长</w:t>
      </w:r>
      <w:r>
        <w:rPr>
          <w:sz w:val="24"/>
        </w:rPr>
        <w:t>473</w:t>
      </w:r>
      <w:r>
        <w:rPr>
          <w:rFonts w:hint="eastAsia"/>
          <w:sz w:val="24"/>
        </w:rPr>
        <w:t>m，面积0.</w:t>
      </w:r>
      <w:r>
        <w:rPr>
          <w:sz w:val="24"/>
        </w:rPr>
        <w:t>1931</w:t>
      </w:r>
      <w:r>
        <w:rPr>
          <w:rFonts w:hint="eastAsia"/>
          <w:sz w:val="24"/>
        </w:rPr>
        <w:t>h</w:t>
      </w:r>
      <w:r>
        <w:rPr>
          <w:sz w:val="24"/>
        </w:rPr>
        <w:t>m</w:t>
      </w:r>
      <w:r>
        <w:rPr>
          <w:sz w:val="24"/>
          <w:vertAlign w:val="superscript"/>
        </w:rPr>
        <w:t>2</w:t>
      </w:r>
      <w:r>
        <w:rPr>
          <w:rFonts w:hint="eastAsia"/>
          <w:sz w:val="24"/>
        </w:rPr>
        <w:t>，矿区道路长约</w:t>
      </w:r>
      <w:r>
        <w:rPr>
          <w:sz w:val="24"/>
        </w:rPr>
        <w:t>456</w:t>
      </w:r>
      <w:r>
        <w:rPr>
          <w:rFonts w:hint="eastAsia"/>
          <w:sz w:val="24"/>
        </w:rPr>
        <w:t>m，面积0.</w:t>
      </w:r>
      <w:r>
        <w:rPr>
          <w:sz w:val="24"/>
        </w:rPr>
        <w:t>6546</w:t>
      </w:r>
      <w:r>
        <w:rPr>
          <w:rFonts w:hint="eastAsia"/>
          <w:sz w:val="24"/>
        </w:rPr>
        <w:t>h</w:t>
      </w:r>
      <w:r>
        <w:rPr>
          <w:sz w:val="24"/>
        </w:rPr>
        <w:t>m</w:t>
      </w:r>
      <w:r>
        <w:rPr>
          <w:sz w:val="24"/>
          <w:vertAlign w:val="superscript"/>
        </w:rPr>
        <w:t>2</w:t>
      </w:r>
      <w:r>
        <w:rPr>
          <w:rFonts w:hint="eastAsia"/>
          <w:sz w:val="24"/>
        </w:rPr>
        <w:t>，部分道路存在切坡，切坡长3</w:t>
      </w:r>
      <w:r>
        <w:rPr>
          <w:sz w:val="24"/>
        </w:rPr>
        <w:t>55m</w:t>
      </w:r>
      <w:r>
        <w:rPr>
          <w:rFonts w:hint="eastAsia"/>
          <w:sz w:val="24"/>
        </w:rPr>
        <w:t>，高约1</w:t>
      </w:r>
      <w:r>
        <w:rPr>
          <w:sz w:val="24"/>
        </w:rPr>
        <w:t>-</w:t>
      </w:r>
      <w:r>
        <w:rPr>
          <w:rFonts w:hint="eastAsia"/>
          <w:sz w:val="24"/>
        </w:rPr>
        <w:t>5</w:t>
      </w:r>
      <w:r>
        <w:rPr>
          <w:sz w:val="24"/>
        </w:rPr>
        <w:t>m,</w:t>
      </w:r>
      <w:r>
        <w:rPr>
          <w:rFonts w:hint="eastAsia"/>
          <w:sz w:val="24"/>
        </w:rPr>
        <w:t>局部边坡近直立，面积0.4780h</w:t>
      </w:r>
      <w:r>
        <w:rPr>
          <w:sz w:val="24"/>
        </w:rPr>
        <w:t>m</w:t>
      </w:r>
      <w:r>
        <w:rPr>
          <w:sz w:val="24"/>
          <w:vertAlign w:val="superscript"/>
        </w:rPr>
        <w:t>2</w:t>
      </w:r>
      <w:r>
        <w:rPr>
          <w:rFonts w:hint="eastAsia"/>
          <w:sz w:val="24"/>
        </w:rPr>
        <w:t>，平坦道路长</w:t>
      </w:r>
      <w:r>
        <w:rPr>
          <w:sz w:val="24"/>
        </w:rPr>
        <w:t>101</w:t>
      </w:r>
      <w:r>
        <w:rPr>
          <w:rFonts w:hint="eastAsia"/>
          <w:sz w:val="24"/>
        </w:rPr>
        <w:t>m。</w:t>
      </w:r>
      <w:r>
        <w:rPr>
          <w:rFonts w:hint="eastAsia"/>
          <w:sz w:val="24"/>
          <w:szCs w:val="24"/>
        </w:rPr>
        <w:t>损毁形式主要为压占和挖损。</w:t>
      </w:r>
      <w:r>
        <w:rPr>
          <w:sz w:val="24"/>
          <w:szCs w:val="24"/>
          <w:lang w:eastAsia="zh-CN"/>
        </w:rPr>
        <w:t>破坏土地利用类型一级地类为林地、</w:t>
      </w:r>
      <w:r>
        <w:rPr>
          <w:sz w:val="24"/>
          <w:szCs w:val="24"/>
        </w:rPr>
        <w:t>工矿仓储用地、交通运输用地</w:t>
      </w:r>
      <w:r>
        <w:rPr>
          <w:rFonts w:hint="eastAsia"/>
          <w:sz w:val="24"/>
          <w:szCs w:val="24"/>
          <w:lang w:eastAsia="zh-CN"/>
        </w:rPr>
        <w:t>，</w:t>
      </w:r>
      <w:r>
        <w:rPr>
          <w:sz w:val="24"/>
          <w:szCs w:val="24"/>
          <w:lang w:eastAsia="zh-CN"/>
        </w:rPr>
        <w:t>二级地类为</w:t>
      </w:r>
      <w:r>
        <w:rPr>
          <w:sz w:val="24"/>
          <w:szCs w:val="24"/>
        </w:rPr>
        <w:t>乔木林地</w:t>
      </w:r>
      <w:r>
        <w:rPr>
          <w:rFonts w:hint="eastAsia"/>
          <w:sz w:val="24"/>
          <w:szCs w:val="24"/>
        </w:rPr>
        <w:t>0.</w:t>
      </w:r>
      <w:r>
        <w:rPr>
          <w:rFonts w:hint="eastAsia"/>
          <w:sz w:val="24"/>
          <w:szCs w:val="24"/>
          <w:lang w:eastAsia="zh-CN"/>
        </w:rPr>
        <w:t>1672</w:t>
      </w:r>
      <w:r>
        <w:rPr>
          <w:rFonts w:hint="eastAsia"/>
          <w:sz w:val="24"/>
          <w:szCs w:val="24"/>
        </w:rPr>
        <w:t>hm</w:t>
      </w:r>
      <w:r>
        <w:rPr>
          <w:rFonts w:hint="eastAsia"/>
          <w:sz w:val="24"/>
          <w:szCs w:val="24"/>
          <w:vertAlign w:val="superscript"/>
        </w:rPr>
        <w:t>2</w:t>
      </w:r>
      <w:r>
        <w:rPr>
          <w:sz w:val="24"/>
          <w:szCs w:val="24"/>
        </w:rPr>
        <w:t>，</w:t>
      </w:r>
      <w:r>
        <w:rPr>
          <w:sz w:val="24"/>
          <w:szCs w:val="24"/>
          <w:lang w:eastAsia="zh-CN"/>
        </w:rPr>
        <w:t>灌木林地</w:t>
      </w:r>
      <w:r>
        <w:rPr>
          <w:rFonts w:hint="eastAsia"/>
          <w:sz w:val="24"/>
          <w:szCs w:val="24"/>
        </w:rPr>
        <w:t>0.</w:t>
      </w:r>
      <w:r>
        <w:rPr>
          <w:rFonts w:hint="eastAsia"/>
          <w:sz w:val="24"/>
          <w:szCs w:val="24"/>
          <w:lang w:eastAsia="zh-CN"/>
        </w:rPr>
        <w:t>3009</w:t>
      </w:r>
      <w:r>
        <w:rPr>
          <w:rFonts w:hint="eastAsia"/>
          <w:sz w:val="24"/>
          <w:szCs w:val="24"/>
        </w:rPr>
        <w:t>hm</w:t>
      </w:r>
      <w:r>
        <w:rPr>
          <w:rFonts w:hint="eastAsia"/>
          <w:sz w:val="24"/>
          <w:szCs w:val="24"/>
          <w:vertAlign w:val="superscript"/>
        </w:rPr>
        <w:t>2</w:t>
      </w:r>
      <w:r>
        <w:rPr>
          <w:sz w:val="24"/>
          <w:szCs w:val="24"/>
        </w:rPr>
        <w:t>，采矿用地</w:t>
      </w:r>
      <w:r>
        <w:rPr>
          <w:rFonts w:hint="eastAsia"/>
          <w:sz w:val="24"/>
          <w:szCs w:val="24"/>
        </w:rPr>
        <w:t>0.</w:t>
      </w:r>
      <w:r>
        <w:rPr>
          <w:rFonts w:hint="eastAsia"/>
          <w:sz w:val="24"/>
          <w:szCs w:val="24"/>
          <w:lang w:eastAsia="zh-CN"/>
        </w:rPr>
        <w:t>2909</w:t>
      </w:r>
      <w:r>
        <w:rPr>
          <w:rFonts w:hint="eastAsia"/>
          <w:sz w:val="24"/>
          <w:szCs w:val="24"/>
        </w:rPr>
        <w:t>hm</w:t>
      </w:r>
      <w:r>
        <w:rPr>
          <w:rFonts w:hint="eastAsia"/>
          <w:sz w:val="24"/>
          <w:szCs w:val="24"/>
          <w:vertAlign w:val="superscript"/>
        </w:rPr>
        <w:t>2</w:t>
      </w:r>
      <w:r>
        <w:rPr>
          <w:sz w:val="24"/>
          <w:szCs w:val="24"/>
        </w:rPr>
        <w:t>，</w:t>
      </w:r>
      <w:r>
        <w:rPr>
          <w:rFonts w:hint="eastAsia"/>
          <w:sz w:val="24"/>
          <w:szCs w:val="24"/>
          <w:lang w:eastAsia="zh-CN"/>
        </w:rPr>
        <w:t>农村道路用地</w:t>
      </w:r>
      <w:r>
        <w:rPr>
          <w:rFonts w:hint="eastAsia"/>
          <w:sz w:val="24"/>
          <w:szCs w:val="24"/>
        </w:rPr>
        <w:t>0.0</w:t>
      </w:r>
      <w:r>
        <w:rPr>
          <w:rFonts w:hint="eastAsia"/>
          <w:sz w:val="24"/>
          <w:szCs w:val="24"/>
          <w:lang w:eastAsia="zh-CN"/>
        </w:rPr>
        <w:t>887</w:t>
      </w:r>
      <w:r>
        <w:rPr>
          <w:rFonts w:hint="eastAsia"/>
          <w:sz w:val="24"/>
          <w:szCs w:val="24"/>
        </w:rPr>
        <w:t>hm</w:t>
      </w:r>
      <w:r>
        <w:rPr>
          <w:rFonts w:hint="eastAsia"/>
          <w:sz w:val="24"/>
          <w:szCs w:val="24"/>
          <w:vertAlign w:val="superscript"/>
        </w:rPr>
        <w:t>2</w:t>
      </w:r>
      <w:r>
        <w:rPr>
          <w:rFonts w:hint="eastAsia"/>
          <w:sz w:val="24"/>
          <w:szCs w:val="24"/>
          <w:lang w:eastAsia="zh-CN"/>
        </w:rPr>
        <w:t>，</w:t>
      </w:r>
      <w:r>
        <w:rPr>
          <w:sz w:val="24"/>
          <w:szCs w:val="24"/>
          <w:lang w:eastAsia="zh-CN"/>
        </w:rPr>
        <w:t>该区域压占、损毁程度为</w:t>
      </w:r>
      <w:r>
        <w:rPr>
          <w:rFonts w:hint="eastAsia"/>
          <w:sz w:val="24"/>
          <w:szCs w:val="24"/>
          <w:lang w:eastAsia="zh-CN"/>
        </w:rPr>
        <w:t>中</w:t>
      </w:r>
      <w:r>
        <w:rPr>
          <w:sz w:val="24"/>
          <w:szCs w:val="24"/>
          <w:lang w:eastAsia="zh-CN"/>
        </w:rPr>
        <w:t>度。</w:t>
      </w:r>
    </w:p>
    <w:p>
      <w:pPr>
        <w:spacing w:line="360" w:lineRule="auto"/>
        <w:ind w:firstLine="480" w:firstLineChars="200"/>
        <w:rPr>
          <w:rFonts w:ascii="宋体" w:hAnsi="宋体"/>
          <w:sz w:val="24"/>
        </w:rPr>
      </w:pPr>
      <w:r>
        <w:rPr>
          <w:rFonts w:hint="eastAsia" w:ascii="宋体" w:hAnsi="宋体"/>
          <w:sz w:val="24"/>
        </w:rPr>
        <w:t>（7）存储间</w:t>
      </w:r>
    </w:p>
    <w:p>
      <w:pPr>
        <w:pStyle w:val="8"/>
        <w:spacing w:line="360" w:lineRule="auto"/>
        <w:ind w:firstLine="480" w:firstLineChars="200"/>
        <w:rPr>
          <w:sz w:val="24"/>
          <w:szCs w:val="24"/>
          <w:lang w:eastAsia="zh-CN"/>
        </w:rPr>
      </w:pPr>
      <w:r>
        <w:rPr>
          <w:rFonts w:hint="eastAsia"/>
          <w:sz w:val="24"/>
        </w:rPr>
        <w:t>存储间占地面积为0.0021hm</w:t>
      </w:r>
      <w:r>
        <w:rPr>
          <w:rFonts w:hint="eastAsia"/>
          <w:sz w:val="24"/>
          <w:vertAlign w:val="superscript"/>
        </w:rPr>
        <w:t>2</w:t>
      </w:r>
      <w:r>
        <w:rPr>
          <w:rFonts w:hint="eastAsia"/>
          <w:sz w:val="24"/>
        </w:rPr>
        <w:t>，场地平坦，</w:t>
      </w:r>
      <w:r>
        <w:rPr>
          <w:sz w:val="24"/>
          <w:szCs w:val="24"/>
          <w:lang w:eastAsia="zh-CN"/>
        </w:rPr>
        <w:t>破坏土地利用类型一级地类为林地</w:t>
      </w:r>
      <w:r>
        <w:rPr>
          <w:rFonts w:hint="eastAsia"/>
          <w:sz w:val="24"/>
          <w:szCs w:val="24"/>
          <w:lang w:eastAsia="zh-CN"/>
        </w:rPr>
        <w:t>，</w:t>
      </w:r>
      <w:r>
        <w:rPr>
          <w:sz w:val="24"/>
          <w:szCs w:val="24"/>
          <w:lang w:eastAsia="zh-CN"/>
        </w:rPr>
        <w:t>二级地类为</w:t>
      </w:r>
      <w:r>
        <w:rPr>
          <w:sz w:val="24"/>
          <w:szCs w:val="24"/>
        </w:rPr>
        <w:t>灌木林地</w:t>
      </w:r>
      <w:r>
        <w:rPr>
          <w:rFonts w:hint="eastAsia"/>
          <w:sz w:val="24"/>
        </w:rPr>
        <w:t>面积</w:t>
      </w:r>
      <w:r>
        <w:rPr>
          <w:rFonts w:hint="eastAsia"/>
          <w:sz w:val="24"/>
          <w:szCs w:val="24"/>
        </w:rPr>
        <w:t>0.</w:t>
      </w:r>
      <w:r>
        <w:rPr>
          <w:rFonts w:hint="eastAsia"/>
          <w:sz w:val="24"/>
          <w:szCs w:val="24"/>
          <w:lang w:eastAsia="zh-CN"/>
        </w:rPr>
        <w:t>0021</w:t>
      </w:r>
      <w:r>
        <w:rPr>
          <w:rFonts w:hint="eastAsia"/>
          <w:sz w:val="24"/>
          <w:szCs w:val="24"/>
        </w:rPr>
        <w:t>hm</w:t>
      </w:r>
      <w:r>
        <w:rPr>
          <w:rFonts w:hint="eastAsia"/>
          <w:sz w:val="24"/>
          <w:szCs w:val="24"/>
          <w:vertAlign w:val="superscript"/>
        </w:rPr>
        <w:t>2</w:t>
      </w:r>
      <w:r>
        <w:rPr>
          <w:sz w:val="24"/>
          <w:szCs w:val="24"/>
        </w:rPr>
        <w:t>，</w:t>
      </w:r>
      <w:r>
        <w:rPr>
          <w:sz w:val="24"/>
          <w:szCs w:val="24"/>
          <w:lang w:eastAsia="zh-CN"/>
        </w:rPr>
        <w:t>损毁程度为轻度。</w:t>
      </w:r>
    </w:p>
    <w:p>
      <w:pPr>
        <w:spacing w:line="360" w:lineRule="auto"/>
        <w:ind w:firstLine="480" w:firstLineChars="200"/>
        <w:rPr>
          <w:rFonts w:ascii="宋体" w:hAnsi="宋体"/>
          <w:sz w:val="24"/>
        </w:rPr>
      </w:pPr>
      <w:r>
        <w:rPr>
          <w:rFonts w:hint="eastAsia" w:ascii="宋体" w:hAnsi="宋体"/>
          <w:sz w:val="24"/>
        </w:rPr>
        <w:t>（</w:t>
      </w:r>
      <w:r>
        <w:rPr>
          <w:rFonts w:ascii="宋体" w:hAnsi="宋体"/>
          <w:sz w:val="24"/>
        </w:rPr>
        <w:t>8</w:t>
      </w:r>
      <w:r>
        <w:rPr>
          <w:rFonts w:hint="eastAsia" w:ascii="宋体" w:hAnsi="宋体"/>
          <w:sz w:val="24"/>
        </w:rPr>
        <w:t>）</w:t>
      </w:r>
      <w:r>
        <w:rPr>
          <w:rFonts w:hint="eastAsia"/>
          <w:spacing w:val="4"/>
          <w:sz w:val="24"/>
        </w:rPr>
        <w:t>拟建取土场</w:t>
      </w:r>
    </w:p>
    <w:p>
      <w:pPr>
        <w:pStyle w:val="8"/>
        <w:spacing w:line="360" w:lineRule="auto"/>
        <w:ind w:firstLine="496" w:firstLineChars="200"/>
        <w:rPr>
          <w:sz w:val="24"/>
          <w:szCs w:val="24"/>
          <w:lang w:val="en-US" w:eastAsia="zh-CN"/>
        </w:rPr>
      </w:pPr>
      <w:r>
        <w:rPr>
          <w:rFonts w:hint="eastAsia"/>
          <w:spacing w:val="4"/>
          <w:sz w:val="24"/>
        </w:rPr>
        <w:t>拟建取土场</w:t>
      </w:r>
      <w:r>
        <w:rPr>
          <w:rFonts w:hint="eastAsia"/>
          <w:sz w:val="24"/>
          <w:szCs w:val="24"/>
        </w:rPr>
        <w:t>场地面积0.</w:t>
      </w:r>
      <w:r>
        <w:rPr>
          <w:rFonts w:hint="eastAsia"/>
          <w:sz w:val="24"/>
          <w:szCs w:val="24"/>
          <w:lang w:eastAsia="zh-CN"/>
        </w:rPr>
        <w:t>2946</w:t>
      </w:r>
      <w:r>
        <w:rPr>
          <w:rFonts w:hint="eastAsia"/>
          <w:sz w:val="24"/>
          <w:szCs w:val="24"/>
        </w:rPr>
        <w:t>h</w:t>
      </w:r>
      <w:r>
        <w:rPr>
          <w:rFonts w:hint="eastAsia"/>
          <w:sz w:val="24"/>
        </w:rPr>
        <w:t>m</w:t>
      </w:r>
      <w:r>
        <w:rPr>
          <w:rFonts w:hint="eastAsia"/>
          <w:sz w:val="24"/>
          <w:vertAlign w:val="superscript"/>
        </w:rPr>
        <w:t>2</w:t>
      </w:r>
      <w:r>
        <w:rPr>
          <w:rFonts w:hint="eastAsia"/>
          <w:sz w:val="24"/>
        </w:rPr>
        <w:t>，</w:t>
      </w:r>
      <w:r>
        <w:rPr>
          <w:sz w:val="24"/>
        </w:rPr>
        <w:t>损毁土地类型一</w:t>
      </w:r>
      <w:r>
        <w:rPr>
          <w:sz w:val="24"/>
          <w:szCs w:val="24"/>
        </w:rPr>
        <w:t>级地类为林地、矿仓储用地</w:t>
      </w:r>
      <w:r>
        <w:rPr>
          <w:rFonts w:hint="eastAsia"/>
          <w:sz w:val="24"/>
          <w:szCs w:val="24"/>
        </w:rPr>
        <w:t>，</w:t>
      </w:r>
      <w:r>
        <w:rPr>
          <w:rFonts w:hint="eastAsia"/>
          <w:sz w:val="24"/>
        </w:rPr>
        <w:t>二级地类包括乔木林地面积0.</w:t>
      </w:r>
      <w:r>
        <w:rPr>
          <w:rFonts w:hint="eastAsia"/>
          <w:sz w:val="24"/>
          <w:lang w:eastAsia="zh-CN"/>
        </w:rPr>
        <w:t>2483</w:t>
      </w:r>
      <w:r>
        <w:rPr>
          <w:rFonts w:hint="eastAsia"/>
          <w:sz w:val="24"/>
        </w:rPr>
        <w:t>hm</w:t>
      </w:r>
      <w:r>
        <w:rPr>
          <w:rFonts w:hint="eastAsia"/>
          <w:sz w:val="24"/>
          <w:vertAlign w:val="superscript"/>
        </w:rPr>
        <w:t>2</w:t>
      </w:r>
      <w:r>
        <w:rPr>
          <w:rFonts w:hint="eastAsia"/>
          <w:sz w:val="24"/>
        </w:rPr>
        <w:t>，采矿用地面积0.0</w:t>
      </w:r>
      <w:r>
        <w:rPr>
          <w:rFonts w:hint="eastAsia"/>
          <w:sz w:val="24"/>
          <w:lang w:eastAsia="zh-CN"/>
        </w:rPr>
        <w:t>463</w:t>
      </w:r>
      <w:r>
        <w:rPr>
          <w:rFonts w:hint="eastAsia"/>
          <w:sz w:val="24"/>
        </w:rPr>
        <w:t>hm</w:t>
      </w:r>
      <w:r>
        <w:rPr>
          <w:rFonts w:hint="eastAsia"/>
          <w:sz w:val="24"/>
          <w:vertAlign w:val="superscript"/>
        </w:rPr>
        <w:t>2</w:t>
      </w:r>
      <w:r>
        <w:rPr>
          <w:rFonts w:hint="eastAsia"/>
          <w:sz w:val="24"/>
        </w:rPr>
        <w:t>，</w:t>
      </w:r>
      <w:r>
        <w:rPr>
          <w:sz w:val="24"/>
          <w:szCs w:val="24"/>
        </w:rPr>
        <w:t>损毁类型为挖损</w:t>
      </w:r>
      <w:r>
        <w:rPr>
          <w:rFonts w:hint="eastAsia"/>
          <w:sz w:val="24"/>
          <w:szCs w:val="24"/>
          <w:lang w:eastAsia="zh-CN"/>
        </w:rPr>
        <w:t>，</w:t>
      </w:r>
      <w:r>
        <w:rPr>
          <w:rFonts w:hint="eastAsia"/>
          <w:sz w:val="24"/>
          <w:szCs w:val="24"/>
        </w:rPr>
        <w:t>挖掘</w:t>
      </w:r>
      <w:r>
        <w:rPr>
          <w:rFonts w:hint="eastAsia"/>
          <w:sz w:val="24"/>
          <w:szCs w:val="24"/>
          <w:lang w:eastAsia="zh-CN"/>
        </w:rPr>
        <w:t>边坡角度5</w:t>
      </w:r>
      <w:r>
        <w:rPr>
          <w:sz w:val="24"/>
          <w:szCs w:val="24"/>
          <w:lang w:eastAsia="zh-CN"/>
        </w:rPr>
        <w:t>-30</w:t>
      </w:r>
      <w:r>
        <w:rPr>
          <w:rFonts w:hint="eastAsia"/>
          <w:sz w:val="24"/>
          <w:szCs w:val="24"/>
          <w:lang w:eastAsia="zh-CN"/>
        </w:rPr>
        <w:t>°，</w:t>
      </w:r>
      <w:r>
        <w:rPr>
          <w:sz w:val="24"/>
          <w:szCs w:val="24"/>
        </w:rPr>
        <w:t>损毁程度为</w:t>
      </w:r>
      <w:r>
        <w:rPr>
          <w:rFonts w:hint="eastAsia"/>
          <w:sz w:val="24"/>
          <w:szCs w:val="24"/>
          <w:lang w:eastAsia="zh-CN"/>
        </w:rPr>
        <w:t>中</w:t>
      </w:r>
      <w:r>
        <w:rPr>
          <w:sz w:val="24"/>
          <w:szCs w:val="24"/>
        </w:rPr>
        <w:t>度。</w:t>
      </w:r>
    </w:p>
    <w:p>
      <w:pPr>
        <w:spacing w:line="360" w:lineRule="auto"/>
        <w:ind w:firstLine="482"/>
        <w:jc w:val="center"/>
        <w:rPr>
          <w:rFonts w:hint="eastAsia" w:ascii="宋体" w:hAnsi="宋体"/>
          <w:b/>
          <w:bCs/>
          <w:sz w:val="24"/>
        </w:rPr>
      </w:pPr>
      <w:r>
        <w:rPr>
          <w:rFonts w:hint="eastAsia" w:ascii="宋体" w:hAnsi="宋体"/>
          <w:b/>
          <w:bCs/>
          <w:sz w:val="24"/>
        </w:rPr>
        <w:t>表</w:t>
      </w:r>
      <w:r>
        <w:rPr>
          <w:rFonts w:ascii="宋体" w:hAnsi="宋体"/>
          <w:b/>
          <w:bCs/>
          <w:sz w:val="24"/>
        </w:rPr>
        <w:t>4</w:t>
      </w:r>
      <w:r>
        <w:rPr>
          <w:rFonts w:hint="eastAsia" w:ascii="宋体" w:hAnsi="宋体"/>
          <w:b/>
          <w:bCs/>
          <w:sz w:val="24"/>
        </w:rPr>
        <w:t>-1 损毁土地资源统计表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9"/>
        <w:gridCol w:w="753"/>
        <w:gridCol w:w="1759"/>
        <w:gridCol w:w="753"/>
        <w:gridCol w:w="1205"/>
        <w:gridCol w:w="1036"/>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blHeader/>
          <w:jc w:val="center"/>
        </w:trPr>
        <w:tc>
          <w:tcPr>
            <w:tcW w:w="909"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szCs w:val="21"/>
              </w:rPr>
            </w:pPr>
            <w:r>
              <w:rPr>
                <w:rFonts w:hint="eastAsia"/>
                <w:szCs w:val="21"/>
              </w:rPr>
              <w:t>工程场地</w:t>
            </w:r>
          </w:p>
        </w:tc>
        <w:tc>
          <w:tcPr>
            <w:tcW w:w="2623" w:type="pct"/>
            <w:gridSpan w:val="4"/>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zCs w:val="21"/>
              </w:rPr>
            </w:pPr>
            <w:r>
              <w:rPr>
                <w:rFonts w:hint="eastAsia"/>
                <w:szCs w:val="21"/>
              </w:rPr>
              <w:t>地类名称</w:t>
            </w:r>
          </w:p>
        </w:tc>
        <w:tc>
          <w:tcPr>
            <w:tcW w:w="608" w:type="pct"/>
            <w:vMerge w:val="restart"/>
            <w:tcBorders>
              <w:top w:val="single" w:color="auto" w:sz="4" w:space="0"/>
              <w:left w:val="nil"/>
              <w:right w:val="single" w:color="auto" w:sz="4" w:space="0"/>
            </w:tcBorders>
            <w:noWrap w:val="0"/>
            <w:vAlign w:val="center"/>
          </w:tcPr>
          <w:p>
            <w:pPr>
              <w:adjustRightInd w:val="0"/>
              <w:snapToGrid w:val="0"/>
              <w:jc w:val="center"/>
              <w:rPr>
                <w:rFonts w:hint="eastAsia"/>
                <w:szCs w:val="21"/>
              </w:rPr>
            </w:pPr>
            <w:r>
              <w:rPr>
                <w:rFonts w:hint="eastAsia"/>
                <w:szCs w:val="21"/>
              </w:rPr>
              <w:t>面积（hm</w:t>
            </w:r>
            <w:r>
              <w:rPr>
                <w:rFonts w:hint="eastAsia"/>
                <w:szCs w:val="21"/>
                <w:vertAlign w:val="superscript"/>
              </w:rPr>
              <w:t>2</w:t>
            </w:r>
            <w:r>
              <w:rPr>
                <w:rFonts w:hint="eastAsia"/>
                <w:szCs w:val="21"/>
              </w:rPr>
              <w:t>）</w:t>
            </w:r>
          </w:p>
        </w:tc>
        <w:tc>
          <w:tcPr>
            <w:tcW w:w="860"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szCs w:val="21"/>
              </w:rPr>
            </w:pPr>
            <w:r>
              <w:rPr>
                <w:rFonts w:hint="eastAsia"/>
                <w:szCs w:val="21"/>
              </w:rPr>
              <w:t>总面积（hm</w:t>
            </w:r>
            <w:r>
              <w:rPr>
                <w:rFonts w:hint="eastAsia"/>
                <w:szCs w:val="21"/>
                <w:vertAlign w:val="superscript"/>
              </w:rPr>
              <w:t>2</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blHeader/>
          <w:jc w:val="center"/>
        </w:trPr>
        <w:tc>
          <w:tcPr>
            <w:tcW w:w="90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Cs w:val="21"/>
              </w:rPr>
            </w:pPr>
          </w:p>
        </w:tc>
        <w:tc>
          <w:tcPr>
            <w:tcW w:w="1474" w:type="pct"/>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zCs w:val="21"/>
              </w:rPr>
            </w:pPr>
            <w:r>
              <w:rPr>
                <w:rFonts w:hint="eastAsia"/>
                <w:szCs w:val="21"/>
              </w:rPr>
              <w:t>一级地类</w:t>
            </w:r>
          </w:p>
        </w:tc>
        <w:tc>
          <w:tcPr>
            <w:tcW w:w="1149" w:type="pct"/>
            <w:gridSpan w:val="2"/>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zCs w:val="21"/>
              </w:rPr>
            </w:pPr>
            <w:r>
              <w:rPr>
                <w:rFonts w:hint="eastAsia"/>
                <w:szCs w:val="21"/>
              </w:rPr>
              <w:t>二级地类</w:t>
            </w:r>
          </w:p>
        </w:tc>
        <w:tc>
          <w:tcPr>
            <w:tcW w:w="608" w:type="pct"/>
            <w:vMerge w:val="continue"/>
            <w:tcBorders>
              <w:left w:val="nil"/>
              <w:bottom w:val="single" w:color="auto" w:sz="4" w:space="0"/>
              <w:right w:val="single" w:color="auto" w:sz="4" w:space="0"/>
            </w:tcBorders>
            <w:noWrap w:val="0"/>
            <w:vAlign w:val="center"/>
          </w:tcPr>
          <w:p>
            <w:pPr>
              <w:jc w:val="center"/>
              <w:rPr>
                <w:rFonts w:ascii="宋体" w:hAnsi="宋体"/>
                <w:szCs w:val="21"/>
              </w:rPr>
            </w:pPr>
          </w:p>
        </w:tc>
        <w:tc>
          <w:tcPr>
            <w:tcW w:w="860"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atLeast"/>
          <w:jc w:val="center"/>
        </w:trPr>
        <w:tc>
          <w:tcPr>
            <w:tcW w:w="909" w:type="pct"/>
            <w:vMerge w:val="restart"/>
            <w:tcBorders>
              <w:top w:val="single" w:color="auto" w:sz="4" w:space="0"/>
              <w:left w:val="single" w:color="auto" w:sz="4" w:space="0"/>
              <w:right w:val="single" w:color="auto" w:sz="4" w:space="0"/>
            </w:tcBorders>
            <w:noWrap w:val="0"/>
            <w:vAlign w:val="center"/>
          </w:tcPr>
          <w:p>
            <w:pPr>
              <w:jc w:val="center"/>
              <w:rPr>
                <w:bCs/>
                <w:szCs w:val="21"/>
              </w:rPr>
            </w:pPr>
            <w:r>
              <w:rPr>
                <w:rFonts w:hint="eastAsia"/>
                <w:bCs/>
                <w:szCs w:val="21"/>
              </w:rPr>
              <w:t>1#露天采场</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zCs w:val="21"/>
              </w:rPr>
            </w:pPr>
            <w:r>
              <w:rPr>
                <w:rFonts w:hint="eastAsia"/>
                <w:szCs w:val="21"/>
              </w:rPr>
              <w:t>0</w:t>
            </w:r>
            <w:r>
              <w:rPr>
                <w:szCs w:val="21"/>
              </w:rPr>
              <w:t>3</w:t>
            </w:r>
          </w:p>
        </w:tc>
        <w:tc>
          <w:tcPr>
            <w:tcW w:w="103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zCs w:val="21"/>
              </w:rPr>
            </w:pPr>
            <w:r>
              <w:rPr>
                <w:rFonts w:hint="eastAsia"/>
                <w:szCs w:val="21"/>
              </w:rPr>
              <w:t>林地</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zCs w:val="21"/>
              </w:rPr>
            </w:pPr>
            <w:r>
              <w:rPr>
                <w:szCs w:val="21"/>
              </w:rPr>
              <w:t>0301</w:t>
            </w:r>
          </w:p>
        </w:tc>
        <w:tc>
          <w:tcPr>
            <w:tcW w:w="707"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zCs w:val="21"/>
              </w:rPr>
            </w:pPr>
            <w:r>
              <w:rPr>
                <w:rFonts w:hint="eastAsia"/>
                <w:szCs w:val="21"/>
              </w:rPr>
              <w:t>乔木林地</w:t>
            </w:r>
          </w:p>
        </w:tc>
        <w:tc>
          <w:tcPr>
            <w:tcW w:w="608" w:type="pct"/>
            <w:tcBorders>
              <w:top w:val="single" w:color="auto" w:sz="4" w:space="0"/>
              <w:left w:val="nil"/>
              <w:bottom w:val="single" w:color="auto" w:sz="4" w:space="0"/>
              <w:right w:val="single" w:color="auto" w:sz="4" w:space="0"/>
            </w:tcBorders>
            <w:noWrap w:val="0"/>
            <w:vAlign w:val="center"/>
          </w:tcPr>
          <w:p>
            <w:pPr>
              <w:jc w:val="center"/>
              <w:rPr>
                <w:szCs w:val="21"/>
              </w:rPr>
            </w:pPr>
            <w:r>
              <w:rPr>
                <w:rFonts w:hint="eastAsia"/>
                <w:szCs w:val="21"/>
              </w:rPr>
              <w:t>0.0179</w:t>
            </w:r>
          </w:p>
        </w:tc>
        <w:tc>
          <w:tcPr>
            <w:tcW w:w="860" w:type="pct"/>
            <w:vMerge w:val="restart"/>
            <w:tcBorders>
              <w:top w:val="single" w:color="auto" w:sz="4" w:space="0"/>
              <w:left w:val="single" w:color="auto" w:sz="4" w:space="0"/>
              <w:right w:val="single" w:color="auto" w:sz="4" w:space="0"/>
            </w:tcBorders>
            <w:noWrap w:val="0"/>
            <w:vAlign w:val="center"/>
          </w:tcPr>
          <w:p>
            <w:pPr>
              <w:jc w:val="center"/>
              <w:rPr>
                <w:szCs w:val="21"/>
              </w:rPr>
            </w:pPr>
            <w:r>
              <w:rPr>
                <w:szCs w:val="21"/>
              </w:rPr>
              <w:t>2</w:t>
            </w:r>
            <w:r>
              <w:rPr>
                <w:rFonts w:hint="eastAsia"/>
                <w:szCs w:val="21"/>
              </w:rPr>
              <w:t>.</w:t>
            </w:r>
            <w:r>
              <w:rPr>
                <w:szCs w:val="21"/>
              </w:rPr>
              <w:t>0475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atLeast"/>
          <w:jc w:val="center"/>
        </w:trPr>
        <w:tc>
          <w:tcPr>
            <w:tcW w:w="909" w:type="pct"/>
            <w:vMerge w:val="continue"/>
            <w:tcBorders>
              <w:left w:val="single" w:color="auto" w:sz="4" w:space="0"/>
              <w:right w:val="single" w:color="auto" w:sz="4" w:space="0"/>
            </w:tcBorders>
            <w:noWrap w:val="0"/>
            <w:vAlign w:val="center"/>
          </w:tcPr>
          <w:p>
            <w:pPr>
              <w:jc w:val="center"/>
              <w:rPr>
                <w:rFonts w:hint="eastAsia"/>
                <w:bCs/>
                <w:szCs w:val="21"/>
              </w:rPr>
            </w:pP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0</w:t>
            </w:r>
            <w:r>
              <w:rPr>
                <w:szCs w:val="21"/>
              </w:rPr>
              <w:t>3</w:t>
            </w:r>
          </w:p>
        </w:tc>
        <w:tc>
          <w:tcPr>
            <w:tcW w:w="103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林地</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szCs w:val="21"/>
              </w:rPr>
            </w:pPr>
            <w:r>
              <w:rPr>
                <w:rFonts w:hint="eastAsia"/>
                <w:szCs w:val="21"/>
              </w:rPr>
              <w:t>0</w:t>
            </w:r>
            <w:r>
              <w:rPr>
                <w:szCs w:val="21"/>
              </w:rPr>
              <w:t>30</w:t>
            </w:r>
            <w:r>
              <w:rPr>
                <w:rFonts w:hint="eastAsia"/>
                <w:szCs w:val="21"/>
              </w:rPr>
              <w:t>5</w:t>
            </w:r>
          </w:p>
        </w:tc>
        <w:tc>
          <w:tcPr>
            <w:tcW w:w="707"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灌木林地</w:t>
            </w:r>
          </w:p>
        </w:tc>
        <w:tc>
          <w:tcPr>
            <w:tcW w:w="608" w:type="pct"/>
            <w:tcBorders>
              <w:top w:val="single" w:color="auto" w:sz="4" w:space="0"/>
              <w:left w:val="nil"/>
              <w:bottom w:val="single" w:color="auto" w:sz="4" w:space="0"/>
              <w:right w:val="single" w:color="auto" w:sz="4" w:space="0"/>
            </w:tcBorders>
            <w:noWrap w:val="0"/>
            <w:vAlign w:val="center"/>
          </w:tcPr>
          <w:p>
            <w:pPr>
              <w:jc w:val="center"/>
              <w:rPr>
                <w:rFonts w:hint="eastAsia"/>
                <w:szCs w:val="21"/>
              </w:rPr>
            </w:pPr>
            <w:r>
              <w:rPr>
                <w:rFonts w:hint="eastAsia"/>
                <w:szCs w:val="21"/>
              </w:rPr>
              <w:t>0.0403</w:t>
            </w:r>
          </w:p>
        </w:tc>
        <w:tc>
          <w:tcPr>
            <w:tcW w:w="860" w:type="pct"/>
            <w:vMerge w:val="continue"/>
            <w:tcBorders>
              <w:left w:val="single" w:color="auto" w:sz="4" w:space="0"/>
              <w:right w:val="single" w:color="auto" w:sz="4" w:space="0"/>
            </w:tcBorders>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atLeast"/>
          <w:jc w:val="center"/>
        </w:trPr>
        <w:tc>
          <w:tcPr>
            <w:tcW w:w="909" w:type="pct"/>
            <w:vMerge w:val="continue"/>
            <w:tcBorders>
              <w:left w:val="single" w:color="auto" w:sz="4" w:space="0"/>
              <w:bottom w:val="single" w:color="auto" w:sz="4" w:space="0"/>
              <w:right w:val="single" w:color="auto" w:sz="4" w:space="0"/>
            </w:tcBorders>
            <w:noWrap w:val="0"/>
            <w:vAlign w:val="center"/>
          </w:tcPr>
          <w:p>
            <w:pPr>
              <w:jc w:val="center"/>
              <w:rPr>
                <w:rFonts w:hint="eastAsia"/>
                <w:bCs/>
                <w:szCs w:val="21"/>
              </w:rPr>
            </w:pP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06</w:t>
            </w:r>
          </w:p>
        </w:tc>
        <w:tc>
          <w:tcPr>
            <w:tcW w:w="103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工矿仓储用地</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szCs w:val="21"/>
              </w:rPr>
            </w:pPr>
            <w:r>
              <w:rPr>
                <w:rFonts w:hint="eastAsia"/>
                <w:szCs w:val="21"/>
              </w:rPr>
              <w:t>0602</w:t>
            </w:r>
          </w:p>
        </w:tc>
        <w:tc>
          <w:tcPr>
            <w:tcW w:w="707"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采矿用地</w:t>
            </w:r>
          </w:p>
        </w:tc>
        <w:tc>
          <w:tcPr>
            <w:tcW w:w="608" w:type="pct"/>
            <w:tcBorders>
              <w:top w:val="single" w:color="auto" w:sz="4" w:space="0"/>
              <w:left w:val="nil"/>
              <w:bottom w:val="single" w:color="auto" w:sz="4" w:space="0"/>
              <w:right w:val="single" w:color="auto" w:sz="4" w:space="0"/>
            </w:tcBorders>
            <w:noWrap w:val="0"/>
            <w:vAlign w:val="center"/>
          </w:tcPr>
          <w:p>
            <w:pPr>
              <w:jc w:val="center"/>
              <w:rPr>
                <w:rFonts w:hint="eastAsia"/>
                <w:szCs w:val="21"/>
              </w:rPr>
            </w:pPr>
            <w:r>
              <w:rPr>
                <w:szCs w:val="21"/>
              </w:rPr>
              <w:t>1</w:t>
            </w:r>
            <w:r>
              <w:rPr>
                <w:rFonts w:hint="eastAsia"/>
                <w:szCs w:val="21"/>
              </w:rPr>
              <w:t>.</w:t>
            </w:r>
            <w:r>
              <w:rPr>
                <w:szCs w:val="21"/>
              </w:rPr>
              <w:t>9893</w:t>
            </w:r>
          </w:p>
        </w:tc>
        <w:tc>
          <w:tcPr>
            <w:tcW w:w="860" w:type="pct"/>
            <w:vMerge w:val="continue"/>
            <w:tcBorders>
              <w:left w:val="single" w:color="auto" w:sz="4" w:space="0"/>
              <w:bottom w:val="single" w:color="auto" w:sz="4" w:space="0"/>
              <w:right w:val="single" w:color="auto" w:sz="4" w:space="0"/>
            </w:tcBorders>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atLeast"/>
          <w:jc w:val="center"/>
        </w:trPr>
        <w:tc>
          <w:tcPr>
            <w:tcW w:w="909" w:type="pct"/>
            <w:vMerge w:val="restart"/>
            <w:tcBorders>
              <w:top w:val="single" w:color="auto" w:sz="4" w:space="0"/>
              <w:left w:val="single" w:color="auto" w:sz="4" w:space="0"/>
              <w:right w:val="single" w:color="auto" w:sz="4" w:space="0"/>
            </w:tcBorders>
            <w:noWrap w:val="0"/>
            <w:vAlign w:val="center"/>
          </w:tcPr>
          <w:p>
            <w:pPr>
              <w:jc w:val="center"/>
              <w:rPr>
                <w:rFonts w:hint="eastAsia"/>
                <w:bCs/>
                <w:szCs w:val="21"/>
              </w:rPr>
            </w:pPr>
            <w:r>
              <w:rPr>
                <w:rFonts w:hint="eastAsia"/>
                <w:bCs/>
                <w:szCs w:val="21"/>
              </w:rPr>
              <w:t>2#露天采场</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zCs w:val="21"/>
              </w:rPr>
            </w:pPr>
            <w:r>
              <w:rPr>
                <w:rFonts w:hint="eastAsia"/>
                <w:szCs w:val="21"/>
              </w:rPr>
              <w:t>0</w:t>
            </w:r>
            <w:r>
              <w:rPr>
                <w:szCs w:val="21"/>
              </w:rPr>
              <w:t>3</w:t>
            </w:r>
          </w:p>
        </w:tc>
        <w:tc>
          <w:tcPr>
            <w:tcW w:w="103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zCs w:val="21"/>
              </w:rPr>
            </w:pPr>
            <w:r>
              <w:rPr>
                <w:rFonts w:hint="eastAsia"/>
                <w:szCs w:val="21"/>
              </w:rPr>
              <w:t>林地</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zCs w:val="21"/>
              </w:rPr>
            </w:pPr>
            <w:r>
              <w:rPr>
                <w:szCs w:val="21"/>
              </w:rPr>
              <w:t>0301</w:t>
            </w:r>
          </w:p>
        </w:tc>
        <w:tc>
          <w:tcPr>
            <w:tcW w:w="707"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zCs w:val="21"/>
              </w:rPr>
            </w:pPr>
            <w:r>
              <w:rPr>
                <w:rFonts w:hint="eastAsia"/>
                <w:szCs w:val="21"/>
              </w:rPr>
              <w:t>乔木林地</w:t>
            </w:r>
          </w:p>
        </w:tc>
        <w:tc>
          <w:tcPr>
            <w:tcW w:w="608" w:type="pct"/>
            <w:tcBorders>
              <w:top w:val="single" w:color="auto" w:sz="4" w:space="0"/>
              <w:left w:val="nil"/>
              <w:bottom w:val="single" w:color="auto" w:sz="4" w:space="0"/>
              <w:right w:val="single" w:color="auto" w:sz="4" w:space="0"/>
            </w:tcBorders>
            <w:noWrap w:val="0"/>
            <w:vAlign w:val="center"/>
          </w:tcPr>
          <w:p>
            <w:pPr>
              <w:jc w:val="center"/>
              <w:rPr>
                <w:szCs w:val="21"/>
              </w:rPr>
            </w:pPr>
            <w:r>
              <w:rPr>
                <w:rFonts w:hint="eastAsia"/>
                <w:szCs w:val="21"/>
              </w:rPr>
              <w:t>0.</w:t>
            </w:r>
            <w:r>
              <w:rPr>
                <w:szCs w:val="21"/>
              </w:rPr>
              <w:t>3221</w:t>
            </w:r>
          </w:p>
        </w:tc>
        <w:tc>
          <w:tcPr>
            <w:tcW w:w="860" w:type="pct"/>
            <w:vMerge w:val="restart"/>
            <w:tcBorders>
              <w:top w:val="single" w:color="auto" w:sz="4" w:space="0"/>
              <w:left w:val="single" w:color="auto" w:sz="4" w:space="0"/>
              <w:right w:val="single" w:color="auto" w:sz="4" w:space="0"/>
            </w:tcBorders>
            <w:noWrap w:val="0"/>
            <w:vAlign w:val="center"/>
          </w:tcPr>
          <w:p>
            <w:pPr>
              <w:jc w:val="center"/>
              <w:rPr>
                <w:szCs w:val="21"/>
              </w:rPr>
            </w:pPr>
            <w:r>
              <w:rPr>
                <w:rFonts w:hint="eastAsia"/>
                <w:szCs w:val="21"/>
              </w:rPr>
              <w:t>1.7856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atLeast"/>
          <w:jc w:val="center"/>
        </w:trPr>
        <w:tc>
          <w:tcPr>
            <w:tcW w:w="909" w:type="pct"/>
            <w:vMerge w:val="continue"/>
            <w:tcBorders>
              <w:left w:val="single" w:color="auto" w:sz="4" w:space="0"/>
              <w:right w:val="single" w:color="auto" w:sz="4" w:space="0"/>
            </w:tcBorders>
            <w:noWrap w:val="0"/>
            <w:vAlign w:val="center"/>
          </w:tcPr>
          <w:p>
            <w:pPr>
              <w:jc w:val="center"/>
              <w:rPr>
                <w:rFonts w:hint="eastAsia"/>
                <w:bCs/>
                <w:szCs w:val="21"/>
              </w:rPr>
            </w:pP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0</w:t>
            </w:r>
            <w:r>
              <w:rPr>
                <w:szCs w:val="21"/>
              </w:rPr>
              <w:t>3</w:t>
            </w:r>
          </w:p>
        </w:tc>
        <w:tc>
          <w:tcPr>
            <w:tcW w:w="103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林地</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szCs w:val="21"/>
              </w:rPr>
            </w:pPr>
            <w:r>
              <w:rPr>
                <w:rFonts w:hint="eastAsia"/>
                <w:szCs w:val="21"/>
              </w:rPr>
              <w:t>0</w:t>
            </w:r>
            <w:r>
              <w:rPr>
                <w:szCs w:val="21"/>
              </w:rPr>
              <w:t>30</w:t>
            </w:r>
            <w:r>
              <w:rPr>
                <w:rFonts w:hint="eastAsia"/>
                <w:szCs w:val="21"/>
              </w:rPr>
              <w:t>5</w:t>
            </w:r>
          </w:p>
        </w:tc>
        <w:tc>
          <w:tcPr>
            <w:tcW w:w="707"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灌木林地</w:t>
            </w:r>
          </w:p>
        </w:tc>
        <w:tc>
          <w:tcPr>
            <w:tcW w:w="608" w:type="pct"/>
            <w:tcBorders>
              <w:top w:val="single" w:color="auto" w:sz="4" w:space="0"/>
              <w:left w:val="nil"/>
              <w:bottom w:val="single" w:color="auto" w:sz="4" w:space="0"/>
              <w:right w:val="single" w:color="auto" w:sz="4" w:space="0"/>
            </w:tcBorders>
            <w:noWrap w:val="0"/>
            <w:vAlign w:val="center"/>
          </w:tcPr>
          <w:p>
            <w:pPr>
              <w:jc w:val="center"/>
              <w:rPr>
                <w:rFonts w:hint="eastAsia"/>
                <w:szCs w:val="21"/>
              </w:rPr>
            </w:pPr>
            <w:r>
              <w:rPr>
                <w:rFonts w:hint="eastAsia"/>
                <w:szCs w:val="21"/>
              </w:rPr>
              <w:t>0.0095</w:t>
            </w:r>
          </w:p>
        </w:tc>
        <w:tc>
          <w:tcPr>
            <w:tcW w:w="860" w:type="pct"/>
            <w:vMerge w:val="continue"/>
            <w:tcBorders>
              <w:left w:val="single" w:color="auto" w:sz="4" w:space="0"/>
              <w:right w:val="single" w:color="auto" w:sz="4" w:space="0"/>
            </w:tcBorders>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atLeast"/>
          <w:jc w:val="center"/>
        </w:trPr>
        <w:tc>
          <w:tcPr>
            <w:tcW w:w="909" w:type="pct"/>
            <w:vMerge w:val="continue"/>
            <w:tcBorders>
              <w:left w:val="single" w:color="auto" w:sz="4" w:space="0"/>
              <w:bottom w:val="single" w:color="auto" w:sz="4" w:space="0"/>
              <w:right w:val="single" w:color="auto" w:sz="4" w:space="0"/>
            </w:tcBorders>
            <w:noWrap w:val="0"/>
            <w:vAlign w:val="center"/>
          </w:tcPr>
          <w:p>
            <w:pPr>
              <w:jc w:val="center"/>
              <w:rPr>
                <w:rFonts w:hint="eastAsia"/>
                <w:bCs/>
                <w:szCs w:val="21"/>
              </w:rPr>
            </w:pP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06</w:t>
            </w:r>
          </w:p>
        </w:tc>
        <w:tc>
          <w:tcPr>
            <w:tcW w:w="103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工矿仓储用地</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szCs w:val="21"/>
              </w:rPr>
            </w:pPr>
            <w:r>
              <w:rPr>
                <w:rFonts w:hint="eastAsia"/>
                <w:szCs w:val="21"/>
              </w:rPr>
              <w:t>0602</w:t>
            </w:r>
          </w:p>
        </w:tc>
        <w:tc>
          <w:tcPr>
            <w:tcW w:w="707"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采矿用地</w:t>
            </w:r>
          </w:p>
        </w:tc>
        <w:tc>
          <w:tcPr>
            <w:tcW w:w="608" w:type="pct"/>
            <w:tcBorders>
              <w:top w:val="single" w:color="auto" w:sz="4" w:space="0"/>
              <w:left w:val="nil"/>
              <w:bottom w:val="single" w:color="auto" w:sz="4" w:space="0"/>
              <w:right w:val="single" w:color="auto" w:sz="4" w:space="0"/>
            </w:tcBorders>
            <w:noWrap w:val="0"/>
            <w:vAlign w:val="center"/>
          </w:tcPr>
          <w:p>
            <w:pPr>
              <w:jc w:val="center"/>
              <w:rPr>
                <w:rFonts w:hint="eastAsia"/>
                <w:szCs w:val="21"/>
              </w:rPr>
            </w:pPr>
            <w:r>
              <w:rPr>
                <w:szCs w:val="21"/>
              </w:rPr>
              <w:t>1</w:t>
            </w:r>
            <w:r>
              <w:rPr>
                <w:rFonts w:hint="eastAsia"/>
                <w:szCs w:val="21"/>
              </w:rPr>
              <w:t>.</w:t>
            </w:r>
            <w:r>
              <w:rPr>
                <w:szCs w:val="21"/>
              </w:rPr>
              <w:t>4540</w:t>
            </w:r>
          </w:p>
        </w:tc>
        <w:tc>
          <w:tcPr>
            <w:tcW w:w="860" w:type="pct"/>
            <w:vMerge w:val="continue"/>
            <w:tcBorders>
              <w:left w:val="single" w:color="auto" w:sz="4" w:space="0"/>
              <w:bottom w:val="single" w:color="auto" w:sz="4" w:space="0"/>
              <w:right w:val="single" w:color="auto" w:sz="4" w:space="0"/>
            </w:tcBorders>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atLeast"/>
          <w:jc w:val="center"/>
        </w:trPr>
        <w:tc>
          <w:tcPr>
            <w:tcW w:w="909" w:type="pct"/>
            <w:vMerge w:val="restart"/>
            <w:tcBorders>
              <w:top w:val="single" w:color="auto" w:sz="4" w:space="0"/>
              <w:left w:val="single" w:color="auto" w:sz="4" w:space="0"/>
              <w:right w:val="single" w:color="auto" w:sz="4" w:space="0"/>
            </w:tcBorders>
            <w:noWrap w:val="0"/>
            <w:vAlign w:val="center"/>
          </w:tcPr>
          <w:p>
            <w:pPr>
              <w:jc w:val="center"/>
              <w:rPr>
                <w:rFonts w:hint="eastAsia"/>
                <w:bCs/>
                <w:szCs w:val="21"/>
              </w:rPr>
            </w:pPr>
            <w:r>
              <w:rPr>
                <w:rFonts w:hint="eastAsia"/>
                <w:bCs/>
                <w:szCs w:val="21"/>
              </w:rPr>
              <w:t>探坑</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zCs w:val="21"/>
              </w:rPr>
            </w:pPr>
            <w:r>
              <w:rPr>
                <w:rFonts w:hint="eastAsia"/>
                <w:szCs w:val="21"/>
              </w:rPr>
              <w:t>0</w:t>
            </w:r>
            <w:r>
              <w:rPr>
                <w:szCs w:val="21"/>
              </w:rPr>
              <w:t>3</w:t>
            </w:r>
          </w:p>
        </w:tc>
        <w:tc>
          <w:tcPr>
            <w:tcW w:w="103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zCs w:val="21"/>
              </w:rPr>
            </w:pPr>
            <w:r>
              <w:rPr>
                <w:rFonts w:hint="eastAsia"/>
                <w:szCs w:val="21"/>
              </w:rPr>
              <w:t>林地</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zCs w:val="21"/>
              </w:rPr>
            </w:pPr>
            <w:r>
              <w:rPr>
                <w:szCs w:val="21"/>
              </w:rPr>
              <w:t>0301</w:t>
            </w:r>
          </w:p>
        </w:tc>
        <w:tc>
          <w:tcPr>
            <w:tcW w:w="707"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zCs w:val="21"/>
              </w:rPr>
            </w:pPr>
            <w:r>
              <w:rPr>
                <w:rFonts w:hint="eastAsia"/>
                <w:szCs w:val="21"/>
              </w:rPr>
              <w:t>乔木林地</w:t>
            </w:r>
          </w:p>
        </w:tc>
        <w:tc>
          <w:tcPr>
            <w:tcW w:w="608" w:type="pct"/>
            <w:tcBorders>
              <w:top w:val="single" w:color="auto" w:sz="4" w:space="0"/>
              <w:left w:val="nil"/>
              <w:bottom w:val="single" w:color="auto" w:sz="4" w:space="0"/>
              <w:right w:val="single" w:color="auto" w:sz="4" w:space="0"/>
            </w:tcBorders>
            <w:noWrap w:val="0"/>
            <w:vAlign w:val="center"/>
          </w:tcPr>
          <w:p>
            <w:pPr>
              <w:jc w:val="center"/>
              <w:rPr>
                <w:szCs w:val="21"/>
              </w:rPr>
            </w:pPr>
            <w:r>
              <w:rPr>
                <w:rFonts w:hint="eastAsia"/>
                <w:szCs w:val="21"/>
              </w:rPr>
              <w:t>0.0607</w:t>
            </w:r>
          </w:p>
        </w:tc>
        <w:tc>
          <w:tcPr>
            <w:tcW w:w="860" w:type="pct"/>
            <w:vMerge w:val="restart"/>
            <w:tcBorders>
              <w:top w:val="single" w:color="auto" w:sz="4" w:space="0"/>
              <w:left w:val="single" w:color="auto" w:sz="4" w:space="0"/>
              <w:right w:val="single" w:color="auto" w:sz="4" w:space="0"/>
            </w:tcBorders>
            <w:noWrap w:val="0"/>
            <w:vAlign w:val="center"/>
          </w:tcPr>
          <w:p>
            <w:pPr>
              <w:jc w:val="center"/>
              <w:rPr>
                <w:szCs w:val="21"/>
              </w:rPr>
            </w:pPr>
            <w:r>
              <w:rPr>
                <w:rFonts w:hint="eastAsia"/>
                <w:szCs w:val="21"/>
              </w:rPr>
              <w:t>0.0620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atLeast"/>
          <w:jc w:val="center"/>
        </w:trPr>
        <w:tc>
          <w:tcPr>
            <w:tcW w:w="909" w:type="pct"/>
            <w:vMerge w:val="continue"/>
            <w:tcBorders>
              <w:left w:val="single" w:color="auto" w:sz="4" w:space="0"/>
              <w:bottom w:val="single" w:color="auto" w:sz="4" w:space="0"/>
              <w:right w:val="single" w:color="auto" w:sz="4" w:space="0"/>
            </w:tcBorders>
            <w:noWrap w:val="0"/>
            <w:vAlign w:val="center"/>
          </w:tcPr>
          <w:p>
            <w:pPr>
              <w:jc w:val="center"/>
              <w:rPr>
                <w:rFonts w:hint="eastAsia"/>
                <w:bCs/>
                <w:szCs w:val="21"/>
              </w:rPr>
            </w:pP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1</w:t>
            </w:r>
            <w:r>
              <w:rPr>
                <w:szCs w:val="21"/>
              </w:rPr>
              <w:t>0</w:t>
            </w:r>
          </w:p>
        </w:tc>
        <w:tc>
          <w:tcPr>
            <w:tcW w:w="103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交通运输用地</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1</w:t>
            </w:r>
            <w:r>
              <w:rPr>
                <w:szCs w:val="21"/>
              </w:rPr>
              <w:t>006</w:t>
            </w:r>
          </w:p>
        </w:tc>
        <w:tc>
          <w:tcPr>
            <w:tcW w:w="707"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农村道路</w:t>
            </w:r>
          </w:p>
        </w:tc>
        <w:tc>
          <w:tcPr>
            <w:tcW w:w="608" w:type="pct"/>
            <w:tcBorders>
              <w:top w:val="single" w:color="auto" w:sz="4" w:space="0"/>
              <w:left w:val="nil"/>
              <w:bottom w:val="single" w:color="auto" w:sz="4" w:space="0"/>
              <w:right w:val="single" w:color="auto" w:sz="4" w:space="0"/>
            </w:tcBorders>
            <w:noWrap w:val="0"/>
            <w:vAlign w:val="center"/>
          </w:tcPr>
          <w:p>
            <w:pPr>
              <w:jc w:val="center"/>
              <w:rPr>
                <w:szCs w:val="21"/>
              </w:rPr>
            </w:pPr>
            <w:r>
              <w:rPr>
                <w:rFonts w:hint="eastAsia"/>
                <w:szCs w:val="21"/>
              </w:rPr>
              <w:t>0.0013</w:t>
            </w:r>
          </w:p>
        </w:tc>
        <w:tc>
          <w:tcPr>
            <w:tcW w:w="860" w:type="pct"/>
            <w:vMerge w:val="continue"/>
            <w:tcBorders>
              <w:left w:val="single" w:color="auto" w:sz="4" w:space="0"/>
              <w:bottom w:val="single" w:color="auto" w:sz="4" w:space="0"/>
              <w:right w:val="single" w:color="auto" w:sz="4" w:space="0"/>
            </w:tcBorders>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atLeast"/>
          <w:jc w:val="center"/>
        </w:trPr>
        <w:tc>
          <w:tcPr>
            <w:tcW w:w="909" w:type="pct"/>
            <w:vMerge w:val="restart"/>
            <w:tcBorders>
              <w:top w:val="single" w:color="auto" w:sz="4" w:space="0"/>
              <w:left w:val="single" w:color="auto" w:sz="4" w:space="0"/>
              <w:right w:val="single" w:color="auto" w:sz="4" w:space="0"/>
            </w:tcBorders>
            <w:noWrap w:val="0"/>
            <w:vAlign w:val="center"/>
          </w:tcPr>
          <w:p>
            <w:pPr>
              <w:jc w:val="center"/>
              <w:rPr>
                <w:rFonts w:hint="eastAsia"/>
                <w:bCs/>
                <w:szCs w:val="21"/>
              </w:rPr>
            </w:pPr>
            <w:r>
              <w:rPr>
                <w:rFonts w:hint="eastAsia"/>
                <w:bCs/>
                <w:szCs w:val="21"/>
              </w:rPr>
              <w:t>1#矿石场</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0</w:t>
            </w:r>
            <w:r>
              <w:rPr>
                <w:szCs w:val="21"/>
              </w:rPr>
              <w:t>3</w:t>
            </w:r>
          </w:p>
        </w:tc>
        <w:tc>
          <w:tcPr>
            <w:tcW w:w="103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林地</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szCs w:val="21"/>
              </w:rPr>
            </w:pPr>
            <w:r>
              <w:rPr>
                <w:szCs w:val="21"/>
              </w:rPr>
              <w:t>0301</w:t>
            </w:r>
          </w:p>
        </w:tc>
        <w:tc>
          <w:tcPr>
            <w:tcW w:w="707"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乔木林地</w:t>
            </w:r>
          </w:p>
        </w:tc>
        <w:tc>
          <w:tcPr>
            <w:tcW w:w="608" w:type="pct"/>
            <w:tcBorders>
              <w:top w:val="single" w:color="auto" w:sz="4" w:space="0"/>
              <w:left w:val="nil"/>
              <w:bottom w:val="single" w:color="auto" w:sz="4" w:space="0"/>
              <w:right w:val="single" w:color="auto" w:sz="4" w:space="0"/>
            </w:tcBorders>
            <w:noWrap w:val="0"/>
            <w:vAlign w:val="center"/>
          </w:tcPr>
          <w:p>
            <w:pPr>
              <w:jc w:val="center"/>
              <w:rPr>
                <w:rFonts w:hint="eastAsia"/>
                <w:szCs w:val="21"/>
              </w:rPr>
            </w:pPr>
            <w:r>
              <w:rPr>
                <w:rFonts w:hint="eastAsia"/>
                <w:szCs w:val="21"/>
              </w:rPr>
              <w:t>0.5461</w:t>
            </w:r>
          </w:p>
        </w:tc>
        <w:tc>
          <w:tcPr>
            <w:tcW w:w="860" w:type="pct"/>
            <w:vMerge w:val="restart"/>
            <w:tcBorders>
              <w:top w:val="single" w:color="auto" w:sz="4" w:space="0"/>
              <w:left w:val="single" w:color="auto" w:sz="4" w:space="0"/>
              <w:right w:val="single" w:color="auto" w:sz="4" w:space="0"/>
            </w:tcBorders>
            <w:noWrap w:val="0"/>
            <w:vAlign w:val="center"/>
          </w:tcPr>
          <w:p>
            <w:pPr>
              <w:jc w:val="center"/>
              <w:rPr>
                <w:szCs w:val="21"/>
              </w:rPr>
            </w:pPr>
            <w:r>
              <w:rPr>
                <w:rFonts w:hint="eastAsia"/>
                <w:szCs w:val="21"/>
              </w:rPr>
              <w:t>0.5608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atLeast"/>
          <w:jc w:val="center"/>
        </w:trPr>
        <w:tc>
          <w:tcPr>
            <w:tcW w:w="909" w:type="pct"/>
            <w:vMerge w:val="continue"/>
            <w:tcBorders>
              <w:left w:val="single" w:color="auto" w:sz="4" w:space="0"/>
              <w:bottom w:val="single" w:color="auto" w:sz="4" w:space="0"/>
              <w:right w:val="single" w:color="auto" w:sz="4" w:space="0"/>
            </w:tcBorders>
            <w:noWrap w:val="0"/>
            <w:vAlign w:val="center"/>
          </w:tcPr>
          <w:p>
            <w:pPr>
              <w:jc w:val="center"/>
              <w:rPr>
                <w:rFonts w:hint="eastAsia"/>
                <w:bCs/>
                <w:szCs w:val="21"/>
              </w:rPr>
            </w:pP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1</w:t>
            </w:r>
            <w:r>
              <w:rPr>
                <w:szCs w:val="21"/>
              </w:rPr>
              <w:t>0</w:t>
            </w:r>
          </w:p>
        </w:tc>
        <w:tc>
          <w:tcPr>
            <w:tcW w:w="103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交通运输用地</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1</w:t>
            </w:r>
            <w:r>
              <w:rPr>
                <w:szCs w:val="21"/>
              </w:rPr>
              <w:t>006</w:t>
            </w:r>
          </w:p>
        </w:tc>
        <w:tc>
          <w:tcPr>
            <w:tcW w:w="707"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农村道路</w:t>
            </w:r>
          </w:p>
        </w:tc>
        <w:tc>
          <w:tcPr>
            <w:tcW w:w="608" w:type="pct"/>
            <w:tcBorders>
              <w:top w:val="single" w:color="auto" w:sz="4" w:space="0"/>
              <w:left w:val="nil"/>
              <w:bottom w:val="single" w:color="auto" w:sz="4" w:space="0"/>
              <w:right w:val="single" w:color="auto" w:sz="4" w:space="0"/>
            </w:tcBorders>
            <w:noWrap w:val="0"/>
            <w:vAlign w:val="center"/>
          </w:tcPr>
          <w:p>
            <w:pPr>
              <w:jc w:val="center"/>
              <w:rPr>
                <w:rFonts w:hint="eastAsia"/>
                <w:szCs w:val="21"/>
              </w:rPr>
            </w:pPr>
            <w:r>
              <w:rPr>
                <w:rFonts w:hint="eastAsia"/>
                <w:szCs w:val="21"/>
              </w:rPr>
              <w:t>0.0147</w:t>
            </w:r>
          </w:p>
        </w:tc>
        <w:tc>
          <w:tcPr>
            <w:tcW w:w="860" w:type="pct"/>
            <w:vMerge w:val="continue"/>
            <w:tcBorders>
              <w:left w:val="single" w:color="auto" w:sz="4" w:space="0"/>
              <w:bottom w:val="single" w:color="auto" w:sz="4" w:space="0"/>
              <w:right w:val="single" w:color="auto" w:sz="4" w:space="0"/>
            </w:tcBorders>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atLeast"/>
          <w:jc w:val="center"/>
        </w:trPr>
        <w:tc>
          <w:tcPr>
            <w:tcW w:w="909" w:type="pct"/>
            <w:tcBorders>
              <w:top w:val="single" w:color="auto" w:sz="4" w:space="0"/>
              <w:left w:val="single" w:color="auto" w:sz="4" w:space="0"/>
              <w:right w:val="single" w:color="auto" w:sz="4" w:space="0"/>
            </w:tcBorders>
            <w:noWrap w:val="0"/>
            <w:vAlign w:val="center"/>
          </w:tcPr>
          <w:p>
            <w:pPr>
              <w:jc w:val="center"/>
              <w:rPr>
                <w:rFonts w:hint="eastAsia"/>
                <w:bCs/>
                <w:szCs w:val="21"/>
              </w:rPr>
            </w:pPr>
            <w:r>
              <w:rPr>
                <w:rFonts w:hint="eastAsia"/>
                <w:bCs/>
                <w:szCs w:val="21"/>
              </w:rPr>
              <w:t>存储间</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0</w:t>
            </w:r>
            <w:r>
              <w:rPr>
                <w:szCs w:val="21"/>
              </w:rPr>
              <w:t>3</w:t>
            </w:r>
          </w:p>
        </w:tc>
        <w:tc>
          <w:tcPr>
            <w:tcW w:w="103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林地</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szCs w:val="21"/>
              </w:rPr>
            </w:pPr>
            <w:r>
              <w:rPr>
                <w:rFonts w:hint="eastAsia"/>
                <w:szCs w:val="21"/>
              </w:rPr>
              <w:t>0</w:t>
            </w:r>
            <w:r>
              <w:rPr>
                <w:szCs w:val="21"/>
              </w:rPr>
              <w:t>30</w:t>
            </w:r>
            <w:r>
              <w:rPr>
                <w:rFonts w:hint="eastAsia"/>
                <w:szCs w:val="21"/>
              </w:rPr>
              <w:t>5</w:t>
            </w:r>
          </w:p>
        </w:tc>
        <w:tc>
          <w:tcPr>
            <w:tcW w:w="707"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灌木林地</w:t>
            </w:r>
          </w:p>
        </w:tc>
        <w:tc>
          <w:tcPr>
            <w:tcW w:w="608" w:type="pct"/>
            <w:tcBorders>
              <w:top w:val="single" w:color="auto" w:sz="4" w:space="0"/>
              <w:left w:val="nil"/>
              <w:bottom w:val="single" w:color="auto" w:sz="4" w:space="0"/>
              <w:right w:val="single" w:color="auto" w:sz="4" w:space="0"/>
            </w:tcBorders>
            <w:noWrap w:val="0"/>
            <w:vAlign w:val="center"/>
          </w:tcPr>
          <w:p>
            <w:pPr>
              <w:jc w:val="center"/>
              <w:rPr>
                <w:rFonts w:hint="eastAsia"/>
                <w:szCs w:val="21"/>
              </w:rPr>
            </w:pPr>
            <w:r>
              <w:rPr>
                <w:rFonts w:hint="eastAsia"/>
                <w:szCs w:val="21"/>
              </w:rPr>
              <w:t>0.0021</w:t>
            </w:r>
          </w:p>
        </w:tc>
        <w:tc>
          <w:tcPr>
            <w:tcW w:w="860" w:type="pct"/>
            <w:tcBorders>
              <w:top w:val="single" w:color="auto" w:sz="4" w:space="0"/>
              <w:left w:val="single" w:color="auto" w:sz="4" w:space="0"/>
              <w:right w:val="single" w:color="auto" w:sz="4" w:space="0"/>
            </w:tcBorders>
            <w:noWrap w:val="0"/>
            <w:vAlign w:val="center"/>
          </w:tcPr>
          <w:p>
            <w:pPr>
              <w:jc w:val="center"/>
              <w:rPr>
                <w:szCs w:val="21"/>
              </w:rPr>
            </w:pPr>
            <w:r>
              <w:rPr>
                <w:rFonts w:hint="eastAsia"/>
                <w:szCs w:val="21"/>
              </w:rPr>
              <w:t>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atLeast"/>
          <w:jc w:val="center"/>
        </w:trPr>
        <w:tc>
          <w:tcPr>
            <w:tcW w:w="909" w:type="pct"/>
            <w:vMerge w:val="restart"/>
            <w:tcBorders>
              <w:top w:val="single" w:color="auto" w:sz="4" w:space="0"/>
              <w:left w:val="single" w:color="auto" w:sz="4" w:space="0"/>
              <w:right w:val="single" w:color="auto" w:sz="4" w:space="0"/>
            </w:tcBorders>
            <w:noWrap w:val="0"/>
            <w:vAlign w:val="center"/>
          </w:tcPr>
          <w:p>
            <w:pPr>
              <w:jc w:val="center"/>
              <w:rPr>
                <w:rFonts w:hint="eastAsia"/>
                <w:bCs/>
                <w:szCs w:val="21"/>
              </w:rPr>
            </w:pPr>
            <w:r>
              <w:rPr>
                <w:rFonts w:hint="eastAsia"/>
                <w:bCs/>
                <w:szCs w:val="21"/>
              </w:rPr>
              <w:t>矿区道路</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0</w:t>
            </w:r>
            <w:r>
              <w:rPr>
                <w:szCs w:val="21"/>
              </w:rPr>
              <w:t>3</w:t>
            </w:r>
          </w:p>
        </w:tc>
        <w:tc>
          <w:tcPr>
            <w:tcW w:w="103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林地</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szCs w:val="21"/>
              </w:rPr>
            </w:pPr>
            <w:r>
              <w:rPr>
                <w:szCs w:val="21"/>
              </w:rPr>
              <w:t>0301</w:t>
            </w:r>
          </w:p>
        </w:tc>
        <w:tc>
          <w:tcPr>
            <w:tcW w:w="707"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乔木林地</w:t>
            </w:r>
          </w:p>
        </w:tc>
        <w:tc>
          <w:tcPr>
            <w:tcW w:w="608" w:type="pct"/>
            <w:tcBorders>
              <w:top w:val="single" w:color="auto" w:sz="4" w:space="0"/>
              <w:left w:val="nil"/>
              <w:bottom w:val="single" w:color="auto" w:sz="4" w:space="0"/>
              <w:right w:val="single" w:color="auto" w:sz="4" w:space="0"/>
            </w:tcBorders>
            <w:noWrap w:val="0"/>
            <w:vAlign w:val="center"/>
          </w:tcPr>
          <w:p>
            <w:pPr>
              <w:jc w:val="center"/>
              <w:rPr>
                <w:rFonts w:hint="eastAsia"/>
                <w:szCs w:val="21"/>
              </w:rPr>
            </w:pPr>
            <w:r>
              <w:rPr>
                <w:rFonts w:hint="eastAsia"/>
                <w:szCs w:val="21"/>
              </w:rPr>
              <w:t>0.0</w:t>
            </w:r>
            <w:r>
              <w:rPr>
                <w:szCs w:val="21"/>
              </w:rPr>
              <w:t>850</w:t>
            </w:r>
          </w:p>
        </w:tc>
        <w:tc>
          <w:tcPr>
            <w:tcW w:w="860" w:type="pct"/>
            <w:vMerge w:val="restart"/>
            <w:tcBorders>
              <w:top w:val="single" w:color="auto" w:sz="4" w:space="0"/>
              <w:left w:val="single" w:color="auto" w:sz="4" w:space="0"/>
              <w:right w:val="single" w:color="auto" w:sz="4" w:space="0"/>
            </w:tcBorders>
            <w:noWrap w:val="0"/>
            <w:vAlign w:val="center"/>
          </w:tcPr>
          <w:p>
            <w:pPr>
              <w:jc w:val="center"/>
              <w:rPr>
                <w:szCs w:val="21"/>
              </w:rPr>
            </w:pPr>
            <w:r>
              <w:rPr>
                <w:rFonts w:hint="eastAsia"/>
                <w:szCs w:val="21"/>
              </w:rPr>
              <w:t>0.3842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atLeast"/>
          <w:jc w:val="center"/>
        </w:trPr>
        <w:tc>
          <w:tcPr>
            <w:tcW w:w="909" w:type="pct"/>
            <w:vMerge w:val="continue"/>
            <w:tcBorders>
              <w:left w:val="single" w:color="auto" w:sz="4" w:space="0"/>
              <w:right w:val="single" w:color="auto" w:sz="4" w:space="0"/>
            </w:tcBorders>
            <w:noWrap w:val="0"/>
            <w:vAlign w:val="center"/>
          </w:tcPr>
          <w:p>
            <w:pPr>
              <w:jc w:val="center"/>
              <w:rPr>
                <w:rFonts w:hint="eastAsia"/>
                <w:bCs/>
                <w:szCs w:val="21"/>
              </w:rPr>
            </w:pP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0</w:t>
            </w:r>
            <w:r>
              <w:rPr>
                <w:szCs w:val="21"/>
              </w:rPr>
              <w:t>3</w:t>
            </w:r>
          </w:p>
        </w:tc>
        <w:tc>
          <w:tcPr>
            <w:tcW w:w="103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林地</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szCs w:val="21"/>
              </w:rPr>
            </w:pPr>
            <w:r>
              <w:rPr>
                <w:rFonts w:hint="eastAsia"/>
                <w:szCs w:val="21"/>
              </w:rPr>
              <w:t>0</w:t>
            </w:r>
            <w:r>
              <w:rPr>
                <w:szCs w:val="21"/>
              </w:rPr>
              <w:t>305</w:t>
            </w:r>
          </w:p>
        </w:tc>
        <w:tc>
          <w:tcPr>
            <w:tcW w:w="707"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灌木林地</w:t>
            </w:r>
          </w:p>
        </w:tc>
        <w:tc>
          <w:tcPr>
            <w:tcW w:w="608" w:type="pct"/>
            <w:tcBorders>
              <w:top w:val="single" w:color="auto" w:sz="4" w:space="0"/>
              <w:left w:val="nil"/>
              <w:bottom w:val="single" w:color="auto" w:sz="4" w:space="0"/>
              <w:right w:val="single" w:color="auto" w:sz="4" w:space="0"/>
            </w:tcBorders>
            <w:noWrap w:val="0"/>
            <w:vAlign w:val="center"/>
          </w:tcPr>
          <w:p>
            <w:pPr>
              <w:jc w:val="center"/>
              <w:rPr>
                <w:rFonts w:hint="eastAsia"/>
                <w:szCs w:val="21"/>
              </w:rPr>
            </w:pPr>
            <w:r>
              <w:rPr>
                <w:rFonts w:hint="eastAsia"/>
                <w:szCs w:val="21"/>
              </w:rPr>
              <w:t>0.1656</w:t>
            </w:r>
          </w:p>
        </w:tc>
        <w:tc>
          <w:tcPr>
            <w:tcW w:w="860" w:type="pct"/>
            <w:vMerge w:val="continue"/>
            <w:tcBorders>
              <w:left w:val="single" w:color="auto" w:sz="4" w:space="0"/>
              <w:right w:val="single" w:color="auto" w:sz="4" w:space="0"/>
            </w:tcBorders>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atLeast"/>
          <w:jc w:val="center"/>
        </w:trPr>
        <w:tc>
          <w:tcPr>
            <w:tcW w:w="909" w:type="pct"/>
            <w:vMerge w:val="continue"/>
            <w:tcBorders>
              <w:left w:val="single" w:color="auto" w:sz="4" w:space="0"/>
              <w:right w:val="single" w:color="auto" w:sz="4" w:space="0"/>
            </w:tcBorders>
            <w:noWrap w:val="0"/>
            <w:vAlign w:val="center"/>
          </w:tcPr>
          <w:p>
            <w:pPr>
              <w:jc w:val="center"/>
              <w:rPr>
                <w:rFonts w:hint="eastAsia"/>
                <w:bCs/>
                <w:szCs w:val="21"/>
              </w:rPr>
            </w:pP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06</w:t>
            </w:r>
          </w:p>
        </w:tc>
        <w:tc>
          <w:tcPr>
            <w:tcW w:w="103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工矿仓储用地</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szCs w:val="21"/>
              </w:rPr>
            </w:pPr>
            <w:r>
              <w:rPr>
                <w:rFonts w:hint="eastAsia"/>
                <w:szCs w:val="21"/>
              </w:rPr>
              <w:t>0602</w:t>
            </w:r>
          </w:p>
        </w:tc>
        <w:tc>
          <w:tcPr>
            <w:tcW w:w="707"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采矿用地</w:t>
            </w:r>
          </w:p>
        </w:tc>
        <w:tc>
          <w:tcPr>
            <w:tcW w:w="608" w:type="pct"/>
            <w:tcBorders>
              <w:top w:val="single" w:color="auto" w:sz="4" w:space="0"/>
              <w:left w:val="nil"/>
              <w:bottom w:val="single" w:color="auto" w:sz="4" w:space="0"/>
              <w:right w:val="single" w:color="auto" w:sz="4" w:space="0"/>
            </w:tcBorders>
            <w:noWrap w:val="0"/>
            <w:vAlign w:val="center"/>
          </w:tcPr>
          <w:p>
            <w:pPr>
              <w:jc w:val="center"/>
              <w:rPr>
                <w:rFonts w:hint="eastAsia"/>
                <w:szCs w:val="21"/>
              </w:rPr>
            </w:pPr>
            <w:r>
              <w:rPr>
                <w:rFonts w:hint="eastAsia"/>
                <w:szCs w:val="21"/>
              </w:rPr>
              <w:t>0.1336</w:t>
            </w:r>
          </w:p>
        </w:tc>
        <w:tc>
          <w:tcPr>
            <w:tcW w:w="860" w:type="pct"/>
            <w:vMerge w:val="continue"/>
            <w:tcBorders>
              <w:left w:val="single" w:color="auto" w:sz="4" w:space="0"/>
              <w:right w:val="single" w:color="auto" w:sz="4" w:space="0"/>
            </w:tcBorders>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atLeast"/>
          <w:jc w:val="center"/>
        </w:trPr>
        <w:tc>
          <w:tcPr>
            <w:tcW w:w="909" w:type="pct"/>
            <w:vMerge w:val="restart"/>
            <w:tcBorders>
              <w:top w:val="single" w:color="auto" w:sz="4" w:space="0"/>
              <w:left w:val="single" w:color="auto" w:sz="4" w:space="0"/>
              <w:right w:val="single" w:color="auto" w:sz="4" w:space="0"/>
            </w:tcBorders>
            <w:noWrap w:val="0"/>
            <w:vAlign w:val="center"/>
          </w:tcPr>
          <w:p>
            <w:pPr>
              <w:jc w:val="center"/>
              <w:rPr>
                <w:rFonts w:hint="eastAsia"/>
                <w:bCs/>
                <w:szCs w:val="21"/>
              </w:rPr>
            </w:pPr>
            <w:r>
              <w:rPr>
                <w:rFonts w:hint="eastAsia"/>
                <w:bCs/>
                <w:szCs w:val="21"/>
              </w:rPr>
              <w:t>拟建取土场</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0</w:t>
            </w:r>
            <w:r>
              <w:rPr>
                <w:szCs w:val="21"/>
              </w:rPr>
              <w:t>3</w:t>
            </w:r>
          </w:p>
        </w:tc>
        <w:tc>
          <w:tcPr>
            <w:tcW w:w="103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林地</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szCs w:val="21"/>
              </w:rPr>
            </w:pPr>
            <w:r>
              <w:rPr>
                <w:szCs w:val="21"/>
              </w:rPr>
              <w:t>0301</w:t>
            </w:r>
          </w:p>
        </w:tc>
        <w:tc>
          <w:tcPr>
            <w:tcW w:w="707"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乔木林地</w:t>
            </w:r>
          </w:p>
        </w:tc>
        <w:tc>
          <w:tcPr>
            <w:tcW w:w="608" w:type="pct"/>
            <w:tcBorders>
              <w:top w:val="single" w:color="auto" w:sz="4" w:space="0"/>
              <w:left w:val="nil"/>
              <w:bottom w:val="single" w:color="auto" w:sz="4" w:space="0"/>
              <w:right w:val="single" w:color="auto" w:sz="4" w:space="0"/>
            </w:tcBorders>
            <w:noWrap w:val="0"/>
            <w:vAlign w:val="center"/>
          </w:tcPr>
          <w:p>
            <w:pPr>
              <w:jc w:val="center"/>
              <w:rPr>
                <w:szCs w:val="21"/>
              </w:rPr>
            </w:pPr>
            <w:r>
              <w:rPr>
                <w:rFonts w:hint="eastAsia"/>
                <w:szCs w:val="21"/>
              </w:rPr>
              <w:t>0.2483</w:t>
            </w:r>
          </w:p>
        </w:tc>
        <w:tc>
          <w:tcPr>
            <w:tcW w:w="860" w:type="pct"/>
            <w:vMerge w:val="restart"/>
            <w:tcBorders>
              <w:top w:val="single" w:color="auto" w:sz="4" w:space="0"/>
              <w:left w:val="single" w:color="auto" w:sz="4" w:space="0"/>
              <w:right w:val="single" w:color="auto" w:sz="4" w:space="0"/>
            </w:tcBorders>
            <w:noWrap w:val="0"/>
            <w:vAlign w:val="center"/>
          </w:tcPr>
          <w:p>
            <w:pPr>
              <w:jc w:val="center"/>
              <w:rPr>
                <w:szCs w:val="21"/>
              </w:rPr>
            </w:pPr>
            <w:r>
              <w:rPr>
                <w:rFonts w:hint="eastAsia"/>
                <w:szCs w:val="21"/>
              </w:rPr>
              <w:t>0.2946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atLeast"/>
          <w:jc w:val="center"/>
        </w:trPr>
        <w:tc>
          <w:tcPr>
            <w:tcW w:w="909" w:type="pct"/>
            <w:vMerge w:val="continue"/>
            <w:tcBorders>
              <w:left w:val="single" w:color="auto" w:sz="4" w:space="0"/>
              <w:bottom w:val="single" w:color="auto" w:sz="4" w:space="0"/>
              <w:right w:val="single" w:color="auto" w:sz="4" w:space="0"/>
            </w:tcBorders>
            <w:noWrap w:val="0"/>
            <w:vAlign w:val="center"/>
          </w:tcPr>
          <w:p>
            <w:pPr>
              <w:jc w:val="center"/>
              <w:rPr>
                <w:bCs/>
                <w:szCs w:val="21"/>
              </w:rPr>
            </w:pP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zCs w:val="21"/>
              </w:rPr>
            </w:pPr>
            <w:r>
              <w:rPr>
                <w:szCs w:val="21"/>
              </w:rPr>
              <w:t>06</w:t>
            </w:r>
          </w:p>
        </w:tc>
        <w:tc>
          <w:tcPr>
            <w:tcW w:w="103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zCs w:val="21"/>
              </w:rPr>
            </w:pPr>
            <w:r>
              <w:rPr>
                <w:rFonts w:hint="eastAsia"/>
                <w:szCs w:val="21"/>
              </w:rPr>
              <w:t>工矿仓储用地</w:t>
            </w:r>
          </w:p>
        </w:tc>
        <w:tc>
          <w:tcPr>
            <w:tcW w:w="44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zCs w:val="21"/>
              </w:rPr>
            </w:pPr>
            <w:r>
              <w:rPr>
                <w:szCs w:val="21"/>
              </w:rPr>
              <w:t>0602</w:t>
            </w:r>
          </w:p>
        </w:tc>
        <w:tc>
          <w:tcPr>
            <w:tcW w:w="707"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宋体" w:hAnsi="宋体"/>
                <w:szCs w:val="21"/>
              </w:rPr>
            </w:pPr>
            <w:r>
              <w:rPr>
                <w:rFonts w:hint="eastAsia"/>
                <w:szCs w:val="21"/>
              </w:rPr>
              <w:t>采矿用地</w:t>
            </w:r>
          </w:p>
        </w:tc>
        <w:tc>
          <w:tcPr>
            <w:tcW w:w="608" w:type="pct"/>
            <w:tcBorders>
              <w:top w:val="single" w:color="auto" w:sz="4" w:space="0"/>
              <w:left w:val="nil"/>
              <w:bottom w:val="single" w:color="auto" w:sz="4" w:space="0"/>
              <w:right w:val="single" w:color="auto" w:sz="4" w:space="0"/>
            </w:tcBorders>
            <w:noWrap w:val="0"/>
            <w:vAlign w:val="center"/>
          </w:tcPr>
          <w:p>
            <w:pPr>
              <w:jc w:val="center"/>
              <w:rPr>
                <w:szCs w:val="21"/>
              </w:rPr>
            </w:pPr>
            <w:r>
              <w:rPr>
                <w:rFonts w:hint="eastAsia"/>
                <w:szCs w:val="21"/>
              </w:rPr>
              <w:t>0.0463</w:t>
            </w:r>
          </w:p>
        </w:tc>
        <w:tc>
          <w:tcPr>
            <w:tcW w:w="860" w:type="pct"/>
            <w:vMerge w:val="continue"/>
            <w:tcBorders>
              <w:left w:val="single" w:color="auto" w:sz="4" w:space="0"/>
              <w:bottom w:val="single" w:color="auto" w:sz="4" w:space="0"/>
              <w:right w:val="single" w:color="auto" w:sz="4" w:space="0"/>
            </w:tcBorders>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atLeast"/>
          <w:jc w:val="center"/>
        </w:trPr>
        <w:tc>
          <w:tcPr>
            <w:tcW w:w="3532" w:type="pct"/>
            <w:gridSpan w:val="5"/>
            <w:tcBorders>
              <w:left w:val="single" w:color="auto" w:sz="4" w:space="0"/>
              <w:right w:val="single" w:color="auto" w:sz="4" w:space="0"/>
            </w:tcBorders>
            <w:noWrap w:val="0"/>
            <w:vAlign w:val="center"/>
          </w:tcPr>
          <w:p>
            <w:pPr>
              <w:adjustRightInd w:val="0"/>
              <w:snapToGrid w:val="0"/>
              <w:jc w:val="center"/>
              <w:rPr>
                <w:rFonts w:hint="eastAsia"/>
                <w:szCs w:val="21"/>
              </w:rPr>
            </w:pPr>
            <w:r>
              <w:rPr>
                <w:rFonts w:hint="eastAsia"/>
                <w:szCs w:val="21"/>
              </w:rPr>
              <w:t>合    计</w:t>
            </w:r>
          </w:p>
        </w:tc>
        <w:tc>
          <w:tcPr>
            <w:tcW w:w="608"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szCs w:val="21"/>
              </w:rPr>
            </w:pPr>
            <w:r>
              <w:rPr>
                <w:szCs w:val="21"/>
              </w:rPr>
              <w:t>5</w:t>
            </w:r>
            <w:r>
              <w:rPr>
                <w:rFonts w:hint="eastAsia"/>
                <w:szCs w:val="21"/>
              </w:rPr>
              <w:t>.51080</w:t>
            </w:r>
          </w:p>
        </w:tc>
        <w:tc>
          <w:tcPr>
            <w:tcW w:w="860" w:type="pct"/>
            <w:tcBorders>
              <w:left w:val="single" w:color="auto" w:sz="4" w:space="0"/>
              <w:right w:val="single" w:color="auto" w:sz="4" w:space="0"/>
            </w:tcBorders>
            <w:noWrap w:val="0"/>
            <w:vAlign w:val="center"/>
          </w:tcPr>
          <w:p>
            <w:pPr>
              <w:adjustRightInd w:val="0"/>
              <w:snapToGrid w:val="0"/>
              <w:jc w:val="center"/>
              <w:rPr>
                <w:rFonts w:ascii="宋体" w:hAnsi="宋体"/>
                <w:szCs w:val="21"/>
              </w:rPr>
            </w:pPr>
            <w:r>
              <w:rPr>
                <w:szCs w:val="21"/>
              </w:rPr>
              <w:t>5</w:t>
            </w:r>
            <w:r>
              <w:rPr>
                <w:rFonts w:hint="eastAsia"/>
                <w:szCs w:val="21"/>
              </w:rPr>
              <w:t>.1368</w:t>
            </w:r>
          </w:p>
        </w:tc>
      </w:tr>
    </w:tbl>
    <w:p>
      <w:pPr>
        <w:pStyle w:val="2"/>
        <w:jc w:val="center"/>
        <w:rPr>
          <w:rFonts w:hint="eastAsia" w:ascii="宋体" w:hAnsi="宋体" w:eastAsia="宋体"/>
          <w:sz w:val="36"/>
          <w:szCs w:val="36"/>
        </w:rPr>
      </w:pPr>
      <w:r>
        <w:rPr>
          <w:rFonts w:ascii="宋体" w:hAnsi="宋体" w:eastAsia="宋体"/>
          <w:sz w:val="36"/>
          <w:szCs w:val="36"/>
        </w:rPr>
        <w:t>五、矿山地质环境监测工程</w:t>
      </w:r>
    </w:p>
    <w:p>
      <w:pPr>
        <w:spacing w:line="360" w:lineRule="auto"/>
        <w:ind w:firstLine="480" w:firstLineChars="200"/>
        <w:rPr>
          <w:rFonts w:hint="eastAsia" w:ascii="宋体" w:hAnsi="宋体"/>
          <w:bCs/>
          <w:sz w:val="24"/>
        </w:rPr>
      </w:pPr>
      <w:r>
        <w:rPr>
          <w:rFonts w:ascii="宋体" w:hAnsi="宋体"/>
          <w:sz w:val="24"/>
        </w:rPr>
        <w:t>矿山地质环境监测包括地质灾害监测、地形地貌景观监测。监测的主要目的是掌握崩塌、滑坡、泥石流等的发生情况</w:t>
      </w:r>
      <w:r>
        <w:rPr>
          <w:rFonts w:hint="eastAsia" w:ascii="宋体" w:hAnsi="宋体"/>
          <w:sz w:val="24"/>
        </w:rPr>
        <w:t>，</w:t>
      </w:r>
      <w:r>
        <w:rPr>
          <w:rFonts w:ascii="宋体" w:hAnsi="宋体"/>
          <w:sz w:val="24"/>
        </w:rPr>
        <w:t>矿山地质环境问题在时间上和空间上的变化情况以及分布和发生的规律，为实施矿山地质环境有效监管提供基础资料和依据，根据具体问题制定</w:t>
      </w:r>
    </w:p>
    <w:p>
      <w:pPr>
        <w:pStyle w:val="51"/>
        <w:spacing w:line="360" w:lineRule="auto"/>
        <w:ind w:firstLine="482"/>
        <w:rPr>
          <w:rFonts w:ascii="宋体" w:hAnsi="宋体" w:eastAsia="宋体"/>
          <w:b/>
          <w:sz w:val="24"/>
          <w:lang w:eastAsia="zh-CN"/>
        </w:rPr>
      </w:pPr>
      <w:bookmarkStart w:id="11" w:name="_Toc148251065"/>
      <w:r>
        <w:rPr>
          <w:rFonts w:hint="eastAsia" w:ascii="宋体" w:hAnsi="宋体" w:eastAsia="宋体"/>
          <w:b/>
          <w:sz w:val="24"/>
          <w:lang w:eastAsia="zh-CN"/>
        </w:rPr>
        <w:t>（一）</w:t>
      </w:r>
      <w:r>
        <w:rPr>
          <w:rFonts w:ascii="宋体" w:hAnsi="宋体" w:eastAsia="宋体"/>
          <w:b/>
          <w:sz w:val="24"/>
          <w:lang w:eastAsia="zh-CN"/>
        </w:rPr>
        <w:t>监测设计</w:t>
      </w:r>
      <w:bookmarkEnd w:id="11"/>
    </w:p>
    <w:p>
      <w:pPr>
        <w:pStyle w:val="51"/>
        <w:spacing w:line="360" w:lineRule="auto"/>
        <w:ind w:firstLine="482"/>
        <w:rPr>
          <w:rFonts w:ascii="宋体" w:hAnsi="宋体" w:eastAsia="宋体"/>
          <w:b/>
          <w:sz w:val="24"/>
          <w:lang w:eastAsia="zh-CN"/>
        </w:rPr>
      </w:pPr>
      <w:r>
        <w:rPr>
          <w:rFonts w:hint="eastAsia" w:ascii="宋体" w:hAnsi="宋体" w:eastAsia="宋体"/>
          <w:b/>
          <w:sz w:val="24"/>
          <w:lang w:eastAsia="zh-CN"/>
        </w:rPr>
        <w:t>1、</w:t>
      </w:r>
      <w:r>
        <w:rPr>
          <w:rFonts w:ascii="宋体" w:hAnsi="宋体" w:eastAsia="宋体"/>
          <w:b/>
          <w:sz w:val="24"/>
          <w:lang w:eastAsia="zh-CN"/>
        </w:rPr>
        <w:t>地质灾害监测</w:t>
      </w:r>
    </w:p>
    <w:p>
      <w:pPr>
        <w:spacing w:line="360" w:lineRule="auto"/>
        <w:ind w:firstLine="482" w:firstLineChars="200"/>
        <w:rPr>
          <w:rFonts w:ascii="宋体" w:hAnsi="宋体"/>
          <w:b/>
          <w:sz w:val="24"/>
        </w:rPr>
      </w:pPr>
      <w:r>
        <w:rPr>
          <w:rFonts w:ascii="宋体" w:hAnsi="宋体"/>
          <w:b/>
          <w:sz w:val="24"/>
        </w:rPr>
        <w:t xml:space="preserve">（1）监测内容 </w:t>
      </w:r>
    </w:p>
    <w:p>
      <w:pPr>
        <w:spacing w:line="360" w:lineRule="auto"/>
        <w:ind w:firstLine="480" w:firstLineChars="200"/>
        <w:rPr>
          <w:rFonts w:hint="eastAsia" w:ascii="宋体" w:hAnsi="宋体"/>
          <w:sz w:val="24"/>
        </w:rPr>
      </w:pPr>
      <w:r>
        <w:rPr>
          <w:rFonts w:ascii="宋体" w:hAnsi="宋体"/>
          <w:sz w:val="24"/>
        </w:rPr>
        <w:t>主要监测崩塌、滑坡地质灾害隐患监测。</w:t>
      </w:r>
      <w:r>
        <w:rPr>
          <w:rFonts w:hint="eastAsia" w:ascii="宋体" w:hAnsi="宋体"/>
          <w:sz w:val="24"/>
        </w:rPr>
        <w:t>本期</w:t>
      </w:r>
      <w:r>
        <w:rPr>
          <w:rFonts w:ascii="宋体" w:hAnsi="宋体"/>
          <w:sz w:val="24"/>
        </w:rPr>
        <w:t>重点为露天</w:t>
      </w:r>
      <w:r>
        <w:rPr>
          <w:rFonts w:hint="eastAsia" w:ascii="宋体" w:hAnsi="宋体"/>
          <w:sz w:val="24"/>
        </w:rPr>
        <w:t>采场高陡</w:t>
      </w:r>
      <w:r>
        <w:rPr>
          <w:rFonts w:ascii="宋体" w:hAnsi="宋体"/>
          <w:sz w:val="24"/>
        </w:rPr>
        <w:t>边坡</w:t>
      </w:r>
      <w:r>
        <w:rPr>
          <w:rFonts w:hint="eastAsia" w:ascii="宋体" w:hAnsi="宋体"/>
          <w:sz w:val="24"/>
        </w:rPr>
        <w:t>，治理中由于机械振动</w:t>
      </w:r>
      <w:r>
        <w:rPr>
          <w:rFonts w:ascii="宋体" w:hAnsi="宋体"/>
          <w:sz w:val="24"/>
        </w:rPr>
        <w:t>可能引发的崩塌等地质灾害，要密切监测</w:t>
      </w:r>
      <w:r>
        <w:rPr>
          <w:rFonts w:hint="eastAsia" w:ascii="宋体" w:hAnsi="宋体"/>
          <w:sz w:val="24"/>
        </w:rPr>
        <w:t>边坡</w:t>
      </w:r>
      <w:r>
        <w:rPr>
          <w:rFonts w:ascii="宋体" w:hAnsi="宋体"/>
          <w:sz w:val="24"/>
        </w:rPr>
        <w:t>的变化。</w:t>
      </w:r>
    </w:p>
    <w:p>
      <w:pPr>
        <w:spacing w:line="360" w:lineRule="auto"/>
        <w:ind w:firstLine="482" w:firstLineChars="200"/>
        <w:rPr>
          <w:rFonts w:ascii="宋体" w:hAnsi="宋体"/>
          <w:b/>
          <w:sz w:val="24"/>
        </w:rPr>
      </w:pPr>
      <w:r>
        <w:rPr>
          <w:rFonts w:hint="eastAsia" w:ascii="宋体" w:hAnsi="宋体"/>
          <w:b/>
          <w:sz w:val="24"/>
        </w:rPr>
        <w:t>（2）</w:t>
      </w:r>
      <w:r>
        <w:rPr>
          <w:rFonts w:ascii="宋体" w:hAnsi="宋体"/>
          <w:b/>
          <w:sz w:val="24"/>
        </w:rPr>
        <w:t>监测位置</w:t>
      </w:r>
      <w:r>
        <w:rPr>
          <w:rFonts w:hint="eastAsia" w:ascii="宋体" w:hAnsi="宋体"/>
          <w:b/>
          <w:sz w:val="24"/>
        </w:rPr>
        <w:t>及监测点布设</w:t>
      </w:r>
    </w:p>
    <w:p>
      <w:pPr>
        <w:spacing w:line="360" w:lineRule="auto"/>
        <w:ind w:firstLine="480" w:firstLineChars="200"/>
        <w:rPr>
          <w:rFonts w:ascii="宋体" w:hAnsi="宋体" w:cs="宋体"/>
          <w:sz w:val="24"/>
        </w:rPr>
      </w:pPr>
      <w:r>
        <w:rPr>
          <w:rFonts w:hint="eastAsia" w:ascii="宋体" w:hAnsi="宋体"/>
          <w:sz w:val="24"/>
        </w:rPr>
        <w:t>露天采场边坡</w:t>
      </w:r>
      <w:r>
        <w:rPr>
          <w:rFonts w:hint="eastAsia" w:ascii="宋体" w:hAnsi="宋体" w:cs="宋体"/>
          <w:sz w:val="24"/>
        </w:rPr>
        <w:t>采用人工肉眼巡视监测和设备（RTK全站仪、手持GPS）监测相结合的方法，由矿方确定专业监测人员，定时对边坡及上方地表变形情况进行测量、记录、分析、总结、汇报。设置监测点之间距离不超过200m。</w:t>
      </w:r>
    </w:p>
    <w:p>
      <w:pPr>
        <w:spacing w:line="360" w:lineRule="auto"/>
        <w:ind w:firstLine="482" w:firstLineChars="200"/>
        <w:rPr>
          <w:rFonts w:ascii="宋体" w:hAnsi="宋体"/>
          <w:b/>
          <w:sz w:val="24"/>
        </w:rPr>
      </w:pPr>
      <w:r>
        <w:rPr>
          <w:rFonts w:hint="eastAsia" w:ascii="宋体" w:hAnsi="宋体"/>
          <w:b/>
          <w:sz w:val="24"/>
        </w:rPr>
        <w:t>（3）</w:t>
      </w:r>
      <w:r>
        <w:rPr>
          <w:rFonts w:ascii="宋体" w:hAnsi="宋体"/>
          <w:b/>
          <w:sz w:val="24"/>
        </w:rPr>
        <w:t>监测方法</w:t>
      </w:r>
    </w:p>
    <w:p>
      <w:pPr>
        <w:spacing w:line="360" w:lineRule="auto"/>
        <w:ind w:firstLine="480" w:firstLineChars="200"/>
        <w:rPr>
          <w:rFonts w:hint="eastAsia" w:ascii="宋体" w:hAnsi="宋体"/>
          <w:sz w:val="24"/>
        </w:rPr>
      </w:pPr>
      <w:r>
        <w:rPr>
          <w:rFonts w:ascii="宋体" w:hAnsi="宋体"/>
          <w:sz w:val="24"/>
        </w:rPr>
        <w:t>采用人工巡查方法</w:t>
      </w:r>
      <w:r>
        <w:rPr>
          <w:rFonts w:hint="eastAsia" w:ascii="宋体" w:hAnsi="宋体"/>
          <w:sz w:val="24"/>
        </w:rPr>
        <w:t>，</w:t>
      </w:r>
      <w:r>
        <w:rPr>
          <w:rFonts w:ascii="宋体" w:hAnsi="宋体"/>
          <w:sz w:val="24"/>
        </w:rPr>
        <w:t>监测地质灾害的发生，安排专门人员定期进行巡查，并做好监测记录。</w:t>
      </w:r>
    </w:p>
    <w:p>
      <w:pPr>
        <w:spacing w:line="360" w:lineRule="auto"/>
        <w:ind w:firstLine="482" w:firstLineChars="200"/>
        <w:rPr>
          <w:rFonts w:ascii="宋体" w:hAnsi="宋体"/>
          <w:b/>
          <w:sz w:val="24"/>
        </w:rPr>
      </w:pPr>
      <w:r>
        <w:rPr>
          <w:rFonts w:hint="eastAsia" w:ascii="宋体" w:hAnsi="宋体"/>
          <w:b/>
          <w:sz w:val="24"/>
        </w:rPr>
        <w:t>（</w:t>
      </w:r>
      <w:r>
        <w:rPr>
          <w:rFonts w:ascii="宋体" w:hAnsi="宋体"/>
          <w:b/>
          <w:sz w:val="24"/>
        </w:rPr>
        <w:t>4</w:t>
      </w:r>
      <w:r>
        <w:rPr>
          <w:rFonts w:hint="eastAsia" w:ascii="宋体" w:hAnsi="宋体"/>
          <w:b/>
          <w:sz w:val="24"/>
        </w:rPr>
        <w:t>）技术要求</w:t>
      </w:r>
    </w:p>
    <w:p>
      <w:pPr>
        <w:spacing w:line="360" w:lineRule="auto"/>
        <w:ind w:firstLine="480" w:firstLineChars="200"/>
        <w:rPr>
          <w:rFonts w:hint="eastAsia" w:ascii="宋体" w:hAnsi="宋体"/>
          <w:sz w:val="24"/>
        </w:rPr>
      </w:pPr>
      <w:r>
        <w:rPr>
          <w:rFonts w:hint="eastAsia" w:ascii="宋体" w:hAnsi="宋体"/>
          <w:sz w:val="24"/>
        </w:rPr>
        <w:t>参考《矿山地质环境监测技术规程》（DZ/T0287-2015）进行监测。由矿山企业负责或委托具有经验的专业单位进行监测，实施监测单位最好具有国家有关部门颁布的相关资质证书，从事监测工作的技术人员也应具有上岗证书。</w:t>
      </w:r>
    </w:p>
    <w:p>
      <w:pPr>
        <w:spacing w:line="360" w:lineRule="auto"/>
        <w:ind w:firstLine="482" w:firstLineChars="200"/>
        <w:rPr>
          <w:rFonts w:ascii="宋体" w:hAnsi="宋体"/>
          <w:b/>
          <w:bCs/>
          <w:sz w:val="24"/>
        </w:rPr>
      </w:pPr>
      <w:r>
        <w:rPr>
          <w:rFonts w:ascii="宋体" w:hAnsi="宋体"/>
          <w:b/>
          <w:bCs/>
          <w:sz w:val="24"/>
        </w:rPr>
        <w:t>2、</w:t>
      </w:r>
      <w:r>
        <w:rPr>
          <w:rFonts w:hint="eastAsia" w:ascii="宋体" w:hAnsi="宋体"/>
          <w:b/>
          <w:bCs/>
          <w:sz w:val="24"/>
        </w:rPr>
        <w:t>含水层破坏的</w:t>
      </w:r>
      <w:r>
        <w:rPr>
          <w:rFonts w:ascii="宋体" w:hAnsi="宋体"/>
          <w:b/>
          <w:bCs/>
          <w:sz w:val="24"/>
        </w:rPr>
        <w:t>监测</w:t>
      </w:r>
    </w:p>
    <w:p>
      <w:pPr>
        <w:pStyle w:val="51"/>
        <w:spacing w:line="360" w:lineRule="auto"/>
        <w:ind w:firstLine="480"/>
        <w:rPr>
          <w:rFonts w:ascii="宋体" w:hAnsi="宋体" w:eastAsia="宋体" w:cs="宋体"/>
          <w:sz w:val="24"/>
          <w:lang w:val="en-US" w:eastAsia="zh-CN"/>
        </w:rPr>
      </w:pPr>
      <w:r>
        <w:rPr>
          <w:rFonts w:hint="eastAsia" w:ascii="宋体" w:hAnsi="宋体" w:eastAsia="宋体" w:cs="宋体"/>
          <w:sz w:val="24"/>
          <w:lang w:val="en-US" w:eastAsia="zh-CN"/>
        </w:rPr>
        <w:t>不设计监测内容。</w:t>
      </w:r>
    </w:p>
    <w:p>
      <w:pPr>
        <w:spacing w:line="360" w:lineRule="auto"/>
        <w:ind w:firstLine="482" w:firstLineChars="200"/>
        <w:rPr>
          <w:rFonts w:ascii="宋体" w:hAnsi="宋体"/>
          <w:b/>
          <w:bCs/>
          <w:sz w:val="24"/>
        </w:rPr>
      </w:pPr>
      <w:r>
        <w:rPr>
          <w:rFonts w:ascii="宋体" w:hAnsi="宋体"/>
          <w:b/>
          <w:bCs/>
          <w:sz w:val="24"/>
        </w:rPr>
        <w:t>3、</w:t>
      </w:r>
      <w:r>
        <w:rPr>
          <w:rFonts w:hint="eastAsia" w:ascii="宋体" w:hAnsi="宋体"/>
          <w:b/>
          <w:bCs/>
          <w:sz w:val="24"/>
        </w:rPr>
        <w:t>水土环境污染</w:t>
      </w:r>
      <w:r>
        <w:rPr>
          <w:rFonts w:ascii="宋体" w:hAnsi="宋体"/>
          <w:b/>
          <w:bCs/>
          <w:sz w:val="24"/>
        </w:rPr>
        <w:t>监测</w:t>
      </w:r>
    </w:p>
    <w:p>
      <w:pPr>
        <w:spacing w:line="360" w:lineRule="auto"/>
        <w:ind w:firstLine="480" w:firstLineChars="200"/>
        <w:rPr>
          <w:rFonts w:hint="eastAsia" w:ascii="宋体" w:hAnsi="宋体" w:cs="宋体"/>
          <w:sz w:val="24"/>
        </w:rPr>
      </w:pPr>
      <w:r>
        <w:rPr>
          <w:rFonts w:hint="eastAsia" w:ascii="宋体" w:hAnsi="宋体" w:cs="宋体"/>
          <w:sz w:val="24"/>
        </w:rPr>
        <w:t>矿山为停产矿山，本期不设计监测内容。</w:t>
      </w:r>
    </w:p>
    <w:p>
      <w:pPr>
        <w:spacing w:line="360" w:lineRule="auto"/>
        <w:ind w:firstLine="482" w:firstLineChars="200"/>
        <w:rPr>
          <w:rFonts w:hint="eastAsia" w:ascii="宋体" w:hAnsi="宋体" w:cs="宋体"/>
          <w:b/>
          <w:sz w:val="24"/>
        </w:rPr>
      </w:pPr>
      <w:r>
        <w:rPr>
          <w:rFonts w:hint="eastAsia" w:ascii="宋体" w:hAnsi="宋体" w:cs="宋体"/>
          <w:b/>
          <w:sz w:val="24"/>
        </w:rPr>
        <w:t>4、地形地貌景观及土地复垦监测</w:t>
      </w:r>
    </w:p>
    <w:p>
      <w:pPr>
        <w:spacing w:line="360" w:lineRule="auto"/>
        <w:ind w:firstLine="480" w:firstLineChars="200"/>
        <w:rPr>
          <w:rFonts w:hint="eastAsia" w:ascii="宋体" w:hAnsi="宋体" w:cs="宋体"/>
          <w:sz w:val="24"/>
        </w:rPr>
      </w:pPr>
      <w:r>
        <w:rPr>
          <w:rFonts w:hint="eastAsia" w:ascii="宋体" w:hAnsi="宋体" w:cs="宋体"/>
          <w:sz w:val="24"/>
        </w:rPr>
        <w:t>（1）监测范围</w:t>
      </w:r>
    </w:p>
    <w:p>
      <w:pPr>
        <w:spacing w:line="360" w:lineRule="auto"/>
        <w:ind w:firstLine="480" w:firstLineChars="200"/>
        <w:rPr>
          <w:rFonts w:hint="eastAsia" w:ascii="宋体" w:hAnsi="宋体" w:cs="宋体"/>
          <w:bCs/>
          <w:sz w:val="24"/>
        </w:rPr>
      </w:pPr>
      <w:r>
        <w:rPr>
          <w:rFonts w:hint="eastAsia" w:ascii="宋体" w:hAnsi="宋体" w:cs="宋体"/>
          <w:bCs/>
          <w:sz w:val="24"/>
        </w:rPr>
        <w:t>矿山地质环境影响范围及土地复垦责任区。</w:t>
      </w:r>
    </w:p>
    <w:p>
      <w:pPr>
        <w:spacing w:line="360" w:lineRule="auto"/>
        <w:ind w:firstLine="480" w:firstLineChars="200"/>
        <w:rPr>
          <w:rFonts w:hint="eastAsia" w:ascii="宋体" w:hAnsi="宋体" w:cs="宋体"/>
          <w:sz w:val="24"/>
        </w:rPr>
      </w:pPr>
      <w:r>
        <w:rPr>
          <w:rFonts w:hint="eastAsia" w:ascii="宋体" w:hAnsi="宋体" w:cs="宋体"/>
          <w:sz w:val="24"/>
        </w:rPr>
        <w:t>（2）监测内容</w:t>
      </w:r>
    </w:p>
    <w:p>
      <w:pPr>
        <w:spacing w:line="360" w:lineRule="auto"/>
        <w:ind w:firstLine="480" w:firstLineChars="200"/>
        <w:rPr>
          <w:rFonts w:hint="eastAsia" w:ascii="宋体" w:hAnsi="宋体" w:cs="宋体"/>
          <w:sz w:val="24"/>
        </w:rPr>
      </w:pPr>
      <w:r>
        <w:rPr>
          <w:rFonts w:hint="eastAsia" w:ascii="宋体" w:hAnsi="宋体" w:cs="宋体"/>
          <w:sz w:val="24"/>
        </w:rPr>
        <w:t>为保护采矿必要破坏土地以外的土地免受破坏，对评估区内土地资源、地形地貌景观进行监测，</w:t>
      </w:r>
      <w:r>
        <w:rPr>
          <w:rFonts w:hint="eastAsia" w:ascii="宋体" w:hAnsi="宋体"/>
          <w:sz w:val="24"/>
        </w:rPr>
        <w:t>监测</w:t>
      </w:r>
      <w:r>
        <w:rPr>
          <w:rFonts w:ascii="宋体" w:hAnsi="宋体"/>
          <w:sz w:val="24"/>
        </w:rPr>
        <w:t>矿区生态重建与植被恢复效果</w:t>
      </w:r>
      <w:r>
        <w:rPr>
          <w:rFonts w:hint="eastAsia" w:ascii="宋体" w:hAnsi="宋体"/>
          <w:sz w:val="24"/>
        </w:rPr>
        <w:t>。</w:t>
      </w:r>
      <w:r>
        <w:rPr>
          <w:rFonts w:hint="eastAsia" w:ascii="宋体" w:hAnsi="宋体" w:cs="宋体"/>
          <w:sz w:val="24"/>
        </w:rPr>
        <w:t>主要监测内容见表5-5。</w:t>
      </w:r>
    </w:p>
    <w:p>
      <w:pPr>
        <w:spacing w:line="360" w:lineRule="auto"/>
        <w:ind w:firstLine="480" w:firstLineChars="200"/>
        <w:rPr>
          <w:rFonts w:hint="eastAsia" w:ascii="宋体" w:hAnsi="宋体" w:cs="宋体"/>
          <w:sz w:val="24"/>
        </w:rPr>
      </w:pPr>
      <w:r>
        <w:rPr>
          <w:rFonts w:hint="eastAsia" w:ascii="宋体" w:hAnsi="宋体" w:cs="宋体"/>
          <w:sz w:val="24"/>
        </w:rPr>
        <w:t>（3）监测方法</w:t>
      </w:r>
    </w:p>
    <w:p>
      <w:pPr>
        <w:spacing w:line="360" w:lineRule="auto"/>
        <w:ind w:firstLine="480" w:firstLineChars="200"/>
        <w:rPr>
          <w:rFonts w:hint="eastAsia" w:ascii="宋体" w:hAnsi="宋体" w:cs="宋体"/>
          <w:sz w:val="24"/>
        </w:rPr>
      </w:pPr>
      <w:r>
        <w:rPr>
          <w:rFonts w:hint="eastAsia" w:ascii="宋体" w:hAnsi="宋体" w:cs="宋体"/>
          <w:sz w:val="24"/>
        </w:rPr>
        <w:t>采用目测及拍照摄像相结合的方式，采用路线法，设置监测路线长度为1.58km，对评估区内各工程场地的外观表现特征参数进行监测，对各区破坏的土地类型进行实地调查。</w:t>
      </w:r>
    </w:p>
    <w:p>
      <w:pPr>
        <w:spacing w:line="360" w:lineRule="auto"/>
        <w:ind w:firstLine="480" w:firstLineChars="200"/>
        <w:rPr>
          <w:rFonts w:hint="eastAsia" w:ascii="宋体" w:hAnsi="宋体" w:cs="宋体"/>
          <w:sz w:val="24"/>
        </w:rPr>
      </w:pPr>
      <w:r>
        <w:rPr>
          <w:rFonts w:hint="eastAsia" w:ascii="宋体" w:hAnsi="宋体" w:cs="宋体"/>
          <w:sz w:val="24"/>
        </w:rPr>
        <w:t>（4）监测频率</w:t>
      </w:r>
    </w:p>
    <w:p>
      <w:pPr>
        <w:spacing w:line="360" w:lineRule="auto"/>
        <w:ind w:firstLine="480" w:firstLineChars="200"/>
        <w:rPr>
          <w:rFonts w:hint="eastAsia" w:ascii="宋体" w:hAnsi="宋体" w:cs="宋体"/>
          <w:sz w:val="24"/>
        </w:rPr>
      </w:pPr>
      <w:r>
        <w:rPr>
          <w:rFonts w:hint="eastAsia" w:ascii="宋体" w:hAnsi="宋体" w:cs="宋体"/>
          <w:sz w:val="24"/>
        </w:rPr>
        <w:t>每月目测1次，每年对场地占用情况进行一次仪器测量并拍照摄像，共监测60次。</w:t>
      </w:r>
    </w:p>
    <w:p>
      <w:pPr>
        <w:spacing w:line="360" w:lineRule="auto"/>
        <w:ind w:firstLine="480" w:firstLineChars="200"/>
        <w:rPr>
          <w:rFonts w:hint="eastAsia" w:ascii="宋体" w:hAnsi="宋体" w:cs="宋体"/>
          <w:sz w:val="24"/>
        </w:rPr>
      </w:pPr>
      <w:r>
        <w:rPr>
          <w:rFonts w:hint="eastAsia" w:ascii="宋体" w:hAnsi="宋体" w:cs="宋体"/>
          <w:sz w:val="24"/>
        </w:rPr>
        <w:t>（5）监测时间</w:t>
      </w:r>
    </w:p>
    <w:p>
      <w:pPr>
        <w:spacing w:line="360" w:lineRule="auto"/>
        <w:ind w:firstLine="480" w:firstLineChars="200"/>
        <w:rPr>
          <w:rFonts w:hint="eastAsia" w:ascii="宋体" w:hAnsi="宋体"/>
          <w:sz w:val="24"/>
        </w:rPr>
      </w:pPr>
      <w:r>
        <w:rPr>
          <w:rFonts w:hint="eastAsia" w:ascii="宋体" w:hAnsi="宋体" w:cs="宋体"/>
          <w:sz w:val="24"/>
        </w:rPr>
        <w:t>202</w:t>
      </w:r>
      <w:r>
        <w:rPr>
          <w:rFonts w:ascii="宋体" w:hAnsi="宋体" w:cs="宋体"/>
          <w:sz w:val="24"/>
        </w:rPr>
        <w:t>4</w:t>
      </w:r>
      <w:r>
        <w:rPr>
          <w:rFonts w:hint="eastAsia" w:ascii="宋体" w:hAnsi="宋体" w:cs="宋体"/>
          <w:sz w:val="24"/>
        </w:rPr>
        <w:t>年</w:t>
      </w:r>
      <w:r>
        <w:rPr>
          <w:rFonts w:ascii="宋体" w:hAnsi="宋体" w:cs="宋体"/>
          <w:sz w:val="24"/>
        </w:rPr>
        <w:t>1</w:t>
      </w:r>
      <w:r>
        <w:rPr>
          <w:rFonts w:hint="eastAsia" w:ascii="宋体" w:hAnsi="宋体" w:cs="宋体"/>
          <w:sz w:val="24"/>
        </w:rPr>
        <w:t>月1日-20</w:t>
      </w:r>
      <w:r>
        <w:rPr>
          <w:rFonts w:ascii="宋体" w:hAnsi="宋体" w:cs="宋体"/>
          <w:sz w:val="24"/>
        </w:rPr>
        <w:t>28</w:t>
      </w:r>
      <w:r>
        <w:rPr>
          <w:rFonts w:hint="eastAsia" w:ascii="宋体" w:hAnsi="宋体" w:cs="宋体"/>
          <w:sz w:val="24"/>
        </w:rPr>
        <w:t>年</w:t>
      </w:r>
      <w:r>
        <w:rPr>
          <w:rFonts w:ascii="宋体" w:hAnsi="宋体" w:cs="宋体"/>
          <w:sz w:val="24"/>
        </w:rPr>
        <w:t>12月31日</w:t>
      </w:r>
      <w:r>
        <w:rPr>
          <w:rFonts w:hint="eastAsia" w:ascii="宋体" w:hAnsi="宋体" w:cs="宋体"/>
          <w:sz w:val="24"/>
        </w:rPr>
        <w:t>，监测记录格式见表5-</w:t>
      </w:r>
      <w:r>
        <w:rPr>
          <w:rFonts w:ascii="宋体" w:hAnsi="宋体" w:cs="宋体"/>
          <w:sz w:val="24"/>
        </w:rPr>
        <w:t>1</w:t>
      </w:r>
      <w:r>
        <w:rPr>
          <w:rFonts w:hint="eastAsia" w:ascii="宋体" w:hAnsi="宋体" w:cs="宋体"/>
          <w:sz w:val="24"/>
        </w:rPr>
        <w:t>。</w:t>
      </w:r>
    </w:p>
    <w:p>
      <w:pPr>
        <w:jc w:val="center"/>
        <w:rPr>
          <w:rFonts w:ascii="宋体" w:hAnsi="宋体"/>
          <w:b/>
          <w:bCs/>
          <w:sz w:val="24"/>
        </w:rPr>
      </w:pPr>
      <w:r>
        <w:rPr>
          <w:rFonts w:hint="eastAsia" w:ascii="宋体" w:hAnsi="宋体"/>
          <w:b/>
          <w:bCs/>
          <w:sz w:val="24"/>
        </w:rPr>
        <w:t>表5-</w:t>
      </w:r>
      <w:r>
        <w:rPr>
          <w:rFonts w:ascii="宋体" w:hAnsi="宋体"/>
          <w:b/>
          <w:bCs/>
          <w:sz w:val="24"/>
        </w:rPr>
        <w:t>1</w:t>
      </w:r>
      <w:r>
        <w:rPr>
          <w:rFonts w:hint="eastAsia" w:ascii="宋体" w:hAnsi="宋体"/>
          <w:b/>
          <w:bCs/>
          <w:sz w:val="24"/>
        </w:rPr>
        <w:t xml:space="preserve">    地形地貌及土地复垦监测记录表</w:t>
      </w:r>
    </w:p>
    <w:tbl>
      <w:tblPr>
        <w:tblStyle w:val="24"/>
        <w:tblW w:w="5000" w:type="pct"/>
        <w:tblInd w:w="0" w:type="dxa"/>
        <w:tblLayout w:type="autofit"/>
        <w:tblCellMar>
          <w:top w:w="0" w:type="dxa"/>
          <w:left w:w="108" w:type="dxa"/>
          <w:bottom w:w="0" w:type="dxa"/>
          <w:right w:w="108" w:type="dxa"/>
        </w:tblCellMar>
      </w:tblPr>
      <w:tblGrid>
        <w:gridCol w:w="1056"/>
        <w:gridCol w:w="1040"/>
        <w:gridCol w:w="1299"/>
        <w:gridCol w:w="1057"/>
        <w:gridCol w:w="1476"/>
        <w:gridCol w:w="1323"/>
        <w:gridCol w:w="637"/>
        <w:gridCol w:w="634"/>
      </w:tblGrid>
      <w:tr>
        <w:tblPrEx>
          <w:tblCellMar>
            <w:top w:w="0" w:type="dxa"/>
            <w:left w:w="108" w:type="dxa"/>
            <w:bottom w:w="0" w:type="dxa"/>
            <w:right w:w="108" w:type="dxa"/>
          </w:tblCellMar>
        </w:tblPrEx>
        <w:trPr>
          <w:trHeight w:val="429" w:hRule="atLeast"/>
        </w:trPr>
        <w:tc>
          <w:tcPr>
            <w:tcW w:w="620"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监测</w:t>
            </w:r>
          </w:p>
          <w:p>
            <w:pPr>
              <w:jc w:val="center"/>
              <w:rPr>
                <w:rFonts w:hint="eastAsia" w:ascii="宋体" w:hAnsi="宋体" w:cs="宋体"/>
                <w:szCs w:val="21"/>
              </w:rPr>
            </w:pPr>
            <w:r>
              <w:rPr>
                <w:rFonts w:hint="eastAsia" w:ascii="宋体" w:hAnsi="宋体" w:cs="宋体"/>
                <w:szCs w:val="21"/>
              </w:rPr>
              <w:t>时间</w:t>
            </w:r>
          </w:p>
        </w:tc>
        <w:tc>
          <w:tcPr>
            <w:tcW w:w="610" w:type="pct"/>
            <w:vMerge w:val="restar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监测人</w:t>
            </w:r>
          </w:p>
        </w:tc>
        <w:tc>
          <w:tcPr>
            <w:tcW w:w="2248" w:type="pct"/>
            <w:gridSpan w:val="3"/>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监测内容</w:t>
            </w:r>
          </w:p>
        </w:tc>
        <w:tc>
          <w:tcPr>
            <w:tcW w:w="776" w:type="pct"/>
            <w:vMerge w:val="restar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监测位置</w:t>
            </w:r>
          </w:p>
        </w:tc>
        <w:tc>
          <w:tcPr>
            <w:tcW w:w="746" w:type="pct"/>
            <w:gridSpan w:val="2"/>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损毁类型</w:t>
            </w:r>
          </w:p>
        </w:tc>
      </w:tr>
      <w:tr>
        <w:tblPrEx>
          <w:tblCellMar>
            <w:top w:w="0" w:type="dxa"/>
            <w:left w:w="108" w:type="dxa"/>
            <w:bottom w:w="0" w:type="dxa"/>
            <w:right w:w="108" w:type="dxa"/>
          </w:tblCellMar>
        </w:tblPrEx>
        <w:trPr>
          <w:trHeight w:val="666" w:hRule="atLeast"/>
        </w:trPr>
        <w:tc>
          <w:tcPr>
            <w:tcW w:w="620"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Cs w:val="21"/>
              </w:rPr>
            </w:pPr>
          </w:p>
        </w:tc>
        <w:tc>
          <w:tcPr>
            <w:tcW w:w="610" w:type="pct"/>
            <w:vMerge w:val="continue"/>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c>
          <w:tcPr>
            <w:tcW w:w="762"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地形地貌</w:t>
            </w:r>
          </w:p>
          <w:p>
            <w:pPr>
              <w:jc w:val="center"/>
              <w:rPr>
                <w:rFonts w:hint="eastAsia" w:ascii="宋体" w:hAnsi="宋体" w:cs="宋体"/>
                <w:szCs w:val="21"/>
              </w:rPr>
            </w:pPr>
            <w:r>
              <w:rPr>
                <w:rFonts w:hint="eastAsia" w:ascii="宋体" w:hAnsi="宋体" w:cs="宋体"/>
                <w:szCs w:val="21"/>
              </w:rPr>
              <w:t>景观</w:t>
            </w:r>
          </w:p>
        </w:tc>
        <w:tc>
          <w:tcPr>
            <w:tcW w:w="620"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土地</w:t>
            </w:r>
          </w:p>
          <w:p>
            <w:pPr>
              <w:jc w:val="center"/>
              <w:rPr>
                <w:rFonts w:hint="eastAsia" w:ascii="宋体" w:hAnsi="宋体" w:cs="宋体"/>
                <w:szCs w:val="21"/>
              </w:rPr>
            </w:pPr>
            <w:r>
              <w:rPr>
                <w:rFonts w:hint="eastAsia" w:ascii="宋体" w:hAnsi="宋体" w:cs="宋体"/>
                <w:szCs w:val="21"/>
              </w:rPr>
              <w:t>资源</w:t>
            </w:r>
          </w:p>
        </w:tc>
        <w:tc>
          <w:tcPr>
            <w:tcW w:w="866"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随意堆放</w:t>
            </w:r>
          </w:p>
          <w:p>
            <w:pPr>
              <w:jc w:val="center"/>
              <w:rPr>
                <w:rFonts w:hint="eastAsia" w:ascii="宋体" w:hAnsi="宋体" w:cs="宋体"/>
                <w:szCs w:val="21"/>
              </w:rPr>
            </w:pPr>
            <w:r>
              <w:rPr>
                <w:rFonts w:hint="eastAsia" w:ascii="宋体" w:hAnsi="宋体" w:cs="宋体"/>
                <w:szCs w:val="21"/>
              </w:rPr>
              <w:t>情况</w:t>
            </w:r>
          </w:p>
        </w:tc>
        <w:tc>
          <w:tcPr>
            <w:tcW w:w="776" w:type="pct"/>
            <w:vMerge w:val="continue"/>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挖损</w:t>
            </w:r>
          </w:p>
        </w:tc>
        <w:tc>
          <w:tcPr>
            <w:tcW w:w="372"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压占</w:t>
            </w:r>
          </w:p>
        </w:tc>
      </w:tr>
      <w:tr>
        <w:tblPrEx>
          <w:tblCellMar>
            <w:top w:w="0" w:type="dxa"/>
            <w:left w:w="108" w:type="dxa"/>
            <w:bottom w:w="0" w:type="dxa"/>
            <w:right w:w="108" w:type="dxa"/>
          </w:tblCellMar>
        </w:tblPrEx>
        <w:trPr>
          <w:trHeight w:val="339" w:hRule="atLeast"/>
        </w:trPr>
        <w:tc>
          <w:tcPr>
            <w:tcW w:w="62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Cs w:val="21"/>
              </w:rPr>
            </w:pPr>
          </w:p>
        </w:tc>
        <w:tc>
          <w:tcPr>
            <w:tcW w:w="610"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c>
          <w:tcPr>
            <w:tcW w:w="762"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c>
          <w:tcPr>
            <w:tcW w:w="620"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c>
          <w:tcPr>
            <w:tcW w:w="866"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c>
          <w:tcPr>
            <w:tcW w:w="776"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c>
          <w:tcPr>
            <w:tcW w:w="372"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r>
      <w:tr>
        <w:tblPrEx>
          <w:tblCellMar>
            <w:top w:w="0" w:type="dxa"/>
            <w:left w:w="108" w:type="dxa"/>
            <w:bottom w:w="0" w:type="dxa"/>
            <w:right w:w="108" w:type="dxa"/>
          </w:tblCellMar>
        </w:tblPrEx>
        <w:trPr>
          <w:trHeight w:val="273" w:hRule="atLeast"/>
        </w:trPr>
        <w:tc>
          <w:tcPr>
            <w:tcW w:w="62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Cs w:val="21"/>
              </w:rPr>
            </w:pPr>
          </w:p>
        </w:tc>
        <w:tc>
          <w:tcPr>
            <w:tcW w:w="610"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c>
          <w:tcPr>
            <w:tcW w:w="762"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c>
          <w:tcPr>
            <w:tcW w:w="620"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c>
          <w:tcPr>
            <w:tcW w:w="866"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c>
          <w:tcPr>
            <w:tcW w:w="776"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c>
          <w:tcPr>
            <w:tcW w:w="372"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r>
      <w:tr>
        <w:tblPrEx>
          <w:tblCellMar>
            <w:top w:w="0" w:type="dxa"/>
            <w:left w:w="108" w:type="dxa"/>
            <w:bottom w:w="0" w:type="dxa"/>
            <w:right w:w="108" w:type="dxa"/>
          </w:tblCellMar>
        </w:tblPrEx>
        <w:trPr>
          <w:trHeight w:val="235" w:hRule="atLeast"/>
        </w:trPr>
        <w:tc>
          <w:tcPr>
            <w:tcW w:w="62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Cs w:val="21"/>
              </w:rPr>
            </w:pPr>
          </w:p>
        </w:tc>
        <w:tc>
          <w:tcPr>
            <w:tcW w:w="610"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c>
          <w:tcPr>
            <w:tcW w:w="762"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c>
          <w:tcPr>
            <w:tcW w:w="620"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c>
          <w:tcPr>
            <w:tcW w:w="866"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c>
          <w:tcPr>
            <w:tcW w:w="776"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c>
          <w:tcPr>
            <w:tcW w:w="374"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c>
          <w:tcPr>
            <w:tcW w:w="372"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p>
        </w:tc>
      </w:tr>
    </w:tbl>
    <w:p>
      <w:pPr>
        <w:pStyle w:val="2"/>
        <w:jc w:val="center"/>
        <w:rPr>
          <w:rFonts w:hint="eastAsia" w:ascii="宋体" w:hAnsi="宋体" w:eastAsia="宋体"/>
          <w:sz w:val="36"/>
          <w:szCs w:val="36"/>
        </w:rPr>
      </w:pPr>
      <w:bookmarkStart w:id="12" w:name="_Toc148251066"/>
      <w:r>
        <w:rPr>
          <w:rFonts w:hint="eastAsia" w:ascii="宋体" w:hAnsi="宋体" w:eastAsia="宋体"/>
          <w:sz w:val="36"/>
          <w:szCs w:val="36"/>
        </w:rPr>
        <w:t>六</w:t>
      </w:r>
      <w:r>
        <w:rPr>
          <w:rFonts w:ascii="宋体" w:hAnsi="宋体" w:eastAsia="宋体"/>
          <w:sz w:val="36"/>
          <w:szCs w:val="36"/>
        </w:rPr>
        <w:t>、本年度矿山治理计划</w:t>
      </w:r>
      <w:bookmarkEnd w:id="12"/>
    </w:p>
    <w:p>
      <w:pPr>
        <w:pStyle w:val="8"/>
        <w:spacing w:line="360" w:lineRule="auto"/>
        <w:ind w:firstLine="482" w:firstLineChars="200"/>
        <w:rPr>
          <w:rFonts w:hint="eastAsia"/>
          <w:b/>
          <w:sz w:val="24"/>
          <w:szCs w:val="24"/>
          <w:lang w:eastAsia="zh-CN"/>
        </w:rPr>
      </w:pPr>
      <w:r>
        <w:rPr>
          <w:rFonts w:hint="eastAsia"/>
          <w:b/>
          <w:sz w:val="24"/>
          <w:szCs w:val="24"/>
          <w:lang w:eastAsia="zh-CN"/>
        </w:rPr>
        <w:t>1、原《治理方案》规划的近期治理工程内容</w:t>
      </w:r>
    </w:p>
    <w:p>
      <w:pPr>
        <w:spacing w:line="360" w:lineRule="auto"/>
        <w:ind w:firstLine="480" w:firstLineChars="200"/>
        <w:rPr>
          <w:rFonts w:hint="eastAsia" w:ascii="宋体" w:hAnsi="宋体"/>
          <w:bCs/>
          <w:sz w:val="24"/>
        </w:rPr>
      </w:pPr>
      <w:r>
        <w:rPr>
          <w:rFonts w:hint="eastAsia" w:ascii="宋体" w:hAnsi="宋体"/>
          <w:bCs/>
          <w:sz w:val="24"/>
        </w:rPr>
        <w:t>（1）202</w:t>
      </w:r>
      <w:r>
        <w:rPr>
          <w:rFonts w:ascii="宋体" w:hAnsi="宋体"/>
          <w:bCs/>
          <w:sz w:val="24"/>
        </w:rPr>
        <w:t>4</w:t>
      </w:r>
      <w:r>
        <w:rPr>
          <w:rFonts w:hint="eastAsia" w:ascii="宋体" w:hAnsi="宋体"/>
          <w:bCs/>
          <w:sz w:val="24"/>
        </w:rPr>
        <w:t>年</w:t>
      </w:r>
      <w:r>
        <w:rPr>
          <w:rFonts w:ascii="宋体" w:hAnsi="宋体"/>
          <w:bCs/>
          <w:sz w:val="24"/>
        </w:rPr>
        <w:t>1</w:t>
      </w:r>
      <w:r>
        <w:rPr>
          <w:rFonts w:hint="eastAsia" w:ascii="宋体" w:hAnsi="宋体"/>
          <w:bCs/>
          <w:sz w:val="24"/>
        </w:rPr>
        <w:t>月-202</w:t>
      </w:r>
      <w:r>
        <w:rPr>
          <w:rFonts w:ascii="宋体" w:hAnsi="宋体"/>
          <w:bCs/>
          <w:sz w:val="24"/>
        </w:rPr>
        <w:t>4</w:t>
      </w:r>
      <w:r>
        <w:rPr>
          <w:rFonts w:hint="eastAsia" w:ascii="宋体" w:hAnsi="宋体"/>
          <w:bCs/>
          <w:sz w:val="24"/>
        </w:rPr>
        <w:t>年</w:t>
      </w:r>
      <w:r>
        <w:rPr>
          <w:rFonts w:ascii="宋体" w:hAnsi="宋体"/>
          <w:bCs/>
          <w:sz w:val="24"/>
        </w:rPr>
        <w:t>12</w:t>
      </w:r>
      <w:r>
        <w:rPr>
          <w:rFonts w:hint="eastAsia" w:ascii="宋体" w:hAnsi="宋体"/>
          <w:bCs/>
          <w:sz w:val="24"/>
        </w:rPr>
        <w:t>月工作安排</w:t>
      </w:r>
    </w:p>
    <w:p>
      <w:pPr>
        <w:spacing w:line="360" w:lineRule="auto"/>
        <w:ind w:firstLine="480" w:firstLineChars="200"/>
        <w:rPr>
          <w:rFonts w:hint="eastAsia" w:ascii="宋体" w:hAnsi="宋体"/>
          <w:bCs/>
          <w:sz w:val="24"/>
        </w:rPr>
      </w:pPr>
      <w:r>
        <w:rPr>
          <w:rFonts w:hint="eastAsia" w:ascii="宋体" w:hAnsi="宋体"/>
          <w:bCs/>
          <w:sz w:val="24"/>
        </w:rPr>
        <w:t>①对1#露天采场采坑回填，垫坡。</w:t>
      </w:r>
    </w:p>
    <w:p>
      <w:pPr>
        <w:spacing w:line="360" w:lineRule="auto"/>
        <w:ind w:firstLine="480" w:firstLineChars="200"/>
        <w:rPr>
          <w:rFonts w:hint="eastAsia" w:ascii="宋体" w:hAnsi="宋体"/>
          <w:bCs/>
          <w:sz w:val="24"/>
        </w:rPr>
      </w:pPr>
      <w:r>
        <w:rPr>
          <w:rFonts w:hint="eastAsia" w:ascii="宋体" w:hAnsi="宋体"/>
          <w:bCs/>
          <w:sz w:val="24"/>
        </w:rPr>
        <w:t>（2）202</w:t>
      </w:r>
      <w:r>
        <w:rPr>
          <w:rFonts w:ascii="宋体" w:hAnsi="宋体"/>
          <w:bCs/>
          <w:sz w:val="24"/>
        </w:rPr>
        <w:t>5</w:t>
      </w:r>
      <w:r>
        <w:rPr>
          <w:rFonts w:hint="eastAsia" w:ascii="宋体" w:hAnsi="宋体"/>
          <w:bCs/>
          <w:sz w:val="24"/>
        </w:rPr>
        <w:t>年</w:t>
      </w:r>
      <w:r>
        <w:rPr>
          <w:rFonts w:ascii="宋体" w:hAnsi="宋体"/>
          <w:bCs/>
          <w:sz w:val="24"/>
        </w:rPr>
        <w:t>1</w:t>
      </w:r>
      <w:r>
        <w:rPr>
          <w:rFonts w:hint="eastAsia" w:ascii="宋体" w:hAnsi="宋体"/>
          <w:bCs/>
          <w:sz w:val="24"/>
        </w:rPr>
        <w:t>月-202</w:t>
      </w:r>
      <w:r>
        <w:rPr>
          <w:rFonts w:ascii="宋体" w:hAnsi="宋体"/>
          <w:bCs/>
          <w:sz w:val="24"/>
        </w:rPr>
        <w:t>5</w:t>
      </w:r>
      <w:r>
        <w:rPr>
          <w:rFonts w:hint="eastAsia" w:ascii="宋体" w:hAnsi="宋体"/>
          <w:bCs/>
          <w:sz w:val="24"/>
        </w:rPr>
        <w:t>年</w:t>
      </w:r>
      <w:r>
        <w:rPr>
          <w:rFonts w:ascii="宋体" w:hAnsi="宋体"/>
          <w:bCs/>
          <w:sz w:val="24"/>
        </w:rPr>
        <w:t>12</w:t>
      </w:r>
      <w:r>
        <w:rPr>
          <w:rFonts w:hint="eastAsia" w:ascii="宋体" w:hAnsi="宋体"/>
          <w:bCs/>
          <w:sz w:val="24"/>
        </w:rPr>
        <w:t>月工作安排</w:t>
      </w:r>
    </w:p>
    <w:p>
      <w:pPr>
        <w:spacing w:line="360" w:lineRule="auto"/>
        <w:ind w:firstLine="480" w:firstLineChars="200"/>
        <w:rPr>
          <w:rFonts w:hint="eastAsia" w:ascii="宋体" w:hAnsi="宋体"/>
          <w:bCs/>
          <w:sz w:val="24"/>
        </w:rPr>
      </w:pPr>
      <w:r>
        <w:rPr>
          <w:rFonts w:hint="eastAsia" w:ascii="宋体" w:hAnsi="宋体"/>
          <w:bCs/>
          <w:sz w:val="24"/>
        </w:rPr>
        <w:t>①对1#露天采场采场整个场地整形（整平），平台后期作为建设用地（工业场地）留用。</w:t>
      </w:r>
    </w:p>
    <w:p>
      <w:pPr>
        <w:spacing w:line="360" w:lineRule="auto"/>
        <w:ind w:firstLine="480" w:firstLineChars="200"/>
        <w:rPr>
          <w:rFonts w:hint="eastAsia" w:ascii="宋体" w:hAnsi="宋体"/>
          <w:bCs/>
          <w:sz w:val="24"/>
        </w:rPr>
      </w:pPr>
      <w:r>
        <w:rPr>
          <w:rFonts w:hint="eastAsia" w:ascii="宋体" w:hAnsi="宋体"/>
          <w:bCs/>
          <w:sz w:val="24"/>
        </w:rPr>
        <w:t>②对</w:t>
      </w:r>
      <w:r>
        <w:rPr>
          <w:rFonts w:ascii="宋体" w:hAnsi="宋体"/>
          <w:bCs/>
          <w:sz w:val="24"/>
        </w:rPr>
        <w:t>2</w:t>
      </w:r>
      <w:r>
        <w:rPr>
          <w:rFonts w:hint="eastAsia" w:ascii="宋体" w:hAnsi="宋体"/>
          <w:bCs/>
          <w:sz w:val="24"/>
        </w:rPr>
        <w:t>#露天采场采坑底部回填、垫坡。</w:t>
      </w:r>
    </w:p>
    <w:p>
      <w:pPr>
        <w:spacing w:line="360" w:lineRule="auto"/>
        <w:ind w:firstLine="480" w:firstLineChars="200"/>
        <w:rPr>
          <w:rFonts w:hint="eastAsia" w:ascii="宋体" w:hAnsi="宋体"/>
          <w:bCs/>
          <w:sz w:val="24"/>
        </w:rPr>
      </w:pPr>
      <w:r>
        <w:rPr>
          <w:rFonts w:hint="eastAsia" w:ascii="宋体" w:hAnsi="宋体"/>
          <w:bCs/>
          <w:sz w:val="24"/>
        </w:rPr>
        <w:t>（3）202</w:t>
      </w:r>
      <w:r>
        <w:rPr>
          <w:rFonts w:ascii="宋体" w:hAnsi="宋体"/>
          <w:bCs/>
          <w:sz w:val="24"/>
        </w:rPr>
        <w:t>6</w:t>
      </w:r>
      <w:r>
        <w:rPr>
          <w:rFonts w:hint="eastAsia" w:ascii="宋体" w:hAnsi="宋体"/>
          <w:bCs/>
          <w:sz w:val="24"/>
        </w:rPr>
        <w:t>年</w:t>
      </w:r>
      <w:r>
        <w:rPr>
          <w:rFonts w:ascii="宋体" w:hAnsi="宋体"/>
          <w:bCs/>
          <w:sz w:val="24"/>
        </w:rPr>
        <w:t>1</w:t>
      </w:r>
      <w:r>
        <w:rPr>
          <w:rFonts w:hint="eastAsia" w:ascii="宋体" w:hAnsi="宋体"/>
          <w:bCs/>
          <w:sz w:val="24"/>
        </w:rPr>
        <w:t>月-202</w:t>
      </w:r>
      <w:r>
        <w:rPr>
          <w:rFonts w:ascii="宋体" w:hAnsi="宋体"/>
          <w:bCs/>
          <w:sz w:val="24"/>
        </w:rPr>
        <w:t>6</w:t>
      </w:r>
      <w:r>
        <w:rPr>
          <w:rFonts w:hint="eastAsia" w:ascii="宋体" w:hAnsi="宋体"/>
          <w:bCs/>
          <w:sz w:val="24"/>
        </w:rPr>
        <w:t>年</w:t>
      </w:r>
      <w:r>
        <w:rPr>
          <w:rFonts w:ascii="宋体" w:hAnsi="宋体"/>
          <w:bCs/>
          <w:sz w:val="24"/>
        </w:rPr>
        <w:t>12</w:t>
      </w:r>
      <w:r>
        <w:rPr>
          <w:rFonts w:hint="eastAsia" w:ascii="宋体" w:hAnsi="宋体"/>
          <w:bCs/>
          <w:sz w:val="24"/>
        </w:rPr>
        <w:t>月工作安排</w:t>
      </w:r>
    </w:p>
    <w:p>
      <w:pPr>
        <w:spacing w:line="360" w:lineRule="auto"/>
        <w:ind w:firstLine="480" w:firstLineChars="200"/>
        <w:rPr>
          <w:rFonts w:hint="eastAsia" w:ascii="宋体" w:hAnsi="宋体"/>
          <w:bCs/>
          <w:sz w:val="24"/>
        </w:rPr>
      </w:pPr>
      <w:r>
        <w:rPr>
          <w:rFonts w:hint="eastAsia" w:ascii="宋体" w:hAnsi="宋体"/>
          <w:bCs/>
          <w:sz w:val="24"/>
        </w:rPr>
        <w:t>①对</w:t>
      </w:r>
      <w:r>
        <w:rPr>
          <w:rFonts w:ascii="宋体" w:hAnsi="宋体"/>
          <w:bCs/>
          <w:sz w:val="24"/>
        </w:rPr>
        <w:t>2</w:t>
      </w:r>
      <w:r>
        <w:rPr>
          <w:rFonts w:hint="eastAsia" w:ascii="宋体" w:hAnsi="宋体"/>
          <w:bCs/>
          <w:sz w:val="24"/>
        </w:rPr>
        <w:t>#露天采场边坡垫坡（削坡）、整形。</w:t>
      </w:r>
    </w:p>
    <w:p>
      <w:pPr>
        <w:spacing w:line="360" w:lineRule="auto"/>
        <w:ind w:firstLine="480" w:firstLineChars="200"/>
        <w:rPr>
          <w:rFonts w:hint="eastAsia" w:ascii="宋体" w:hAnsi="宋体"/>
          <w:bCs/>
          <w:sz w:val="24"/>
        </w:rPr>
      </w:pPr>
      <w:r>
        <w:rPr>
          <w:rFonts w:hint="eastAsia" w:ascii="宋体" w:hAnsi="宋体"/>
          <w:bCs/>
          <w:sz w:val="24"/>
        </w:rPr>
        <w:t>②对存储间拆除清运</w:t>
      </w:r>
    </w:p>
    <w:p>
      <w:pPr>
        <w:spacing w:line="360" w:lineRule="auto"/>
        <w:ind w:firstLine="480" w:firstLineChars="200"/>
        <w:rPr>
          <w:rFonts w:hint="eastAsia" w:ascii="宋体" w:hAnsi="宋体"/>
          <w:bCs/>
          <w:sz w:val="24"/>
        </w:rPr>
      </w:pPr>
      <w:r>
        <w:rPr>
          <w:rFonts w:hint="eastAsia" w:ascii="宋体" w:hAnsi="宋体"/>
          <w:bCs/>
          <w:sz w:val="24"/>
        </w:rPr>
        <w:t>③对1#矿石堆清运</w:t>
      </w:r>
    </w:p>
    <w:p>
      <w:pPr>
        <w:spacing w:line="360" w:lineRule="auto"/>
        <w:ind w:firstLine="480" w:firstLineChars="200"/>
        <w:rPr>
          <w:rFonts w:hint="eastAsia" w:ascii="宋体" w:hAnsi="宋体"/>
          <w:bCs/>
          <w:sz w:val="24"/>
        </w:rPr>
      </w:pPr>
      <w:r>
        <w:rPr>
          <w:rFonts w:hint="eastAsia" w:ascii="宋体" w:hAnsi="宋体"/>
          <w:bCs/>
          <w:sz w:val="24"/>
        </w:rPr>
        <w:t>（4）2027年</w:t>
      </w:r>
      <w:r>
        <w:rPr>
          <w:rFonts w:ascii="宋体" w:hAnsi="宋体"/>
          <w:bCs/>
          <w:sz w:val="24"/>
        </w:rPr>
        <w:t>1</w:t>
      </w:r>
      <w:r>
        <w:rPr>
          <w:rFonts w:hint="eastAsia" w:ascii="宋体" w:hAnsi="宋体"/>
          <w:bCs/>
          <w:sz w:val="24"/>
        </w:rPr>
        <w:t>月-2027年11月工作安排</w:t>
      </w:r>
    </w:p>
    <w:p>
      <w:pPr>
        <w:spacing w:line="360" w:lineRule="auto"/>
        <w:ind w:firstLine="480" w:firstLineChars="200"/>
        <w:rPr>
          <w:rFonts w:hint="eastAsia" w:ascii="宋体" w:hAnsi="宋体"/>
          <w:bCs/>
          <w:sz w:val="24"/>
        </w:rPr>
      </w:pPr>
      <w:r>
        <w:rPr>
          <w:rFonts w:hint="eastAsia" w:ascii="宋体" w:hAnsi="宋体"/>
          <w:bCs/>
          <w:sz w:val="24"/>
        </w:rPr>
        <w:t>①对1#露天采场采坑边坡覆土、恢复植被。</w:t>
      </w:r>
    </w:p>
    <w:p>
      <w:pPr>
        <w:spacing w:line="360" w:lineRule="auto"/>
        <w:ind w:firstLine="480" w:firstLineChars="200"/>
        <w:rPr>
          <w:rFonts w:hint="eastAsia" w:ascii="宋体" w:hAnsi="宋体"/>
          <w:bCs/>
          <w:sz w:val="24"/>
        </w:rPr>
      </w:pPr>
      <w:r>
        <w:rPr>
          <w:rFonts w:hint="eastAsia" w:ascii="宋体" w:hAnsi="宋体"/>
          <w:bCs/>
          <w:sz w:val="24"/>
        </w:rPr>
        <w:t>②对</w:t>
      </w:r>
      <w:r>
        <w:rPr>
          <w:rFonts w:ascii="宋体" w:hAnsi="宋体"/>
          <w:bCs/>
          <w:sz w:val="24"/>
        </w:rPr>
        <w:t>2</w:t>
      </w:r>
      <w:r>
        <w:rPr>
          <w:rFonts w:hint="eastAsia" w:ascii="宋体" w:hAnsi="宋体"/>
          <w:bCs/>
          <w:sz w:val="24"/>
        </w:rPr>
        <w:t>#露天采场整个场地覆土、恢复植被。</w:t>
      </w:r>
    </w:p>
    <w:p>
      <w:pPr>
        <w:spacing w:line="360" w:lineRule="auto"/>
        <w:ind w:firstLine="480" w:firstLineChars="200"/>
        <w:rPr>
          <w:rFonts w:hint="eastAsia" w:ascii="宋体" w:hAnsi="宋体"/>
          <w:bCs/>
          <w:sz w:val="24"/>
        </w:rPr>
      </w:pPr>
      <w:r>
        <w:rPr>
          <w:rFonts w:hint="eastAsia" w:ascii="宋体" w:hAnsi="宋体"/>
          <w:bCs/>
          <w:sz w:val="24"/>
        </w:rPr>
        <w:t>③对存储间翻耕、恢复植被</w:t>
      </w:r>
    </w:p>
    <w:p>
      <w:pPr>
        <w:spacing w:line="360" w:lineRule="auto"/>
        <w:ind w:firstLine="480" w:firstLineChars="200"/>
        <w:rPr>
          <w:rFonts w:hint="eastAsia" w:ascii="宋体" w:hAnsi="宋体"/>
          <w:bCs/>
          <w:sz w:val="24"/>
        </w:rPr>
      </w:pPr>
      <w:r>
        <w:rPr>
          <w:rFonts w:hint="eastAsia" w:ascii="宋体" w:hAnsi="宋体"/>
          <w:bCs/>
          <w:sz w:val="24"/>
        </w:rPr>
        <w:t>④对1#矿石堆翻耕、恢复植被。</w:t>
      </w:r>
    </w:p>
    <w:p>
      <w:pPr>
        <w:spacing w:line="360" w:lineRule="auto"/>
        <w:ind w:firstLine="480" w:firstLineChars="200"/>
        <w:rPr>
          <w:rFonts w:ascii="宋体" w:hAnsi="宋体"/>
          <w:bCs/>
          <w:sz w:val="24"/>
        </w:rPr>
      </w:pPr>
      <w:r>
        <w:rPr>
          <w:rFonts w:hint="eastAsia" w:ascii="宋体" w:hAnsi="宋体"/>
          <w:bCs/>
          <w:sz w:val="24"/>
        </w:rPr>
        <w:t>⑤对矿区道路垫坡、覆土、恢复植被。</w:t>
      </w:r>
    </w:p>
    <w:p>
      <w:pPr>
        <w:spacing w:line="360" w:lineRule="auto"/>
        <w:ind w:firstLine="480" w:firstLineChars="200"/>
        <w:rPr>
          <w:rFonts w:hint="eastAsia" w:ascii="宋体" w:hAnsi="宋体"/>
          <w:bCs/>
          <w:sz w:val="24"/>
        </w:rPr>
      </w:pPr>
      <w:r>
        <w:rPr>
          <w:rFonts w:hint="eastAsia" w:ascii="宋体" w:hAnsi="宋体"/>
          <w:bCs/>
          <w:sz w:val="24"/>
        </w:rPr>
        <w:t>⑥拟建取土场、整平，恢复植被。</w:t>
      </w:r>
    </w:p>
    <w:p>
      <w:pPr>
        <w:spacing w:line="360" w:lineRule="auto"/>
        <w:ind w:left="480"/>
        <w:rPr>
          <w:rFonts w:hint="eastAsia" w:ascii="宋体" w:hAnsi="宋体"/>
          <w:bCs/>
          <w:sz w:val="24"/>
        </w:rPr>
      </w:pPr>
      <w:r>
        <w:rPr>
          <w:rFonts w:hint="eastAsia" w:ascii="宋体" w:hAnsi="宋体"/>
          <w:bCs/>
          <w:sz w:val="24"/>
        </w:rPr>
        <w:t>治理计划具体见表</w:t>
      </w:r>
      <w:r>
        <w:rPr>
          <w:rFonts w:ascii="宋体" w:hAnsi="宋体"/>
          <w:bCs/>
          <w:sz w:val="24"/>
        </w:rPr>
        <w:t>6-1</w:t>
      </w:r>
      <w:r>
        <w:rPr>
          <w:rFonts w:hint="eastAsia" w:ascii="宋体" w:hAnsi="宋体"/>
          <w:bCs/>
          <w:sz w:val="24"/>
        </w:rPr>
        <w:t>。</w:t>
      </w:r>
    </w:p>
    <w:p>
      <w:pPr>
        <w:pStyle w:val="55"/>
        <w:ind w:firstLine="482"/>
        <w:rPr>
          <w:rFonts w:hAnsi="宋体"/>
          <w:b/>
          <w:bCs/>
          <w:color w:val="auto"/>
        </w:rPr>
      </w:pPr>
      <w:r>
        <w:rPr>
          <w:rFonts w:hint="eastAsia" w:hAnsi="宋体"/>
          <w:b/>
          <w:bCs/>
          <w:color w:val="auto"/>
        </w:rPr>
        <w:t>表</w:t>
      </w:r>
      <w:r>
        <w:rPr>
          <w:rFonts w:hAnsi="宋体"/>
          <w:b/>
          <w:bCs/>
          <w:color w:val="auto"/>
        </w:rPr>
        <w:t>6-1</w:t>
      </w:r>
      <w:r>
        <w:rPr>
          <w:rFonts w:hint="eastAsia" w:hAnsi="宋体"/>
          <w:b/>
          <w:bCs/>
          <w:color w:val="auto"/>
        </w:rPr>
        <w:t xml:space="preserve">  矿山地质环境治理与土地复垦年度计划近期工程量及施工费用一览表</w:t>
      </w:r>
    </w:p>
    <w:tbl>
      <w:tblPr>
        <w:tblStyle w:val="24"/>
        <w:tblW w:w="5000" w:type="pct"/>
        <w:tblInd w:w="0" w:type="dxa"/>
        <w:tblLayout w:type="autofit"/>
        <w:tblCellMar>
          <w:top w:w="0" w:type="dxa"/>
          <w:left w:w="108" w:type="dxa"/>
          <w:bottom w:w="0" w:type="dxa"/>
          <w:right w:w="108" w:type="dxa"/>
        </w:tblCellMar>
      </w:tblPr>
      <w:tblGrid>
        <w:gridCol w:w="2345"/>
        <w:gridCol w:w="1706"/>
        <w:gridCol w:w="1428"/>
        <w:gridCol w:w="595"/>
        <w:gridCol w:w="856"/>
        <w:gridCol w:w="1592"/>
      </w:tblGrid>
      <w:tr>
        <w:tblPrEx>
          <w:tblCellMar>
            <w:top w:w="0" w:type="dxa"/>
            <w:left w:w="108" w:type="dxa"/>
            <w:bottom w:w="0" w:type="dxa"/>
            <w:right w:w="108" w:type="dxa"/>
          </w:tblCellMar>
        </w:tblPrEx>
        <w:trPr>
          <w:wBefore w:w="0" w:type="dxa"/>
          <w:wAfter w:w="0" w:type="dxa"/>
          <w:trHeight w:val="576" w:hRule="atLeast"/>
          <w:tblHeader/>
        </w:trPr>
        <w:tc>
          <w:tcPr>
            <w:tcW w:w="1376" w:type="pc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zCs w:val="21"/>
              </w:rPr>
            </w:pPr>
            <w:r>
              <w:rPr>
                <w:rFonts w:hint="eastAsia" w:ascii="宋体" w:hAnsi="宋体" w:cs="宋体"/>
                <w:szCs w:val="21"/>
              </w:rPr>
              <w:t>治理期限</w:t>
            </w:r>
          </w:p>
        </w:tc>
        <w:tc>
          <w:tcPr>
            <w:tcW w:w="1001"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治理单元</w:t>
            </w:r>
          </w:p>
        </w:tc>
        <w:tc>
          <w:tcPr>
            <w:tcW w:w="838"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治理工程内容</w:t>
            </w:r>
          </w:p>
        </w:tc>
        <w:tc>
          <w:tcPr>
            <w:tcW w:w="349"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单位</w:t>
            </w:r>
          </w:p>
        </w:tc>
        <w:tc>
          <w:tcPr>
            <w:tcW w:w="502"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工程量</w:t>
            </w:r>
          </w:p>
        </w:tc>
        <w:tc>
          <w:tcPr>
            <w:tcW w:w="933" w:type="pct"/>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治理费用（万元）</w:t>
            </w:r>
          </w:p>
        </w:tc>
      </w:tr>
      <w:tr>
        <w:tblPrEx>
          <w:tblCellMar>
            <w:top w:w="0" w:type="dxa"/>
            <w:left w:w="108" w:type="dxa"/>
            <w:bottom w:w="0" w:type="dxa"/>
            <w:right w:w="108" w:type="dxa"/>
          </w:tblCellMar>
        </w:tblPrEx>
        <w:trPr>
          <w:wBefore w:w="0" w:type="dxa"/>
          <w:wAfter w:w="0" w:type="dxa"/>
          <w:trHeight w:val="336" w:hRule="atLeast"/>
        </w:trPr>
        <w:tc>
          <w:tcPr>
            <w:tcW w:w="1376" w:type="pct"/>
            <w:vMerge w:val="restart"/>
            <w:tcBorders>
              <w:top w:val="nil"/>
              <w:left w:val="single" w:color="auto" w:sz="4" w:space="0"/>
              <w:bottom w:val="single" w:color="000000"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20</w:t>
            </w:r>
            <w:r>
              <w:rPr>
                <w:rFonts w:ascii="宋体" w:hAnsi="宋体" w:cs="宋体"/>
                <w:szCs w:val="21"/>
              </w:rPr>
              <w:t>2</w:t>
            </w:r>
            <w:r>
              <w:rPr>
                <w:rFonts w:hint="eastAsia" w:ascii="宋体" w:hAnsi="宋体" w:cs="宋体"/>
                <w:szCs w:val="21"/>
              </w:rPr>
              <w:t>4.1.1—</w:t>
            </w:r>
          </w:p>
          <w:p>
            <w:pPr>
              <w:pStyle w:val="55"/>
              <w:jc w:val="center"/>
              <w:rPr>
                <w:rFonts w:hint="eastAsia" w:ascii="Times New Roman" w:cs="Times New Roman"/>
                <w:color w:val="auto"/>
              </w:rPr>
            </w:pPr>
            <w:r>
              <w:rPr>
                <w:rFonts w:hint="eastAsia" w:hAnsi="宋体"/>
                <w:color w:val="auto"/>
                <w:sz w:val="21"/>
                <w:szCs w:val="21"/>
              </w:rPr>
              <w:t>20</w:t>
            </w:r>
            <w:r>
              <w:rPr>
                <w:rFonts w:hAnsi="宋体"/>
                <w:color w:val="auto"/>
                <w:sz w:val="21"/>
                <w:szCs w:val="21"/>
              </w:rPr>
              <w:t>24</w:t>
            </w:r>
            <w:r>
              <w:rPr>
                <w:rFonts w:hint="eastAsia" w:hAnsi="宋体"/>
                <w:color w:val="auto"/>
                <w:sz w:val="21"/>
                <w:szCs w:val="21"/>
              </w:rPr>
              <w:t>.1</w:t>
            </w:r>
            <w:r>
              <w:rPr>
                <w:rFonts w:hAnsi="宋体"/>
                <w:color w:val="auto"/>
                <w:sz w:val="21"/>
                <w:szCs w:val="21"/>
              </w:rPr>
              <w:t>1</w:t>
            </w:r>
            <w:r>
              <w:rPr>
                <w:rFonts w:hint="eastAsia" w:hAnsi="宋体"/>
                <w:color w:val="auto"/>
                <w:sz w:val="21"/>
                <w:szCs w:val="21"/>
              </w:rPr>
              <w:t>.3</w:t>
            </w:r>
            <w:r>
              <w:rPr>
                <w:rFonts w:hAnsi="宋体"/>
                <w:color w:val="auto"/>
                <w:sz w:val="21"/>
                <w:szCs w:val="21"/>
              </w:rPr>
              <w:t>0</w:t>
            </w:r>
          </w:p>
        </w:tc>
        <w:tc>
          <w:tcPr>
            <w:tcW w:w="1001" w:type="pct"/>
            <w:vMerge w:val="restart"/>
            <w:tcBorders>
              <w:top w:val="nil"/>
              <w:left w:val="single" w:color="auto" w:sz="4" w:space="0"/>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1#露天采场</w:t>
            </w: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回填</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33636</w:t>
            </w:r>
          </w:p>
        </w:tc>
        <w:tc>
          <w:tcPr>
            <w:tcW w:w="933" w:type="pct"/>
            <w:vMerge w:val="restart"/>
            <w:tcBorders>
              <w:top w:val="nil"/>
              <w:left w:val="single" w:color="auto" w:sz="4" w:space="0"/>
              <w:bottom w:val="single" w:color="auto" w:sz="4" w:space="0"/>
              <w:right w:val="single" w:color="auto" w:sz="4" w:space="0"/>
            </w:tcBorders>
            <w:noWrap/>
            <w:vAlign w:val="center"/>
          </w:tcPr>
          <w:p>
            <w:pPr>
              <w:jc w:val="center"/>
              <w:rPr>
                <w:rFonts w:hint="eastAsia" w:ascii="宋体" w:hAnsi="宋体" w:cs="宋体"/>
                <w:szCs w:val="21"/>
              </w:rPr>
            </w:pPr>
            <w:r>
              <w:rPr>
                <w:rFonts w:ascii="宋体" w:hAnsi="宋体" w:cs="宋体"/>
                <w:szCs w:val="21"/>
              </w:rPr>
              <w:t>72.49</w:t>
            </w:r>
          </w:p>
        </w:tc>
      </w:tr>
      <w:tr>
        <w:tblPrEx>
          <w:tblCellMar>
            <w:top w:w="0" w:type="dxa"/>
            <w:left w:w="108" w:type="dxa"/>
            <w:bottom w:w="0" w:type="dxa"/>
            <w:right w:w="108" w:type="dxa"/>
          </w:tblCellMar>
        </w:tblPrEx>
        <w:trPr>
          <w:wBefore w:w="0" w:type="dxa"/>
          <w:wAfter w:w="0" w:type="dxa"/>
          <w:trHeight w:val="336"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jc w:val="center"/>
              <w:rPr>
                <w:rFonts w:ascii="宋体" w:hAnsi="宋体" w:cs="宋体"/>
                <w:szCs w:val="21"/>
              </w:rPr>
            </w:pPr>
          </w:p>
        </w:tc>
        <w:tc>
          <w:tcPr>
            <w:tcW w:w="1001" w:type="pct"/>
            <w:vMerge w:val="continue"/>
            <w:tcBorders>
              <w:top w:val="nil"/>
              <w:left w:val="single" w:color="auto" w:sz="4" w:space="0"/>
              <w:bottom w:val="single" w:color="auto" w:sz="4" w:space="0"/>
              <w:right w:val="single" w:color="auto" w:sz="4" w:space="0"/>
            </w:tcBorders>
            <w:noWrap w:val="0"/>
            <w:vAlign w:val="center"/>
          </w:tcPr>
          <w:p>
            <w:pPr>
              <w:rPr>
                <w:rFonts w:ascii="宋体" w:hAnsi="宋体" w:cs="宋体"/>
                <w:szCs w:val="21"/>
              </w:rPr>
            </w:pP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垫坡</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ascii="宋体" w:hAnsi="宋体" w:cs="宋体"/>
                <w:szCs w:val="21"/>
              </w:rPr>
              <w:t>7310</w:t>
            </w:r>
          </w:p>
        </w:tc>
        <w:tc>
          <w:tcPr>
            <w:tcW w:w="933" w:type="pct"/>
            <w:vMerge w:val="continue"/>
            <w:tcBorders>
              <w:top w:val="nil"/>
              <w:left w:val="single" w:color="auto" w:sz="4" w:space="0"/>
              <w:bottom w:val="single" w:color="auto" w:sz="4" w:space="0"/>
              <w:right w:val="single" w:color="auto" w:sz="4" w:space="0"/>
            </w:tcBorders>
            <w:noWrap w:val="0"/>
            <w:vAlign w:val="center"/>
          </w:tcPr>
          <w:p>
            <w:pPr>
              <w:rPr>
                <w:rFonts w:ascii="宋体" w:hAnsi="宋体" w:cs="宋体"/>
                <w:szCs w:val="21"/>
              </w:rPr>
            </w:pPr>
          </w:p>
        </w:tc>
      </w:tr>
      <w:tr>
        <w:tblPrEx>
          <w:tblCellMar>
            <w:top w:w="0" w:type="dxa"/>
            <w:left w:w="108" w:type="dxa"/>
            <w:bottom w:w="0" w:type="dxa"/>
            <w:right w:w="108" w:type="dxa"/>
          </w:tblCellMar>
        </w:tblPrEx>
        <w:trPr>
          <w:wBefore w:w="0" w:type="dxa"/>
          <w:wAfter w:w="0" w:type="dxa"/>
          <w:trHeight w:val="336" w:hRule="atLeast"/>
        </w:trPr>
        <w:tc>
          <w:tcPr>
            <w:tcW w:w="1376" w:type="pct"/>
            <w:vMerge w:val="restart"/>
            <w:tcBorders>
              <w:top w:val="nil"/>
              <w:left w:val="single" w:color="auto" w:sz="4" w:space="0"/>
              <w:bottom w:val="single" w:color="000000"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20</w:t>
            </w:r>
            <w:r>
              <w:rPr>
                <w:rFonts w:ascii="宋体" w:hAnsi="宋体" w:cs="宋体"/>
                <w:szCs w:val="21"/>
              </w:rPr>
              <w:t>25</w:t>
            </w:r>
            <w:r>
              <w:rPr>
                <w:rFonts w:hint="eastAsia" w:ascii="宋体" w:hAnsi="宋体" w:cs="宋体"/>
                <w:szCs w:val="21"/>
              </w:rPr>
              <w:t>.1.1—</w:t>
            </w:r>
          </w:p>
          <w:p>
            <w:pPr>
              <w:pStyle w:val="55"/>
              <w:jc w:val="center"/>
              <w:rPr>
                <w:rFonts w:hint="eastAsia" w:ascii="Times New Roman" w:cs="Times New Roman"/>
                <w:color w:val="auto"/>
              </w:rPr>
            </w:pPr>
            <w:r>
              <w:rPr>
                <w:rFonts w:hint="eastAsia" w:hAnsi="宋体"/>
                <w:color w:val="auto"/>
                <w:sz w:val="21"/>
                <w:szCs w:val="21"/>
              </w:rPr>
              <w:t>20</w:t>
            </w:r>
            <w:r>
              <w:rPr>
                <w:rFonts w:hAnsi="宋体"/>
                <w:color w:val="auto"/>
                <w:sz w:val="21"/>
                <w:szCs w:val="21"/>
              </w:rPr>
              <w:t>25</w:t>
            </w:r>
            <w:r>
              <w:rPr>
                <w:rFonts w:hint="eastAsia" w:hAnsi="宋体"/>
                <w:color w:val="auto"/>
                <w:sz w:val="21"/>
                <w:szCs w:val="21"/>
              </w:rPr>
              <w:t>.1</w:t>
            </w:r>
            <w:r>
              <w:rPr>
                <w:rFonts w:hAnsi="宋体"/>
                <w:color w:val="auto"/>
                <w:sz w:val="21"/>
                <w:szCs w:val="21"/>
              </w:rPr>
              <w:t>1</w:t>
            </w:r>
            <w:r>
              <w:rPr>
                <w:rFonts w:hint="eastAsia" w:hAnsi="宋体"/>
                <w:color w:val="auto"/>
                <w:sz w:val="21"/>
                <w:szCs w:val="21"/>
              </w:rPr>
              <w:t>.3</w:t>
            </w:r>
            <w:r>
              <w:rPr>
                <w:rFonts w:hAnsi="宋体"/>
                <w:color w:val="auto"/>
                <w:sz w:val="21"/>
                <w:szCs w:val="21"/>
              </w:rPr>
              <w:t>0</w:t>
            </w:r>
          </w:p>
        </w:tc>
        <w:tc>
          <w:tcPr>
            <w:tcW w:w="1001" w:type="pct"/>
            <w:vMerge w:val="restart"/>
            <w:tcBorders>
              <w:top w:val="nil"/>
              <w:left w:val="single" w:color="auto" w:sz="4" w:space="0"/>
              <w:bottom w:val="single" w:color="000000"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1#露天采场</w:t>
            </w: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垫坡</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ascii="宋体" w:hAnsi="宋体" w:cs="宋体"/>
                <w:szCs w:val="21"/>
              </w:rPr>
              <w:t>10000</w:t>
            </w:r>
          </w:p>
        </w:tc>
        <w:tc>
          <w:tcPr>
            <w:tcW w:w="933" w:type="pct"/>
            <w:vMerge w:val="restart"/>
            <w:tcBorders>
              <w:top w:val="nil"/>
              <w:left w:val="single" w:color="auto" w:sz="4" w:space="0"/>
              <w:bottom w:val="single" w:color="auto" w:sz="4" w:space="0"/>
              <w:right w:val="single" w:color="auto" w:sz="4" w:space="0"/>
            </w:tcBorders>
            <w:noWrap/>
            <w:vAlign w:val="center"/>
          </w:tcPr>
          <w:p>
            <w:pPr>
              <w:jc w:val="center"/>
              <w:rPr>
                <w:rFonts w:hint="eastAsia" w:ascii="宋体" w:hAnsi="宋体" w:cs="宋体"/>
                <w:szCs w:val="21"/>
              </w:rPr>
            </w:pPr>
            <w:r>
              <w:rPr>
                <w:rFonts w:ascii="宋体" w:hAnsi="宋体" w:cs="宋体"/>
                <w:szCs w:val="21"/>
              </w:rPr>
              <w:t>46.18</w:t>
            </w:r>
          </w:p>
        </w:tc>
      </w:tr>
      <w:tr>
        <w:tblPrEx>
          <w:tblCellMar>
            <w:top w:w="0" w:type="dxa"/>
            <w:left w:w="108" w:type="dxa"/>
            <w:bottom w:w="0" w:type="dxa"/>
            <w:right w:w="108" w:type="dxa"/>
          </w:tblCellMar>
        </w:tblPrEx>
        <w:trPr>
          <w:wBefore w:w="0" w:type="dxa"/>
          <w:wAfter w:w="0" w:type="dxa"/>
          <w:trHeight w:val="336"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整平</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6143</w:t>
            </w:r>
          </w:p>
        </w:tc>
        <w:tc>
          <w:tcPr>
            <w:tcW w:w="933" w:type="pct"/>
            <w:vMerge w:val="continue"/>
            <w:tcBorders>
              <w:top w:val="nil"/>
              <w:left w:val="single" w:color="auto" w:sz="4" w:space="0"/>
              <w:bottom w:val="single" w:color="auto" w:sz="4" w:space="0"/>
              <w:right w:val="single" w:color="auto" w:sz="4" w:space="0"/>
            </w:tcBorders>
            <w:noWrap w:val="0"/>
            <w:vAlign w:val="center"/>
          </w:tcPr>
          <w:p>
            <w:pPr>
              <w:rPr>
                <w:rFonts w:ascii="宋体" w:hAnsi="宋体" w:cs="宋体"/>
                <w:szCs w:val="21"/>
              </w:rPr>
            </w:pPr>
          </w:p>
        </w:tc>
      </w:tr>
      <w:tr>
        <w:tblPrEx>
          <w:tblCellMar>
            <w:top w:w="0" w:type="dxa"/>
            <w:left w:w="108" w:type="dxa"/>
            <w:bottom w:w="0" w:type="dxa"/>
            <w:right w:w="108" w:type="dxa"/>
          </w:tblCellMar>
        </w:tblPrEx>
        <w:trPr>
          <w:wBefore w:w="0" w:type="dxa"/>
          <w:wAfter w:w="0" w:type="dxa"/>
          <w:trHeight w:val="336"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restart"/>
            <w:tcBorders>
              <w:top w:val="nil"/>
              <w:left w:val="single" w:color="auto" w:sz="4" w:space="0"/>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2#露天采场</w:t>
            </w: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回填</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hm</w:t>
            </w:r>
            <w:r>
              <w:rPr>
                <w:rFonts w:hint="eastAsia" w:ascii="宋体" w:hAnsi="宋体" w:cs="宋体"/>
                <w:szCs w:val="21"/>
                <w:vertAlign w:val="superscript"/>
              </w:rPr>
              <w:t>2</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3553</w:t>
            </w:r>
          </w:p>
        </w:tc>
        <w:tc>
          <w:tcPr>
            <w:tcW w:w="933" w:type="pct"/>
            <w:vMerge w:val="continue"/>
            <w:tcBorders>
              <w:top w:val="nil"/>
              <w:left w:val="single" w:color="auto" w:sz="4" w:space="0"/>
              <w:bottom w:val="single" w:color="auto" w:sz="4" w:space="0"/>
              <w:right w:val="single" w:color="auto" w:sz="4" w:space="0"/>
            </w:tcBorders>
            <w:noWrap w:val="0"/>
            <w:vAlign w:val="center"/>
          </w:tcPr>
          <w:p>
            <w:pPr>
              <w:rPr>
                <w:rFonts w:ascii="宋体" w:hAnsi="宋体" w:cs="宋体"/>
                <w:szCs w:val="21"/>
              </w:rPr>
            </w:pPr>
          </w:p>
        </w:tc>
      </w:tr>
      <w:tr>
        <w:tblPrEx>
          <w:tblCellMar>
            <w:top w:w="0" w:type="dxa"/>
            <w:left w:w="108" w:type="dxa"/>
            <w:bottom w:w="0" w:type="dxa"/>
            <w:right w:w="108" w:type="dxa"/>
          </w:tblCellMar>
        </w:tblPrEx>
        <w:trPr>
          <w:wBefore w:w="0" w:type="dxa"/>
          <w:wAfter w:w="0" w:type="dxa"/>
          <w:trHeight w:val="336"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continue"/>
            <w:tcBorders>
              <w:top w:val="nil"/>
              <w:left w:val="single" w:color="auto" w:sz="4" w:space="0"/>
              <w:bottom w:val="single" w:color="auto" w:sz="4" w:space="0"/>
              <w:right w:val="single" w:color="auto" w:sz="4" w:space="0"/>
            </w:tcBorders>
            <w:noWrap w:val="0"/>
            <w:vAlign w:val="center"/>
          </w:tcPr>
          <w:p>
            <w:pPr>
              <w:rPr>
                <w:rFonts w:ascii="宋体" w:hAnsi="宋体" w:cs="宋体"/>
                <w:szCs w:val="21"/>
              </w:rPr>
            </w:pP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垫坡</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10000</w:t>
            </w:r>
          </w:p>
        </w:tc>
        <w:tc>
          <w:tcPr>
            <w:tcW w:w="933" w:type="pct"/>
            <w:vMerge w:val="continue"/>
            <w:tcBorders>
              <w:top w:val="nil"/>
              <w:left w:val="single" w:color="auto" w:sz="4" w:space="0"/>
              <w:bottom w:val="single" w:color="auto" w:sz="4" w:space="0"/>
              <w:right w:val="single" w:color="auto" w:sz="4" w:space="0"/>
            </w:tcBorders>
            <w:noWrap w:val="0"/>
            <w:vAlign w:val="center"/>
          </w:tcPr>
          <w:p>
            <w:pPr>
              <w:rPr>
                <w:rFonts w:ascii="宋体" w:hAnsi="宋体" w:cs="宋体"/>
                <w:szCs w:val="21"/>
              </w:rPr>
            </w:pPr>
          </w:p>
        </w:tc>
      </w:tr>
      <w:tr>
        <w:tblPrEx>
          <w:tblCellMar>
            <w:top w:w="0" w:type="dxa"/>
            <w:left w:w="108" w:type="dxa"/>
            <w:bottom w:w="0" w:type="dxa"/>
            <w:right w:w="108" w:type="dxa"/>
          </w:tblCellMar>
        </w:tblPrEx>
        <w:trPr>
          <w:wBefore w:w="0" w:type="dxa"/>
          <w:wAfter w:w="0" w:type="dxa"/>
          <w:trHeight w:val="336" w:hRule="atLeast"/>
        </w:trPr>
        <w:tc>
          <w:tcPr>
            <w:tcW w:w="1376" w:type="pct"/>
            <w:vMerge w:val="restart"/>
            <w:tcBorders>
              <w:top w:val="nil"/>
              <w:left w:val="single" w:color="auto" w:sz="4" w:space="0"/>
              <w:bottom w:val="single" w:color="000000"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20</w:t>
            </w:r>
            <w:r>
              <w:rPr>
                <w:rFonts w:ascii="宋体" w:hAnsi="宋体" w:cs="宋体"/>
                <w:szCs w:val="21"/>
              </w:rPr>
              <w:t>26</w:t>
            </w:r>
            <w:r>
              <w:rPr>
                <w:rFonts w:hint="eastAsia" w:ascii="宋体" w:hAnsi="宋体" w:cs="宋体"/>
                <w:szCs w:val="21"/>
              </w:rPr>
              <w:t>.1.1—20</w:t>
            </w:r>
            <w:r>
              <w:rPr>
                <w:rFonts w:ascii="宋体" w:hAnsi="宋体" w:cs="宋体"/>
                <w:szCs w:val="21"/>
              </w:rPr>
              <w:t>26</w:t>
            </w:r>
            <w:r>
              <w:rPr>
                <w:rFonts w:hint="eastAsia" w:ascii="宋体" w:hAnsi="宋体" w:cs="宋体"/>
                <w:szCs w:val="21"/>
              </w:rPr>
              <w:t>.1</w:t>
            </w:r>
            <w:r>
              <w:rPr>
                <w:rFonts w:ascii="宋体" w:hAnsi="宋体" w:cs="宋体"/>
                <w:szCs w:val="21"/>
              </w:rPr>
              <w:t>1</w:t>
            </w:r>
            <w:r>
              <w:rPr>
                <w:rFonts w:hint="eastAsia" w:ascii="宋体" w:hAnsi="宋体" w:cs="宋体"/>
                <w:szCs w:val="21"/>
              </w:rPr>
              <w:t>.3</w:t>
            </w:r>
            <w:r>
              <w:rPr>
                <w:rFonts w:ascii="宋体" w:hAnsi="宋体" w:cs="宋体"/>
                <w:szCs w:val="21"/>
              </w:rPr>
              <w:t>0</w:t>
            </w:r>
          </w:p>
        </w:tc>
        <w:tc>
          <w:tcPr>
            <w:tcW w:w="1001" w:type="pct"/>
            <w:vMerge w:val="restart"/>
            <w:tcBorders>
              <w:top w:val="nil"/>
              <w:left w:val="single" w:color="auto" w:sz="4" w:space="0"/>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2#露天采场</w:t>
            </w: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垫坡</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42510</w:t>
            </w:r>
          </w:p>
        </w:tc>
        <w:tc>
          <w:tcPr>
            <w:tcW w:w="933" w:type="pct"/>
            <w:vMerge w:val="restart"/>
            <w:tcBorders>
              <w:top w:val="nil"/>
              <w:left w:val="single" w:color="auto" w:sz="4" w:space="0"/>
              <w:right w:val="single" w:color="auto" w:sz="4" w:space="0"/>
            </w:tcBorders>
            <w:noWrap/>
            <w:vAlign w:val="center"/>
          </w:tcPr>
          <w:p>
            <w:pPr>
              <w:jc w:val="center"/>
              <w:rPr>
                <w:rFonts w:hint="eastAsia" w:ascii="宋体" w:hAnsi="宋体" w:cs="宋体"/>
                <w:szCs w:val="21"/>
              </w:rPr>
            </w:pPr>
            <w:r>
              <w:rPr>
                <w:rFonts w:ascii="宋体" w:hAnsi="宋体" w:cs="宋体"/>
                <w:szCs w:val="21"/>
              </w:rPr>
              <w:t>79.22</w:t>
            </w:r>
          </w:p>
        </w:tc>
      </w:tr>
      <w:tr>
        <w:tblPrEx>
          <w:tblCellMar>
            <w:top w:w="0" w:type="dxa"/>
            <w:left w:w="108" w:type="dxa"/>
            <w:bottom w:w="0" w:type="dxa"/>
            <w:right w:w="108" w:type="dxa"/>
          </w:tblCellMar>
        </w:tblPrEx>
        <w:trPr>
          <w:wBefore w:w="0" w:type="dxa"/>
          <w:wAfter w:w="0" w:type="dxa"/>
          <w:trHeight w:val="336"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continue"/>
            <w:tcBorders>
              <w:top w:val="nil"/>
              <w:left w:val="single" w:color="auto" w:sz="4" w:space="0"/>
              <w:bottom w:val="single" w:color="auto" w:sz="4" w:space="0"/>
              <w:right w:val="single" w:color="auto" w:sz="4" w:space="0"/>
            </w:tcBorders>
            <w:noWrap w:val="0"/>
            <w:vAlign w:val="center"/>
          </w:tcPr>
          <w:p>
            <w:pPr>
              <w:rPr>
                <w:rFonts w:ascii="宋体" w:hAnsi="宋体" w:cs="宋体"/>
                <w:szCs w:val="21"/>
              </w:rPr>
            </w:pP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整平</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5357</w:t>
            </w:r>
          </w:p>
        </w:tc>
        <w:tc>
          <w:tcPr>
            <w:tcW w:w="933" w:type="pct"/>
            <w:vMerge w:val="continue"/>
            <w:tcBorders>
              <w:left w:val="single" w:color="auto" w:sz="4" w:space="0"/>
              <w:right w:val="single" w:color="auto" w:sz="4" w:space="0"/>
            </w:tcBorders>
            <w:noWrap w:val="0"/>
            <w:vAlign w:val="center"/>
          </w:tcPr>
          <w:p>
            <w:pPr>
              <w:jc w:val="center"/>
              <w:rPr>
                <w:rFonts w:ascii="宋体" w:hAnsi="宋体" w:cs="宋体"/>
                <w:szCs w:val="21"/>
              </w:rPr>
            </w:pPr>
          </w:p>
        </w:tc>
      </w:tr>
      <w:tr>
        <w:tblPrEx>
          <w:tblCellMar>
            <w:top w:w="0" w:type="dxa"/>
            <w:left w:w="108" w:type="dxa"/>
            <w:bottom w:w="0" w:type="dxa"/>
            <w:right w:w="108" w:type="dxa"/>
          </w:tblCellMar>
        </w:tblPrEx>
        <w:trPr>
          <w:wBefore w:w="0" w:type="dxa"/>
          <w:wAfter w:w="0" w:type="dxa"/>
          <w:trHeight w:val="336"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restart"/>
            <w:tcBorders>
              <w:top w:val="nil"/>
              <w:left w:val="single" w:color="auto" w:sz="4" w:space="0"/>
              <w:bottom w:val="single" w:color="000000"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存储间</w:t>
            </w: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拆除</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10</w:t>
            </w:r>
          </w:p>
        </w:tc>
        <w:tc>
          <w:tcPr>
            <w:tcW w:w="933" w:type="pct"/>
            <w:vMerge w:val="continue"/>
            <w:tcBorders>
              <w:left w:val="single" w:color="auto" w:sz="4" w:space="0"/>
              <w:right w:val="single" w:color="auto" w:sz="4" w:space="0"/>
            </w:tcBorders>
            <w:noWrap/>
            <w:vAlign w:val="center"/>
          </w:tcPr>
          <w:p>
            <w:pPr>
              <w:jc w:val="center"/>
              <w:rPr>
                <w:rFonts w:hint="eastAsia" w:ascii="宋体" w:hAnsi="宋体" w:cs="宋体"/>
                <w:szCs w:val="21"/>
              </w:rPr>
            </w:pPr>
          </w:p>
        </w:tc>
      </w:tr>
      <w:tr>
        <w:tblPrEx>
          <w:tblCellMar>
            <w:top w:w="0" w:type="dxa"/>
            <w:left w:w="108" w:type="dxa"/>
            <w:bottom w:w="0" w:type="dxa"/>
            <w:right w:w="108" w:type="dxa"/>
          </w:tblCellMar>
        </w:tblPrEx>
        <w:trPr>
          <w:wBefore w:w="0" w:type="dxa"/>
          <w:wAfter w:w="0" w:type="dxa"/>
          <w:trHeight w:val="336"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整平</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6</w:t>
            </w:r>
          </w:p>
        </w:tc>
        <w:tc>
          <w:tcPr>
            <w:tcW w:w="933" w:type="pct"/>
            <w:vMerge w:val="continue"/>
            <w:tcBorders>
              <w:left w:val="single" w:color="auto" w:sz="4" w:space="0"/>
              <w:bottom w:val="single" w:color="000000" w:sz="4" w:space="0"/>
              <w:right w:val="single" w:color="auto" w:sz="4" w:space="0"/>
            </w:tcBorders>
            <w:noWrap w:val="0"/>
            <w:vAlign w:val="center"/>
          </w:tcPr>
          <w:p>
            <w:pPr>
              <w:rPr>
                <w:rFonts w:ascii="宋体" w:hAnsi="宋体" w:cs="宋体"/>
                <w:szCs w:val="21"/>
              </w:rPr>
            </w:pPr>
          </w:p>
        </w:tc>
      </w:tr>
      <w:tr>
        <w:tblPrEx>
          <w:tblCellMar>
            <w:top w:w="0" w:type="dxa"/>
            <w:left w:w="108" w:type="dxa"/>
            <w:bottom w:w="0" w:type="dxa"/>
            <w:right w:w="108" w:type="dxa"/>
          </w:tblCellMar>
        </w:tblPrEx>
        <w:trPr>
          <w:wBefore w:w="0" w:type="dxa"/>
          <w:wAfter w:w="0" w:type="dxa"/>
          <w:trHeight w:val="336" w:hRule="atLeast"/>
        </w:trPr>
        <w:tc>
          <w:tcPr>
            <w:tcW w:w="1376" w:type="pct"/>
            <w:vMerge w:val="restart"/>
            <w:tcBorders>
              <w:top w:val="nil"/>
              <w:left w:val="single" w:color="auto" w:sz="4" w:space="0"/>
              <w:bottom w:val="single" w:color="000000"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20</w:t>
            </w:r>
            <w:r>
              <w:rPr>
                <w:rFonts w:ascii="宋体" w:hAnsi="宋体" w:cs="宋体"/>
                <w:szCs w:val="21"/>
              </w:rPr>
              <w:t>27</w:t>
            </w:r>
            <w:r>
              <w:rPr>
                <w:rFonts w:hint="eastAsia" w:ascii="宋体" w:hAnsi="宋体" w:cs="宋体"/>
                <w:szCs w:val="21"/>
              </w:rPr>
              <w:t>.1.1—20</w:t>
            </w:r>
            <w:r>
              <w:rPr>
                <w:rFonts w:ascii="宋体" w:hAnsi="宋体" w:cs="宋体"/>
                <w:szCs w:val="21"/>
              </w:rPr>
              <w:t>2</w:t>
            </w:r>
            <w:r>
              <w:rPr>
                <w:rFonts w:hAnsi="宋体"/>
                <w:szCs w:val="21"/>
              </w:rPr>
              <w:t>7</w:t>
            </w:r>
            <w:r>
              <w:rPr>
                <w:rFonts w:hint="eastAsia" w:ascii="宋体" w:hAnsi="宋体" w:cs="宋体"/>
                <w:szCs w:val="21"/>
              </w:rPr>
              <w:t>.1</w:t>
            </w:r>
            <w:r>
              <w:rPr>
                <w:rFonts w:hAnsi="宋体"/>
                <w:szCs w:val="21"/>
              </w:rPr>
              <w:t>1</w:t>
            </w:r>
            <w:r>
              <w:rPr>
                <w:rFonts w:hint="eastAsia" w:ascii="宋体" w:hAnsi="宋体" w:cs="宋体"/>
                <w:szCs w:val="21"/>
              </w:rPr>
              <w:t>.3</w:t>
            </w:r>
            <w:r>
              <w:rPr>
                <w:rFonts w:hAnsi="宋体"/>
                <w:szCs w:val="21"/>
              </w:rPr>
              <w:t>0</w:t>
            </w:r>
          </w:p>
        </w:tc>
        <w:tc>
          <w:tcPr>
            <w:tcW w:w="1001"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1#露天采场边坡</w:t>
            </w: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种草</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hm</w:t>
            </w:r>
            <w:r>
              <w:rPr>
                <w:rFonts w:hint="eastAsia" w:ascii="宋体" w:hAnsi="宋体" w:cs="宋体"/>
                <w:szCs w:val="21"/>
                <w:vertAlign w:val="superscript"/>
              </w:rPr>
              <w:t>2</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1.128</w:t>
            </w:r>
          </w:p>
        </w:tc>
        <w:tc>
          <w:tcPr>
            <w:tcW w:w="933" w:type="pct"/>
            <w:vMerge w:val="restart"/>
            <w:tcBorders>
              <w:top w:val="nil"/>
              <w:left w:val="single" w:color="auto" w:sz="4" w:space="0"/>
              <w:bottom w:val="single" w:color="000000" w:sz="4" w:space="0"/>
              <w:right w:val="single" w:color="auto" w:sz="4" w:space="0"/>
            </w:tcBorders>
            <w:noWrap/>
            <w:vAlign w:val="center"/>
          </w:tcPr>
          <w:p>
            <w:pPr>
              <w:jc w:val="center"/>
              <w:rPr>
                <w:rFonts w:hint="eastAsia" w:ascii="宋体" w:hAnsi="宋体" w:cs="宋体"/>
                <w:szCs w:val="21"/>
              </w:rPr>
            </w:pPr>
            <w:r>
              <w:rPr>
                <w:rFonts w:ascii="宋体" w:hAnsi="宋体" w:cs="宋体"/>
                <w:szCs w:val="21"/>
              </w:rPr>
              <w:t>19.80</w:t>
            </w:r>
          </w:p>
        </w:tc>
      </w:tr>
      <w:tr>
        <w:tblPrEx>
          <w:tblCellMar>
            <w:top w:w="0" w:type="dxa"/>
            <w:left w:w="108" w:type="dxa"/>
            <w:bottom w:w="0" w:type="dxa"/>
            <w:right w:w="108" w:type="dxa"/>
          </w:tblCellMar>
        </w:tblPrEx>
        <w:trPr>
          <w:wBefore w:w="0" w:type="dxa"/>
          <w:wAfter w:w="0" w:type="dxa"/>
          <w:trHeight w:val="288"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restart"/>
            <w:tcBorders>
              <w:top w:val="nil"/>
              <w:left w:val="single" w:color="auto" w:sz="4" w:space="0"/>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2#露天采场</w:t>
            </w: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种树</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株</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1644</w:t>
            </w:r>
          </w:p>
        </w:tc>
        <w:tc>
          <w:tcPr>
            <w:tcW w:w="933"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r>
      <w:tr>
        <w:tblPrEx>
          <w:tblCellMar>
            <w:top w:w="0" w:type="dxa"/>
            <w:left w:w="108" w:type="dxa"/>
            <w:bottom w:w="0" w:type="dxa"/>
            <w:right w:w="108" w:type="dxa"/>
          </w:tblCellMar>
        </w:tblPrEx>
        <w:trPr>
          <w:wBefore w:w="0" w:type="dxa"/>
          <w:wAfter w:w="0" w:type="dxa"/>
          <w:trHeight w:val="336"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continue"/>
            <w:tcBorders>
              <w:top w:val="nil"/>
              <w:left w:val="single" w:color="auto" w:sz="4" w:space="0"/>
              <w:bottom w:val="single" w:color="auto" w:sz="4" w:space="0"/>
              <w:right w:val="single" w:color="auto" w:sz="4" w:space="0"/>
            </w:tcBorders>
            <w:noWrap w:val="0"/>
            <w:vAlign w:val="center"/>
          </w:tcPr>
          <w:p>
            <w:pPr>
              <w:rPr>
                <w:rFonts w:ascii="宋体" w:hAnsi="宋体" w:cs="宋体"/>
                <w:szCs w:val="21"/>
              </w:rPr>
            </w:pP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种草</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hm</w:t>
            </w:r>
            <w:r>
              <w:rPr>
                <w:rFonts w:hint="eastAsia" w:ascii="宋体" w:hAnsi="宋体" w:cs="宋体"/>
                <w:szCs w:val="21"/>
                <w:vertAlign w:val="superscript"/>
              </w:rPr>
              <w:t>2</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1.128</w:t>
            </w:r>
          </w:p>
        </w:tc>
        <w:tc>
          <w:tcPr>
            <w:tcW w:w="933"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r>
      <w:tr>
        <w:tblPrEx>
          <w:tblCellMar>
            <w:top w:w="0" w:type="dxa"/>
            <w:left w:w="108" w:type="dxa"/>
            <w:bottom w:w="0" w:type="dxa"/>
            <w:right w:w="108" w:type="dxa"/>
          </w:tblCellMar>
        </w:tblPrEx>
        <w:trPr>
          <w:wBefore w:w="0" w:type="dxa"/>
          <w:wAfter w:w="0" w:type="dxa"/>
          <w:trHeight w:val="288"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restart"/>
            <w:tcBorders>
              <w:top w:val="nil"/>
              <w:left w:val="single" w:color="auto" w:sz="4" w:space="0"/>
              <w:bottom w:val="single" w:color="000000"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1#矿石场</w:t>
            </w: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种树</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株</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1644</w:t>
            </w:r>
          </w:p>
        </w:tc>
        <w:tc>
          <w:tcPr>
            <w:tcW w:w="933"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r>
      <w:tr>
        <w:tblPrEx>
          <w:tblCellMar>
            <w:top w:w="0" w:type="dxa"/>
            <w:left w:w="108" w:type="dxa"/>
            <w:bottom w:w="0" w:type="dxa"/>
            <w:right w:w="108" w:type="dxa"/>
          </w:tblCellMar>
        </w:tblPrEx>
        <w:trPr>
          <w:wBefore w:w="0" w:type="dxa"/>
          <w:wAfter w:w="0" w:type="dxa"/>
          <w:trHeight w:val="336"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种草</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hm</w:t>
            </w:r>
            <w:r>
              <w:rPr>
                <w:rFonts w:hint="eastAsia" w:ascii="宋体" w:hAnsi="宋体" w:cs="宋体"/>
                <w:szCs w:val="21"/>
                <w:vertAlign w:val="superscript"/>
              </w:rPr>
              <w:t>2</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1.128</w:t>
            </w:r>
          </w:p>
        </w:tc>
        <w:tc>
          <w:tcPr>
            <w:tcW w:w="933"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r>
      <w:tr>
        <w:tblPrEx>
          <w:tblCellMar>
            <w:top w:w="0" w:type="dxa"/>
            <w:left w:w="108" w:type="dxa"/>
            <w:bottom w:w="0" w:type="dxa"/>
            <w:right w:w="108" w:type="dxa"/>
          </w:tblCellMar>
        </w:tblPrEx>
        <w:trPr>
          <w:wBefore w:w="0" w:type="dxa"/>
          <w:wAfter w:w="0" w:type="dxa"/>
          <w:trHeight w:val="336"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restart"/>
            <w:tcBorders>
              <w:top w:val="nil"/>
              <w:left w:val="single" w:color="auto" w:sz="4" w:space="0"/>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探坑</w:t>
            </w: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垫坡</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2450</w:t>
            </w:r>
          </w:p>
        </w:tc>
        <w:tc>
          <w:tcPr>
            <w:tcW w:w="933"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r>
      <w:tr>
        <w:tblPrEx>
          <w:tblCellMar>
            <w:top w:w="0" w:type="dxa"/>
            <w:left w:w="108" w:type="dxa"/>
            <w:bottom w:w="0" w:type="dxa"/>
            <w:right w:w="108" w:type="dxa"/>
          </w:tblCellMar>
        </w:tblPrEx>
        <w:trPr>
          <w:wBefore w:w="0" w:type="dxa"/>
          <w:wAfter w:w="0" w:type="dxa"/>
          <w:trHeight w:val="336"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continue"/>
            <w:tcBorders>
              <w:top w:val="nil"/>
              <w:left w:val="single" w:color="auto" w:sz="4" w:space="0"/>
              <w:bottom w:val="single" w:color="auto" w:sz="4" w:space="0"/>
              <w:right w:val="single" w:color="auto" w:sz="4" w:space="0"/>
            </w:tcBorders>
            <w:noWrap w:val="0"/>
            <w:vAlign w:val="center"/>
          </w:tcPr>
          <w:p>
            <w:pPr>
              <w:rPr>
                <w:rFonts w:ascii="宋体" w:hAnsi="宋体" w:cs="宋体"/>
                <w:szCs w:val="21"/>
              </w:rPr>
            </w:pP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整平</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186</w:t>
            </w:r>
          </w:p>
        </w:tc>
        <w:tc>
          <w:tcPr>
            <w:tcW w:w="933"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r>
      <w:tr>
        <w:tblPrEx>
          <w:tblCellMar>
            <w:top w:w="0" w:type="dxa"/>
            <w:left w:w="108" w:type="dxa"/>
            <w:bottom w:w="0" w:type="dxa"/>
            <w:right w:w="108" w:type="dxa"/>
          </w:tblCellMar>
        </w:tblPrEx>
        <w:trPr>
          <w:wBefore w:w="0" w:type="dxa"/>
          <w:wAfter w:w="0" w:type="dxa"/>
          <w:trHeight w:val="336"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continue"/>
            <w:tcBorders>
              <w:top w:val="nil"/>
              <w:left w:val="single" w:color="auto" w:sz="4" w:space="0"/>
              <w:bottom w:val="single" w:color="auto" w:sz="4" w:space="0"/>
              <w:right w:val="single" w:color="auto" w:sz="4" w:space="0"/>
            </w:tcBorders>
            <w:noWrap w:val="0"/>
            <w:vAlign w:val="center"/>
          </w:tcPr>
          <w:p>
            <w:pPr>
              <w:rPr>
                <w:rFonts w:ascii="宋体" w:hAnsi="宋体" w:cs="宋体"/>
                <w:szCs w:val="21"/>
              </w:rPr>
            </w:pP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覆土</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186</w:t>
            </w:r>
          </w:p>
        </w:tc>
        <w:tc>
          <w:tcPr>
            <w:tcW w:w="933"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r>
      <w:tr>
        <w:tblPrEx>
          <w:tblCellMar>
            <w:top w:w="0" w:type="dxa"/>
            <w:left w:w="108" w:type="dxa"/>
            <w:bottom w:w="0" w:type="dxa"/>
            <w:right w:w="108" w:type="dxa"/>
          </w:tblCellMar>
        </w:tblPrEx>
        <w:trPr>
          <w:wBefore w:w="0" w:type="dxa"/>
          <w:wAfter w:w="0" w:type="dxa"/>
          <w:trHeight w:val="336"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continue"/>
            <w:tcBorders>
              <w:top w:val="nil"/>
              <w:left w:val="single" w:color="auto" w:sz="4" w:space="0"/>
              <w:bottom w:val="single" w:color="auto" w:sz="4" w:space="0"/>
              <w:right w:val="single" w:color="auto" w:sz="4" w:space="0"/>
            </w:tcBorders>
            <w:noWrap w:val="0"/>
            <w:vAlign w:val="center"/>
          </w:tcPr>
          <w:p>
            <w:pPr>
              <w:rPr>
                <w:rFonts w:ascii="宋体" w:hAnsi="宋体" w:cs="宋体"/>
                <w:szCs w:val="21"/>
              </w:rPr>
            </w:pP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种草</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hm</w:t>
            </w:r>
            <w:r>
              <w:rPr>
                <w:rFonts w:hint="eastAsia" w:ascii="宋体" w:hAnsi="宋体" w:cs="宋体"/>
                <w:szCs w:val="21"/>
                <w:vertAlign w:val="superscript"/>
              </w:rPr>
              <w:t>2</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0.062</w:t>
            </w:r>
          </w:p>
        </w:tc>
        <w:tc>
          <w:tcPr>
            <w:tcW w:w="933"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r>
      <w:tr>
        <w:tblPrEx>
          <w:tblCellMar>
            <w:top w:w="0" w:type="dxa"/>
            <w:left w:w="108" w:type="dxa"/>
            <w:bottom w:w="0" w:type="dxa"/>
            <w:right w:w="108" w:type="dxa"/>
          </w:tblCellMar>
        </w:tblPrEx>
        <w:trPr>
          <w:wBefore w:w="0" w:type="dxa"/>
          <w:wAfter w:w="0" w:type="dxa"/>
          <w:trHeight w:val="336"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restart"/>
            <w:tcBorders>
              <w:top w:val="nil"/>
              <w:left w:val="single" w:color="auto" w:sz="4" w:space="0"/>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存储间</w:t>
            </w: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翻耕</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hm</w:t>
            </w:r>
            <w:r>
              <w:rPr>
                <w:rFonts w:hint="eastAsia" w:ascii="宋体" w:hAnsi="宋体" w:cs="宋体"/>
                <w:szCs w:val="21"/>
                <w:vertAlign w:val="superscript"/>
              </w:rPr>
              <w:t>2</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0.0021</w:t>
            </w:r>
          </w:p>
        </w:tc>
        <w:tc>
          <w:tcPr>
            <w:tcW w:w="933"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r>
      <w:tr>
        <w:tblPrEx>
          <w:tblCellMar>
            <w:top w:w="0" w:type="dxa"/>
            <w:left w:w="108" w:type="dxa"/>
            <w:bottom w:w="0" w:type="dxa"/>
            <w:right w:w="108" w:type="dxa"/>
          </w:tblCellMar>
        </w:tblPrEx>
        <w:trPr>
          <w:wBefore w:w="0" w:type="dxa"/>
          <w:wAfter w:w="0" w:type="dxa"/>
          <w:trHeight w:val="288"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continue"/>
            <w:tcBorders>
              <w:top w:val="nil"/>
              <w:left w:val="single" w:color="auto" w:sz="4" w:space="0"/>
              <w:bottom w:val="single" w:color="auto" w:sz="4" w:space="0"/>
              <w:right w:val="single" w:color="auto" w:sz="4" w:space="0"/>
            </w:tcBorders>
            <w:noWrap w:val="0"/>
            <w:vAlign w:val="center"/>
          </w:tcPr>
          <w:p>
            <w:pPr>
              <w:rPr>
                <w:rFonts w:ascii="宋体" w:hAnsi="宋体" w:cs="宋体"/>
                <w:szCs w:val="21"/>
              </w:rPr>
            </w:pP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种松树</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株</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5</w:t>
            </w:r>
          </w:p>
        </w:tc>
        <w:tc>
          <w:tcPr>
            <w:tcW w:w="933"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r>
      <w:tr>
        <w:tblPrEx>
          <w:tblCellMar>
            <w:top w:w="0" w:type="dxa"/>
            <w:left w:w="108" w:type="dxa"/>
            <w:bottom w:w="0" w:type="dxa"/>
            <w:right w:w="108" w:type="dxa"/>
          </w:tblCellMar>
        </w:tblPrEx>
        <w:trPr>
          <w:wBefore w:w="0" w:type="dxa"/>
          <w:wAfter w:w="0" w:type="dxa"/>
          <w:trHeight w:val="336"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restart"/>
            <w:tcBorders>
              <w:top w:val="nil"/>
              <w:left w:val="single" w:color="auto" w:sz="4" w:space="0"/>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拟建取土场</w:t>
            </w: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整平</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884</w:t>
            </w:r>
          </w:p>
        </w:tc>
        <w:tc>
          <w:tcPr>
            <w:tcW w:w="933"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r>
      <w:tr>
        <w:tblPrEx>
          <w:tblCellMar>
            <w:top w:w="0" w:type="dxa"/>
            <w:left w:w="108" w:type="dxa"/>
            <w:bottom w:w="0" w:type="dxa"/>
            <w:right w:w="108" w:type="dxa"/>
          </w:tblCellMar>
        </w:tblPrEx>
        <w:trPr>
          <w:wBefore w:w="0" w:type="dxa"/>
          <w:wAfter w:w="0" w:type="dxa"/>
          <w:trHeight w:val="288"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continue"/>
            <w:tcBorders>
              <w:top w:val="nil"/>
              <w:left w:val="single" w:color="auto" w:sz="4" w:space="0"/>
              <w:bottom w:val="single" w:color="auto" w:sz="4" w:space="0"/>
              <w:right w:val="single" w:color="auto" w:sz="4" w:space="0"/>
            </w:tcBorders>
            <w:noWrap w:val="0"/>
            <w:vAlign w:val="center"/>
          </w:tcPr>
          <w:p>
            <w:pPr>
              <w:rPr>
                <w:rFonts w:ascii="宋体" w:hAnsi="宋体" w:cs="宋体"/>
                <w:szCs w:val="21"/>
              </w:rPr>
            </w:pP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种树</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株</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565</w:t>
            </w:r>
          </w:p>
        </w:tc>
        <w:tc>
          <w:tcPr>
            <w:tcW w:w="933"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r>
      <w:tr>
        <w:tblPrEx>
          <w:tblCellMar>
            <w:top w:w="0" w:type="dxa"/>
            <w:left w:w="108" w:type="dxa"/>
            <w:bottom w:w="0" w:type="dxa"/>
            <w:right w:w="108" w:type="dxa"/>
          </w:tblCellMar>
        </w:tblPrEx>
        <w:trPr>
          <w:wBefore w:w="0" w:type="dxa"/>
          <w:wAfter w:w="0" w:type="dxa"/>
          <w:trHeight w:val="336"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continue"/>
            <w:tcBorders>
              <w:top w:val="nil"/>
              <w:left w:val="single" w:color="auto" w:sz="4" w:space="0"/>
              <w:bottom w:val="single" w:color="auto" w:sz="4" w:space="0"/>
              <w:right w:val="single" w:color="auto" w:sz="4" w:space="0"/>
            </w:tcBorders>
            <w:noWrap w:val="0"/>
            <w:vAlign w:val="center"/>
          </w:tcPr>
          <w:p>
            <w:pPr>
              <w:rPr>
                <w:rFonts w:ascii="宋体" w:hAnsi="宋体" w:cs="宋体"/>
                <w:szCs w:val="21"/>
              </w:rPr>
            </w:pP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种草</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hm</w:t>
            </w:r>
            <w:r>
              <w:rPr>
                <w:rFonts w:hint="eastAsia" w:ascii="宋体" w:hAnsi="宋体" w:cs="宋体"/>
                <w:szCs w:val="21"/>
                <w:vertAlign w:val="superscript"/>
              </w:rPr>
              <w:t>2</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0.0686</w:t>
            </w:r>
          </w:p>
        </w:tc>
        <w:tc>
          <w:tcPr>
            <w:tcW w:w="933"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r>
      <w:tr>
        <w:tblPrEx>
          <w:tblCellMar>
            <w:top w:w="0" w:type="dxa"/>
            <w:left w:w="108" w:type="dxa"/>
            <w:bottom w:w="0" w:type="dxa"/>
            <w:right w:w="108" w:type="dxa"/>
          </w:tblCellMar>
        </w:tblPrEx>
        <w:trPr>
          <w:wBefore w:w="0" w:type="dxa"/>
          <w:wAfter w:w="0" w:type="dxa"/>
          <w:trHeight w:val="336"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restart"/>
            <w:tcBorders>
              <w:top w:val="nil"/>
              <w:left w:val="single" w:color="auto" w:sz="4" w:space="0"/>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矿区道路</w:t>
            </w: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垫坡</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2379</w:t>
            </w:r>
          </w:p>
        </w:tc>
        <w:tc>
          <w:tcPr>
            <w:tcW w:w="933"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r>
      <w:tr>
        <w:tblPrEx>
          <w:tblCellMar>
            <w:top w:w="0" w:type="dxa"/>
            <w:left w:w="108" w:type="dxa"/>
            <w:bottom w:w="0" w:type="dxa"/>
            <w:right w:w="108" w:type="dxa"/>
          </w:tblCellMar>
        </w:tblPrEx>
        <w:trPr>
          <w:wBefore w:w="0" w:type="dxa"/>
          <w:wAfter w:w="0" w:type="dxa"/>
          <w:trHeight w:val="336"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continue"/>
            <w:tcBorders>
              <w:top w:val="nil"/>
              <w:left w:val="single" w:color="auto" w:sz="4" w:space="0"/>
              <w:bottom w:val="single" w:color="auto" w:sz="4" w:space="0"/>
              <w:right w:val="single" w:color="auto" w:sz="4" w:space="0"/>
            </w:tcBorders>
            <w:noWrap w:val="0"/>
            <w:vAlign w:val="center"/>
          </w:tcPr>
          <w:p>
            <w:pPr>
              <w:rPr>
                <w:rFonts w:ascii="宋体" w:hAnsi="宋体" w:cs="宋体"/>
                <w:szCs w:val="21"/>
              </w:rPr>
            </w:pP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覆土</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1964</w:t>
            </w:r>
          </w:p>
        </w:tc>
        <w:tc>
          <w:tcPr>
            <w:tcW w:w="933"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r>
      <w:tr>
        <w:tblPrEx>
          <w:tblCellMar>
            <w:top w:w="0" w:type="dxa"/>
            <w:left w:w="108" w:type="dxa"/>
            <w:bottom w:w="0" w:type="dxa"/>
            <w:right w:w="108" w:type="dxa"/>
          </w:tblCellMar>
        </w:tblPrEx>
        <w:trPr>
          <w:wBefore w:w="0" w:type="dxa"/>
          <w:wAfter w:w="0" w:type="dxa"/>
          <w:trHeight w:val="336" w:hRule="atLeast"/>
        </w:trPr>
        <w:tc>
          <w:tcPr>
            <w:tcW w:w="1376"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c>
          <w:tcPr>
            <w:tcW w:w="1001" w:type="pct"/>
            <w:vMerge w:val="continue"/>
            <w:tcBorders>
              <w:top w:val="nil"/>
              <w:left w:val="single" w:color="auto" w:sz="4" w:space="0"/>
              <w:bottom w:val="single" w:color="auto" w:sz="4" w:space="0"/>
              <w:right w:val="single" w:color="auto" w:sz="4" w:space="0"/>
            </w:tcBorders>
            <w:noWrap w:val="0"/>
            <w:vAlign w:val="center"/>
          </w:tcPr>
          <w:p>
            <w:pPr>
              <w:rPr>
                <w:rFonts w:ascii="宋体" w:hAnsi="宋体" w:cs="宋体"/>
                <w:szCs w:val="21"/>
              </w:rPr>
            </w:pP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种草</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hm</w:t>
            </w:r>
            <w:r>
              <w:rPr>
                <w:rFonts w:hint="eastAsia" w:ascii="宋体" w:hAnsi="宋体" w:cs="宋体"/>
                <w:szCs w:val="21"/>
                <w:vertAlign w:val="superscript"/>
              </w:rPr>
              <w:t>2</w:t>
            </w:r>
          </w:p>
        </w:tc>
        <w:tc>
          <w:tcPr>
            <w:tcW w:w="502"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0.6546</w:t>
            </w:r>
          </w:p>
        </w:tc>
        <w:tc>
          <w:tcPr>
            <w:tcW w:w="933"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cs="宋体"/>
                <w:szCs w:val="21"/>
              </w:rPr>
            </w:pPr>
          </w:p>
        </w:tc>
      </w:tr>
      <w:tr>
        <w:tblPrEx>
          <w:tblCellMar>
            <w:top w:w="0" w:type="dxa"/>
            <w:left w:w="108" w:type="dxa"/>
            <w:bottom w:w="0" w:type="dxa"/>
            <w:right w:w="108" w:type="dxa"/>
          </w:tblCellMar>
        </w:tblPrEx>
        <w:trPr>
          <w:wBefore w:w="0" w:type="dxa"/>
          <w:wAfter w:w="0" w:type="dxa"/>
          <w:trHeight w:val="336" w:hRule="atLeast"/>
        </w:trPr>
        <w:tc>
          <w:tcPr>
            <w:tcW w:w="2377" w:type="pct"/>
            <w:gridSpan w:val="2"/>
            <w:tcBorders>
              <w:top w:val="nil"/>
              <w:left w:val="single" w:color="auto" w:sz="4" w:space="0"/>
              <w:bottom w:val="single" w:color="000000" w:sz="4" w:space="0"/>
              <w:right w:val="single" w:color="auto" w:sz="4" w:space="0"/>
            </w:tcBorders>
            <w:noWrap w:val="0"/>
            <w:vAlign w:val="center"/>
          </w:tcPr>
          <w:p>
            <w:pPr>
              <w:jc w:val="center"/>
              <w:rPr>
                <w:rFonts w:ascii="宋体" w:hAnsi="宋体" w:cs="宋体"/>
                <w:szCs w:val="21"/>
              </w:rPr>
            </w:pPr>
            <w:r>
              <w:rPr>
                <w:rFonts w:hint="eastAsia" w:ascii="宋体" w:hAnsi="宋体" w:cs="宋体"/>
                <w:szCs w:val="21"/>
              </w:rPr>
              <w:t>评估区范围</w:t>
            </w:r>
          </w:p>
        </w:tc>
        <w:tc>
          <w:tcPr>
            <w:tcW w:w="838"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监测、管护</w:t>
            </w:r>
          </w:p>
        </w:tc>
        <w:tc>
          <w:tcPr>
            <w:tcW w:w="349"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a</w:t>
            </w:r>
          </w:p>
        </w:tc>
        <w:tc>
          <w:tcPr>
            <w:tcW w:w="1436" w:type="pct"/>
            <w:gridSpan w:val="2"/>
            <w:tcBorders>
              <w:top w:val="nil"/>
              <w:left w:val="nil"/>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3</w:t>
            </w:r>
            <w:r>
              <w:rPr>
                <w:rFonts w:ascii="宋体" w:hAnsi="宋体" w:cs="宋体"/>
                <w:szCs w:val="21"/>
              </w:rPr>
              <w:t>.9</w:t>
            </w:r>
          </w:p>
        </w:tc>
      </w:tr>
      <w:tr>
        <w:tblPrEx>
          <w:tblCellMar>
            <w:top w:w="0" w:type="dxa"/>
            <w:left w:w="108" w:type="dxa"/>
            <w:bottom w:w="0" w:type="dxa"/>
            <w:right w:w="108" w:type="dxa"/>
          </w:tblCellMar>
        </w:tblPrEx>
        <w:trPr>
          <w:wBefore w:w="0" w:type="dxa"/>
          <w:wAfter w:w="0" w:type="dxa"/>
          <w:trHeight w:val="288" w:hRule="atLeast"/>
        </w:trPr>
        <w:tc>
          <w:tcPr>
            <w:tcW w:w="2377"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合计</w:t>
            </w:r>
          </w:p>
        </w:tc>
        <w:tc>
          <w:tcPr>
            <w:tcW w:w="838" w:type="pct"/>
            <w:tcBorders>
              <w:top w:val="nil"/>
              <w:left w:val="nil"/>
              <w:bottom w:val="single" w:color="auto" w:sz="4" w:space="0"/>
              <w:right w:val="single" w:color="auto" w:sz="4" w:space="0"/>
            </w:tcBorders>
            <w:noWrap/>
            <w:vAlign w:val="center"/>
          </w:tcPr>
          <w:p>
            <w:pPr>
              <w:rPr>
                <w:rFonts w:hint="eastAsia" w:ascii="宋体" w:hAnsi="宋体" w:cs="宋体"/>
                <w:szCs w:val="21"/>
              </w:rPr>
            </w:pPr>
            <w:r>
              <w:rPr>
                <w:rFonts w:hint="eastAsia" w:ascii="宋体" w:hAnsi="宋体" w:cs="宋体"/>
                <w:szCs w:val="21"/>
              </w:rPr>
              <w:t>　</w:t>
            </w:r>
          </w:p>
        </w:tc>
        <w:tc>
          <w:tcPr>
            <w:tcW w:w="349" w:type="pct"/>
            <w:tcBorders>
              <w:top w:val="nil"/>
              <w:left w:val="nil"/>
              <w:bottom w:val="single" w:color="auto" w:sz="4" w:space="0"/>
              <w:right w:val="single" w:color="auto" w:sz="4" w:space="0"/>
            </w:tcBorders>
            <w:noWrap/>
            <w:vAlign w:val="center"/>
          </w:tcPr>
          <w:p>
            <w:pPr>
              <w:rPr>
                <w:rFonts w:hint="eastAsia" w:ascii="宋体" w:hAnsi="宋体" w:cs="宋体"/>
                <w:szCs w:val="21"/>
              </w:rPr>
            </w:pPr>
            <w:r>
              <w:rPr>
                <w:rFonts w:hint="eastAsia" w:ascii="宋体" w:hAnsi="宋体" w:cs="宋体"/>
                <w:szCs w:val="21"/>
              </w:rPr>
              <w:t>　</w:t>
            </w:r>
          </w:p>
        </w:tc>
        <w:tc>
          <w:tcPr>
            <w:tcW w:w="502" w:type="pct"/>
            <w:tcBorders>
              <w:top w:val="nil"/>
              <w:left w:val="nil"/>
              <w:bottom w:val="single" w:color="auto" w:sz="4" w:space="0"/>
              <w:right w:val="single" w:color="auto" w:sz="4" w:space="0"/>
            </w:tcBorders>
            <w:noWrap/>
            <w:vAlign w:val="center"/>
          </w:tcPr>
          <w:p>
            <w:pPr>
              <w:rPr>
                <w:rFonts w:hint="eastAsia" w:ascii="宋体" w:hAnsi="宋体" w:cs="宋体"/>
                <w:szCs w:val="21"/>
              </w:rPr>
            </w:pPr>
            <w:r>
              <w:rPr>
                <w:rFonts w:hint="eastAsia" w:ascii="宋体" w:hAnsi="宋体" w:cs="宋体"/>
                <w:szCs w:val="21"/>
              </w:rPr>
              <w:t>　</w:t>
            </w:r>
          </w:p>
        </w:tc>
        <w:tc>
          <w:tcPr>
            <w:tcW w:w="933" w:type="pct"/>
            <w:tcBorders>
              <w:top w:val="nil"/>
              <w:left w:val="nil"/>
              <w:bottom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21</w:t>
            </w:r>
            <w:r>
              <w:rPr>
                <w:rFonts w:ascii="宋体" w:hAnsi="宋体" w:cs="宋体"/>
                <w:szCs w:val="21"/>
              </w:rPr>
              <w:t>7.69</w:t>
            </w:r>
          </w:p>
        </w:tc>
      </w:tr>
    </w:tbl>
    <w:p>
      <w:pPr>
        <w:pStyle w:val="8"/>
        <w:spacing w:line="360" w:lineRule="auto"/>
        <w:ind w:firstLine="482" w:firstLineChars="200"/>
        <w:rPr>
          <w:rFonts w:hint="eastAsia"/>
          <w:b/>
          <w:sz w:val="24"/>
          <w:szCs w:val="24"/>
          <w:lang w:eastAsia="zh-CN"/>
        </w:rPr>
      </w:pPr>
      <w:r>
        <w:rPr>
          <w:rFonts w:hint="eastAsia"/>
          <w:b/>
          <w:sz w:val="24"/>
          <w:szCs w:val="24"/>
          <w:lang w:eastAsia="zh-CN"/>
        </w:rPr>
        <w:t>2、</w:t>
      </w:r>
      <w:r>
        <w:rPr>
          <w:b/>
          <w:sz w:val="24"/>
          <w:szCs w:val="24"/>
          <w:lang w:eastAsia="zh-CN"/>
        </w:rPr>
        <w:t>本年度矿山治理计划</w:t>
      </w:r>
    </w:p>
    <w:p>
      <w:pPr>
        <w:spacing w:line="360" w:lineRule="auto"/>
        <w:ind w:firstLine="480" w:firstLineChars="200"/>
        <w:rPr>
          <w:rFonts w:hint="eastAsia" w:ascii="宋体" w:hAnsi="宋体"/>
          <w:bCs/>
          <w:sz w:val="24"/>
        </w:rPr>
      </w:pPr>
      <w:r>
        <w:rPr>
          <w:rFonts w:hint="eastAsia" w:ascii="宋体" w:hAnsi="宋体"/>
          <w:bCs/>
          <w:sz w:val="24"/>
        </w:rPr>
        <w:t>（1）202</w:t>
      </w:r>
      <w:r>
        <w:rPr>
          <w:rFonts w:ascii="宋体" w:hAnsi="宋体"/>
          <w:bCs/>
          <w:sz w:val="24"/>
        </w:rPr>
        <w:t>4</w:t>
      </w:r>
      <w:r>
        <w:rPr>
          <w:rFonts w:hint="eastAsia" w:ascii="宋体" w:hAnsi="宋体"/>
          <w:bCs/>
          <w:sz w:val="24"/>
        </w:rPr>
        <w:t>年</w:t>
      </w:r>
      <w:r>
        <w:rPr>
          <w:rFonts w:ascii="宋体" w:hAnsi="宋体"/>
          <w:bCs/>
          <w:sz w:val="24"/>
        </w:rPr>
        <w:t>1</w:t>
      </w:r>
      <w:r>
        <w:rPr>
          <w:rFonts w:hint="eastAsia" w:ascii="宋体" w:hAnsi="宋体"/>
          <w:bCs/>
          <w:sz w:val="24"/>
        </w:rPr>
        <w:t>月-202</w:t>
      </w:r>
      <w:r>
        <w:rPr>
          <w:rFonts w:ascii="宋体" w:hAnsi="宋体"/>
          <w:bCs/>
          <w:sz w:val="24"/>
        </w:rPr>
        <w:t>4</w:t>
      </w:r>
      <w:r>
        <w:rPr>
          <w:rFonts w:hint="eastAsia" w:ascii="宋体" w:hAnsi="宋体"/>
          <w:bCs/>
          <w:sz w:val="24"/>
        </w:rPr>
        <w:t>年</w:t>
      </w:r>
      <w:r>
        <w:rPr>
          <w:rFonts w:ascii="宋体" w:hAnsi="宋体"/>
          <w:bCs/>
          <w:sz w:val="24"/>
        </w:rPr>
        <w:t>12</w:t>
      </w:r>
      <w:r>
        <w:rPr>
          <w:rFonts w:hint="eastAsia" w:ascii="宋体" w:hAnsi="宋体"/>
          <w:bCs/>
          <w:sz w:val="24"/>
        </w:rPr>
        <w:t>月工作安排</w:t>
      </w:r>
    </w:p>
    <w:p>
      <w:pPr>
        <w:pStyle w:val="51"/>
        <w:spacing w:line="360" w:lineRule="auto"/>
        <w:ind w:firstLine="480"/>
        <w:rPr>
          <w:rFonts w:hint="eastAsia" w:ascii="宋体" w:hAnsi="宋体" w:eastAsia="宋体"/>
          <w:sz w:val="24"/>
          <w:lang w:eastAsia="zh-CN"/>
        </w:rPr>
      </w:pPr>
      <w:r>
        <w:rPr>
          <w:rFonts w:hint="eastAsia" w:ascii="宋体" w:hAnsi="宋体" w:eastAsia="宋体"/>
          <w:sz w:val="24"/>
          <w:lang w:eastAsia="zh-CN"/>
        </w:rPr>
        <w:t>按照设计，1#露天采场内部分已经恢复植被，面积0.4</w:t>
      </w:r>
      <w:r>
        <w:rPr>
          <w:rFonts w:ascii="宋体" w:hAnsi="宋体" w:eastAsia="宋体"/>
          <w:sz w:val="24"/>
          <w:lang w:eastAsia="zh-CN"/>
        </w:rPr>
        <w:t>404</w:t>
      </w:r>
      <w:r>
        <w:rPr>
          <w:rFonts w:hint="eastAsia" w:ascii="宋体" w:hAnsi="宋体" w:eastAsia="宋体"/>
          <w:sz w:val="24"/>
          <w:lang w:eastAsia="zh-CN"/>
        </w:rPr>
        <w:t>h</w:t>
      </w:r>
      <w:r>
        <w:rPr>
          <w:rFonts w:ascii="宋体" w:hAnsi="宋体" w:eastAsia="宋体"/>
          <w:sz w:val="24"/>
          <w:lang w:eastAsia="zh-CN"/>
        </w:rPr>
        <w:t>m</w:t>
      </w:r>
      <w:r>
        <w:rPr>
          <w:rFonts w:ascii="宋体" w:hAnsi="宋体" w:eastAsia="宋体"/>
          <w:sz w:val="24"/>
          <w:vertAlign w:val="superscript"/>
          <w:lang w:eastAsia="zh-CN"/>
        </w:rPr>
        <w:t>2</w:t>
      </w:r>
      <w:r>
        <w:rPr>
          <w:rFonts w:hint="eastAsia" w:ascii="宋体" w:hAnsi="宋体" w:eastAsia="宋体"/>
          <w:sz w:val="24"/>
          <w:lang w:eastAsia="zh-CN"/>
        </w:rPr>
        <w:t>，部分为原植被，面积0.06</w:t>
      </w:r>
      <w:r>
        <w:rPr>
          <w:rFonts w:ascii="宋体" w:hAnsi="宋体" w:eastAsia="宋体"/>
          <w:sz w:val="24"/>
          <w:lang w:eastAsia="zh-CN"/>
        </w:rPr>
        <w:t>40</w:t>
      </w:r>
      <w:r>
        <w:rPr>
          <w:rFonts w:hint="eastAsia" w:ascii="宋体" w:hAnsi="宋体" w:eastAsia="宋体"/>
          <w:sz w:val="24"/>
          <w:lang w:eastAsia="zh-CN"/>
        </w:rPr>
        <w:t>h</w:t>
      </w:r>
      <w:r>
        <w:rPr>
          <w:rFonts w:ascii="宋体" w:hAnsi="宋体" w:eastAsia="宋体"/>
          <w:sz w:val="24"/>
          <w:lang w:eastAsia="zh-CN"/>
        </w:rPr>
        <w:t>m</w:t>
      </w:r>
      <w:r>
        <w:rPr>
          <w:rFonts w:ascii="宋体" w:hAnsi="宋体" w:eastAsia="宋体"/>
          <w:sz w:val="24"/>
          <w:vertAlign w:val="superscript"/>
          <w:lang w:eastAsia="zh-CN"/>
        </w:rPr>
        <w:t>2</w:t>
      </w:r>
      <w:r>
        <w:rPr>
          <w:rFonts w:hint="eastAsia" w:ascii="宋体" w:hAnsi="宋体" w:eastAsia="宋体"/>
          <w:sz w:val="24"/>
          <w:lang w:eastAsia="zh-CN"/>
        </w:rPr>
        <w:t>，确定1#</w:t>
      </w:r>
      <w:r>
        <w:rPr>
          <w:rFonts w:ascii="宋体" w:hAnsi="宋体" w:eastAsia="宋体"/>
          <w:sz w:val="24"/>
          <w:lang w:eastAsia="zh-CN"/>
        </w:rPr>
        <w:t>露天采场治理面积</w:t>
      </w:r>
      <w:r>
        <w:rPr>
          <w:rFonts w:hint="eastAsia" w:ascii="宋体" w:hAnsi="宋体" w:eastAsia="宋体"/>
          <w:sz w:val="24"/>
          <w:lang w:eastAsia="zh-CN"/>
        </w:rPr>
        <w:t>2.0475h</w:t>
      </w:r>
      <w:r>
        <w:rPr>
          <w:rFonts w:ascii="宋体" w:hAnsi="宋体" w:eastAsia="宋体"/>
          <w:sz w:val="24"/>
          <w:lang w:eastAsia="zh-CN"/>
        </w:rPr>
        <w:t>m</w:t>
      </w:r>
      <w:r>
        <w:rPr>
          <w:rFonts w:ascii="宋体" w:hAnsi="宋体" w:eastAsia="宋体"/>
          <w:sz w:val="24"/>
          <w:vertAlign w:val="superscript"/>
          <w:lang w:eastAsia="zh-CN"/>
        </w:rPr>
        <w:t>2</w:t>
      </w:r>
      <w:r>
        <w:rPr>
          <w:rFonts w:ascii="宋体" w:hAnsi="宋体" w:eastAsia="宋体"/>
          <w:sz w:val="24"/>
          <w:lang w:eastAsia="zh-CN"/>
        </w:rPr>
        <w:t>，</w:t>
      </w:r>
      <w:r>
        <w:rPr>
          <w:rFonts w:hint="eastAsia" w:ascii="宋体" w:hAnsi="宋体" w:eastAsia="宋体"/>
          <w:sz w:val="24"/>
          <w:lang w:eastAsia="zh-CN"/>
        </w:rPr>
        <w:t>露天采场平台预留做工业场地，面积（1.4012h</w:t>
      </w:r>
      <w:r>
        <w:rPr>
          <w:rFonts w:ascii="宋体" w:hAnsi="宋体" w:eastAsia="宋体"/>
          <w:sz w:val="24"/>
          <w:lang w:eastAsia="zh-CN"/>
        </w:rPr>
        <w:t>m</w:t>
      </w:r>
      <w:r>
        <w:rPr>
          <w:rFonts w:ascii="宋体" w:hAnsi="宋体" w:eastAsia="宋体"/>
          <w:sz w:val="24"/>
          <w:vertAlign w:val="superscript"/>
          <w:lang w:eastAsia="zh-CN"/>
        </w:rPr>
        <w:t>2</w:t>
      </w:r>
      <w:r>
        <w:rPr>
          <w:rFonts w:hint="eastAsia" w:ascii="宋体" w:hAnsi="宋体" w:eastAsia="宋体"/>
          <w:sz w:val="24"/>
          <w:lang w:eastAsia="zh-CN"/>
        </w:rPr>
        <w:t>）。</w:t>
      </w:r>
    </w:p>
    <w:p>
      <w:pPr>
        <w:pStyle w:val="51"/>
        <w:spacing w:line="360" w:lineRule="auto"/>
        <w:ind w:firstLine="482"/>
        <w:rPr>
          <w:rFonts w:hint="eastAsia" w:ascii="宋体" w:hAnsi="宋体" w:eastAsia="宋体"/>
          <w:b/>
          <w:sz w:val="24"/>
          <w:lang w:eastAsia="zh-CN"/>
        </w:rPr>
      </w:pPr>
      <w:bookmarkStart w:id="13" w:name="_Toc148251067"/>
      <w:r>
        <w:rPr>
          <w:rFonts w:ascii="宋体" w:hAnsi="宋体" w:eastAsia="宋体"/>
          <w:b/>
          <w:sz w:val="24"/>
          <w:lang w:eastAsia="zh-CN"/>
        </w:rPr>
        <w:t>（</w:t>
      </w:r>
      <w:r>
        <w:rPr>
          <w:rFonts w:hint="eastAsia" w:ascii="宋体" w:hAnsi="宋体" w:eastAsia="宋体"/>
          <w:b/>
          <w:sz w:val="24"/>
          <w:lang w:eastAsia="zh-CN"/>
        </w:rPr>
        <w:t>1</w:t>
      </w:r>
      <w:r>
        <w:rPr>
          <w:rFonts w:ascii="宋体" w:hAnsi="宋体" w:eastAsia="宋体"/>
          <w:b/>
          <w:sz w:val="24"/>
          <w:lang w:eastAsia="zh-CN"/>
        </w:rPr>
        <w:t>）主要工程内容：</w:t>
      </w:r>
      <w:bookmarkEnd w:id="13"/>
    </w:p>
    <w:p>
      <w:pPr>
        <w:pStyle w:val="51"/>
        <w:spacing w:line="360" w:lineRule="auto"/>
        <w:ind w:firstLine="480"/>
        <w:rPr>
          <w:rFonts w:hint="eastAsia" w:ascii="宋体" w:hAnsi="宋体" w:eastAsia="宋体"/>
          <w:sz w:val="24"/>
          <w:lang w:eastAsia="zh-CN"/>
        </w:rPr>
      </w:pPr>
      <w:r>
        <w:rPr>
          <w:rFonts w:hint="eastAsia" w:ascii="宋体" w:hAnsi="宋体" w:eastAsia="宋体"/>
          <w:sz w:val="24"/>
          <w:lang w:eastAsia="zh-CN"/>
        </w:rPr>
        <w:t>本年度主要对1#露天采场底部进行回填，边坡垫坡。</w:t>
      </w:r>
    </w:p>
    <w:p>
      <w:pPr>
        <w:pStyle w:val="51"/>
        <w:spacing w:line="360" w:lineRule="auto"/>
        <w:ind w:firstLine="480"/>
        <w:rPr>
          <w:rFonts w:hint="eastAsia" w:ascii="宋体" w:hAnsi="宋体" w:eastAsia="宋体"/>
          <w:sz w:val="24"/>
          <w:lang w:eastAsia="zh-CN"/>
        </w:rPr>
      </w:pPr>
      <w:r>
        <w:rPr>
          <w:rFonts w:hint="eastAsia" w:ascii="宋体" w:hAnsi="宋体"/>
          <w:bCs/>
          <w:sz w:val="24"/>
        </w:rPr>
        <w:t>①</w:t>
      </w:r>
      <w:r>
        <w:rPr>
          <w:rFonts w:hint="eastAsia" w:ascii="宋体" w:hAnsi="宋体" w:eastAsia="宋体"/>
          <w:sz w:val="24"/>
          <w:lang w:eastAsia="zh-CN"/>
        </w:rPr>
        <w:t>回填：</w:t>
      </w:r>
    </w:p>
    <w:p>
      <w:pPr>
        <w:pStyle w:val="51"/>
        <w:spacing w:line="360" w:lineRule="auto"/>
        <w:ind w:firstLine="480"/>
        <w:rPr>
          <w:rFonts w:ascii="宋体" w:hAnsi="宋体" w:eastAsia="宋体"/>
          <w:sz w:val="24"/>
        </w:rPr>
      </w:pPr>
      <w:r>
        <w:rPr>
          <w:rFonts w:hint="eastAsia" w:ascii="宋体" w:hAnsi="宋体" w:eastAsia="宋体"/>
          <w:sz w:val="24"/>
          <w:lang w:eastAsia="zh-CN"/>
        </w:rPr>
        <w:t>利用机械设备对1#露天采场底部进行回填，与周边自然坡面过渡衔接，回填工程量即为其挖方量。 回填时将废石回填到底部，将碎石土回填到上部。</w:t>
      </w:r>
      <w:r>
        <w:rPr>
          <w:rFonts w:ascii="宋体" w:hAnsi="宋体" w:eastAsia="宋体"/>
          <w:sz w:val="24"/>
          <w:lang w:eastAsia="zh-CN"/>
        </w:rPr>
        <w:t xml:space="preserve"> 1</w:t>
      </w:r>
      <w:r>
        <w:rPr>
          <w:rFonts w:hint="eastAsia" w:ascii="宋体" w:hAnsi="宋体" w:eastAsia="宋体"/>
          <w:sz w:val="24"/>
          <w:lang w:eastAsia="zh-CN"/>
        </w:rPr>
        <w:t>#露天采场开采标高约588.99-623m，边坡角25-80°，</w:t>
      </w:r>
      <w:r>
        <w:rPr>
          <w:rFonts w:hint="eastAsia" w:ascii="宋体" w:hAnsi="宋体" w:eastAsia="宋体"/>
          <w:sz w:val="24"/>
        </w:rPr>
        <w:t>采坑回填标高至607m，回填深度约7-18m。回填系数取100%，</w:t>
      </w:r>
      <w:r>
        <w:rPr>
          <w:rFonts w:hint="eastAsia" w:ascii="宋体" w:hAnsi="宋体" w:eastAsia="宋体"/>
          <w:sz w:val="24"/>
          <w:lang w:eastAsia="zh-CN"/>
        </w:rPr>
        <w:t>18m</w:t>
      </w:r>
      <w:r>
        <w:rPr>
          <w:rFonts w:hint="eastAsia" w:ascii="宋体" w:hAnsi="宋体" w:eastAsia="宋体"/>
          <w:sz w:val="24"/>
        </w:rPr>
        <w:t>深处平均截面积1002m</w:t>
      </w:r>
      <w:r>
        <w:rPr>
          <w:rFonts w:hint="eastAsia" w:ascii="宋体" w:hAnsi="宋体" w:eastAsia="宋体"/>
          <w:sz w:val="24"/>
          <w:vertAlign w:val="superscript"/>
        </w:rPr>
        <w:t>2</w:t>
      </w:r>
      <w:r>
        <w:rPr>
          <w:rFonts w:hint="eastAsia" w:ascii="宋体" w:hAnsi="宋体" w:eastAsia="宋体"/>
          <w:sz w:val="24"/>
        </w:rPr>
        <w:t>，回填工程量约</w:t>
      </w:r>
      <w:r>
        <w:rPr>
          <w:rFonts w:hint="eastAsia" w:ascii="宋体" w:hAnsi="宋体" w:eastAsia="宋体"/>
          <w:sz w:val="24"/>
          <w:lang w:eastAsia="zh-CN"/>
        </w:rPr>
        <w:t>18036</w:t>
      </w:r>
      <w:r>
        <w:rPr>
          <w:rFonts w:hint="eastAsia" w:ascii="宋体" w:hAnsi="宋体" w:eastAsia="宋体"/>
          <w:sz w:val="24"/>
        </w:rPr>
        <w:t>m</w:t>
      </w:r>
      <w:r>
        <w:rPr>
          <w:rFonts w:hint="eastAsia" w:ascii="宋体" w:hAnsi="宋体" w:eastAsia="宋体"/>
          <w:sz w:val="24"/>
          <w:vertAlign w:val="superscript"/>
        </w:rPr>
        <w:t>3</w:t>
      </w:r>
      <w:r>
        <w:rPr>
          <w:rFonts w:hint="eastAsia" w:ascii="宋体" w:hAnsi="宋体" w:eastAsia="宋体"/>
          <w:sz w:val="24"/>
        </w:rPr>
        <w:t>,其余场地削高填低，回填面积约2400m</w:t>
      </w:r>
      <w:r>
        <w:rPr>
          <w:rFonts w:hint="eastAsia" w:ascii="宋体" w:hAnsi="宋体" w:eastAsia="宋体"/>
          <w:sz w:val="24"/>
          <w:vertAlign w:val="superscript"/>
        </w:rPr>
        <w:t>2</w:t>
      </w:r>
      <w:r>
        <w:rPr>
          <w:rFonts w:hint="eastAsia" w:ascii="宋体" w:hAnsi="宋体" w:eastAsia="宋体"/>
          <w:sz w:val="24"/>
        </w:rPr>
        <w:t>，回填深度</w:t>
      </w:r>
      <w:r>
        <w:rPr>
          <w:rFonts w:hint="eastAsia" w:ascii="宋体" w:hAnsi="宋体" w:eastAsia="宋体"/>
          <w:sz w:val="24"/>
          <w:lang w:eastAsia="zh-CN"/>
        </w:rPr>
        <w:t>约6-</w:t>
      </w:r>
      <w:r>
        <w:rPr>
          <w:rFonts w:hint="eastAsia" w:ascii="宋体" w:hAnsi="宋体" w:eastAsia="宋体"/>
          <w:sz w:val="24"/>
        </w:rPr>
        <w:t>7m，回填工程量</w:t>
      </w:r>
      <w:r>
        <w:rPr>
          <w:rFonts w:hint="eastAsia" w:ascii="宋体" w:hAnsi="宋体" w:eastAsia="宋体"/>
          <w:sz w:val="24"/>
          <w:lang w:eastAsia="zh-CN"/>
        </w:rPr>
        <w:t>15600</w:t>
      </w:r>
      <w:r>
        <w:rPr>
          <w:rFonts w:hint="eastAsia" w:ascii="宋体" w:hAnsi="宋体" w:eastAsia="宋体"/>
          <w:sz w:val="24"/>
        </w:rPr>
        <w:t>m</w:t>
      </w:r>
      <w:r>
        <w:rPr>
          <w:rFonts w:hint="eastAsia" w:ascii="宋体" w:hAnsi="宋体" w:eastAsia="宋体"/>
          <w:sz w:val="24"/>
          <w:vertAlign w:val="superscript"/>
        </w:rPr>
        <w:t>3</w:t>
      </w:r>
      <w:r>
        <w:rPr>
          <w:rFonts w:hint="eastAsia" w:ascii="宋体" w:hAnsi="宋体" w:eastAsia="宋体"/>
          <w:sz w:val="24"/>
        </w:rPr>
        <w:t xml:space="preserve"> ，回填总工程量33636m</w:t>
      </w:r>
      <w:r>
        <w:rPr>
          <w:rFonts w:hint="eastAsia" w:ascii="宋体" w:hAnsi="宋体" w:eastAsia="宋体"/>
          <w:sz w:val="24"/>
          <w:vertAlign w:val="superscript"/>
        </w:rPr>
        <w:t>3</w:t>
      </w:r>
      <w:r>
        <w:rPr>
          <w:rFonts w:hint="eastAsia" w:ascii="宋体" w:hAnsi="宋体" w:eastAsia="宋体"/>
          <w:sz w:val="24"/>
        </w:rPr>
        <w:t>，回填物源矿方选择外购。</w:t>
      </w:r>
    </w:p>
    <w:p>
      <w:pPr>
        <w:spacing w:line="360" w:lineRule="auto"/>
        <w:ind w:firstLine="480" w:firstLineChars="200"/>
        <w:rPr>
          <w:rFonts w:hint="eastAsia" w:ascii="宋体" w:hAnsi="宋体"/>
          <w:bCs/>
          <w:sz w:val="24"/>
        </w:rPr>
      </w:pPr>
      <w:r>
        <w:rPr>
          <w:rFonts w:hint="eastAsia" w:ascii="宋体" w:hAnsi="宋体"/>
          <w:bCs/>
          <w:sz w:val="24"/>
        </w:rPr>
        <w:t>②垫坡</w:t>
      </w:r>
    </w:p>
    <w:p>
      <w:pPr>
        <w:pStyle w:val="51"/>
        <w:spacing w:line="360" w:lineRule="auto"/>
        <w:ind w:firstLine="480"/>
        <w:rPr>
          <w:rFonts w:ascii="宋体" w:hAnsi="宋体" w:eastAsia="宋体"/>
          <w:sz w:val="24"/>
          <w:lang w:eastAsia="zh-CN"/>
        </w:rPr>
      </w:pPr>
      <w:r>
        <w:rPr>
          <w:rFonts w:hint="eastAsia" w:ascii="宋体" w:hAnsi="宋体" w:eastAsia="宋体"/>
          <w:sz w:val="24"/>
          <w:lang w:eastAsia="zh-CN"/>
        </w:rPr>
        <w:t>对1#露天采场部分边坡采用垫坡，根据公式</w:t>
      </w:r>
      <w:r>
        <w:rPr>
          <w:rFonts w:ascii="宋体" w:hAnsi="宋体" w:eastAsia="宋体"/>
          <w:sz w:val="24"/>
          <w:lang w:eastAsia="zh-CN"/>
        </w:rPr>
        <w:t>Qx =n×L×v</w:t>
      </w:r>
      <w:r>
        <w:rPr>
          <w:rFonts w:hint="eastAsia" w:ascii="宋体" w:hAnsi="宋体" w:eastAsia="宋体"/>
          <w:sz w:val="24"/>
          <w:lang w:eastAsia="zh-CN"/>
        </w:rPr>
        <w:t>，式中Qx为垫坡量(m</w:t>
      </w:r>
      <w:r>
        <w:rPr>
          <w:rFonts w:hint="eastAsia" w:ascii="宋体" w:hAnsi="宋体" w:eastAsia="宋体"/>
          <w:sz w:val="24"/>
          <w:vertAlign w:val="superscript"/>
          <w:lang w:eastAsia="zh-CN"/>
        </w:rPr>
        <w:t>3</w:t>
      </w:r>
      <w:r>
        <w:rPr>
          <w:rFonts w:hint="eastAsia" w:ascii="宋体" w:hAnsi="宋体" w:eastAsia="宋体"/>
          <w:sz w:val="24"/>
          <w:lang w:eastAsia="zh-CN"/>
        </w:rPr>
        <w:t>) ，n为垫坡系数，系数取100%， L为边坡长度，西侧高边坡高约2-18，高边坡，坡长约101m，其余边坡219m，</w:t>
      </w:r>
      <w:r>
        <w:rPr>
          <w:rFonts w:ascii="宋体" w:hAnsi="宋体" w:eastAsia="宋体"/>
          <w:sz w:val="24"/>
          <w:lang w:eastAsia="zh-CN"/>
        </w:rPr>
        <w:t>v为单位坡长垫坡</w:t>
      </w:r>
      <w:r>
        <w:rPr>
          <w:rFonts w:hint="eastAsia" w:ascii="宋体" w:hAnsi="宋体" w:eastAsia="宋体"/>
          <w:sz w:val="24"/>
          <w:lang w:eastAsia="zh-CN"/>
        </w:rPr>
        <w:t>工程量</w:t>
      </w:r>
      <w:r>
        <w:rPr>
          <w:rFonts w:ascii="宋体" w:hAnsi="宋体" w:eastAsia="宋体"/>
          <w:sz w:val="24"/>
          <w:lang w:eastAsia="zh-CN"/>
        </w:rPr>
        <w:t xml:space="preserve"> (</w:t>
      </w:r>
      <w:r>
        <w:rPr>
          <w:rFonts w:hint="eastAsia" w:ascii="宋体" w:hAnsi="宋体" w:eastAsia="宋体"/>
          <w:sz w:val="24"/>
          <w:lang w:eastAsia="zh-CN"/>
        </w:rPr>
        <w:t>根据mapgis剖面图计算，</w:t>
      </w:r>
      <w:r>
        <w:rPr>
          <w:rFonts w:ascii="宋体" w:hAnsi="宋体" w:eastAsia="宋体"/>
          <w:sz w:val="24"/>
          <w:lang w:eastAsia="zh-CN"/>
        </w:rPr>
        <w:t>方案取值</w:t>
      </w:r>
      <w:r>
        <w:rPr>
          <w:rFonts w:hint="eastAsia" w:ascii="宋体" w:hAnsi="宋体" w:eastAsia="宋体"/>
          <w:sz w:val="24"/>
          <w:lang w:eastAsia="zh-CN"/>
        </w:rPr>
        <w:t>102</w:t>
      </w:r>
      <w:r>
        <w:rPr>
          <w:rFonts w:ascii="宋体" w:hAnsi="宋体" w:eastAsia="宋体"/>
          <w:sz w:val="24"/>
          <w:lang w:eastAsia="zh-CN"/>
        </w:rPr>
        <w:t>m</w:t>
      </w:r>
      <w:r>
        <w:rPr>
          <w:rFonts w:ascii="宋体" w:hAnsi="宋体" w:eastAsia="宋体"/>
          <w:sz w:val="24"/>
          <w:vertAlign w:val="superscript"/>
          <w:lang w:eastAsia="zh-CN"/>
        </w:rPr>
        <w:t>3</w:t>
      </w:r>
      <w:r>
        <w:rPr>
          <w:rFonts w:ascii="宋体" w:hAnsi="宋体" w:eastAsia="宋体"/>
          <w:sz w:val="24"/>
          <w:lang w:eastAsia="zh-CN"/>
        </w:rPr>
        <w:t>/m</w:t>
      </w:r>
      <w:r>
        <w:rPr>
          <w:rFonts w:hint="eastAsia" w:ascii="宋体" w:hAnsi="宋体" w:eastAsia="宋体"/>
          <w:sz w:val="24"/>
          <w:lang w:eastAsia="zh-CN"/>
        </w:rPr>
        <w:t>、32</w:t>
      </w:r>
      <w:r>
        <w:rPr>
          <w:rFonts w:ascii="宋体" w:hAnsi="宋体" w:eastAsia="宋体"/>
          <w:sz w:val="24"/>
          <w:lang w:eastAsia="zh-CN"/>
        </w:rPr>
        <w:t>m</w:t>
      </w:r>
      <w:r>
        <w:rPr>
          <w:rFonts w:ascii="宋体" w:hAnsi="宋体" w:eastAsia="宋体"/>
          <w:sz w:val="24"/>
          <w:vertAlign w:val="superscript"/>
          <w:lang w:eastAsia="zh-CN"/>
        </w:rPr>
        <w:t>3</w:t>
      </w:r>
      <w:r>
        <w:rPr>
          <w:rFonts w:ascii="宋体" w:hAnsi="宋体" w:eastAsia="宋体"/>
          <w:sz w:val="24"/>
          <w:lang w:eastAsia="zh-CN"/>
        </w:rPr>
        <w:t>/m)</w:t>
      </w:r>
      <w:r>
        <w:rPr>
          <w:rFonts w:hint="eastAsia" w:ascii="宋体" w:hAnsi="宋体" w:eastAsia="宋体"/>
          <w:sz w:val="24"/>
          <w:lang w:eastAsia="zh-CN"/>
        </w:rPr>
        <w:t>，</w:t>
      </w:r>
      <w:r>
        <w:rPr>
          <w:rFonts w:hint="eastAsia" w:ascii="宋体" w:hAnsi="宋体" w:eastAsia="宋体"/>
          <w:sz w:val="24"/>
        </w:rPr>
        <w:t>垫坡高</w:t>
      </w:r>
      <w:r>
        <w:rPr>
          <w:rFonts w:hint="eastAsia" w:ascii="宋体" w:hAnsi="宋体" w:eastAsia="宋体"/>
          <w:sz w:val="24"/>
          <w:lang w:eastAsia="zh-CN"/>
        </w:rPr>
        <w:t>2-</w:t>
      </w:r>
      <w:r>
        <w:rPr>
          <w:rFonts w:hint="eastAsia" w:ascii="宋体" w:hAnsi="宋体" w:eastAsia="宋体"/>
          <w:sz w:val="24"/>
        </w:rPr>
        <w:t>8m，平台宽5m,</w:t>
      </w:r>
      <w:r>
        <w:rPr>
          <w:rFonts w:hint="eastAsia" w:ascii="宋体" w:hAnsi="宋体" w:eastAsia="宋体"/>
          <w:sz w:val="24"/>
          <w:lang w:eastAsia="zh-CN"/>
        </w:rPr>
        <w:t>根据计算，本年度垫坡方量为</w:t>
      </w:r>
      <w:r>
        <w:rPr>
          <w:rFonts w:ascii="宋体" w:hAnsi="宋体" w:eastAsia="宋体"/>
          <w:sz w:val="24"/>
          <w:lang w:eastAsia="zh-CN"/>
        </w:rPr>
        <w:t>7310m</w:t>
      </w:r>
      <w:r>
        <w:rPr>
          <w:rFonts w:ascii="宋体" w:hAnsi="宋体" w:eastAsia="宋体"/>
          <w:sz w:val="24"/>
          <w:vertAlign w:val="superscript"/>
          <w:lang w:eastAsia="zh-CN"/>
        </w:rPr>
        <w:t>3</w:t>
      </w:r>
      <w:r>
        <w:rPr>
          <w:rFonts w:hint="eastAsia" w:ascii="宋体" w:hAnsi="宋体" w:eastAsia="宋体"/>
          <w:sz w:val="24"/>
          <w:lang w:eastAsia="zh-CN"/>
        </w:rPr>
        <w:t>，</w:t>
      </w:r>
      <w:r>
        <w:rPr>
          <w:rFonts w:hint="eastAsia" w:ascii="宋体" w:hAnsi="宋体" w:eastAsia="宋体"/>
          <w:sz w:val="24"/>
        </w:rPr>
        <w:t>垫坡物源矿方选择外购。</w:t>
      </w:r>
    </w:p>
    <w:p>
      <w:pPr>
        <w:pStyle w:val="51"/>
        <w:spacing w:line="360" w:lineRule="auto"/>
        <w:ind w:firstLine="482"/>
        <w:rPr>
          <w:rFonts w:ascii="宋体" w:hAnsi="宋体" w:eastAsia="宋体"/>
          <w:b/>
          <w:sz w:val="24"/>
          <w:lang w:eastAsia="zh-CN"/>
        </w:rPr>
      </w:pPr>
      <w:bookmarkStart w:id="14" w:name="_Toc145756819"/>
      <w:bookmarkStart w:id="15" w:name="_Toc317067930"/>
      <w:bookmarkStart w:id="16" w:name="_Toc317067904"/>
      <w:bookmarkStart w:id="17" w:name="_Toc148251068"/>
      <w:r>
        <w:rPr>
          <w:rFonts w:ascii="宋体" w:hAnsi="宋体" w:eastAsia="宋体"/>
          <w:b/>
          <w:sz w:val="24"/>
          <w:lang w:eastAsia="zh-CN"/>
        </w:rPr>
        <w:t>（</w:t>
      </w:r>
      <w:r>
        <w:rPr>
          <w:rFonts w:hint="eastAsia" w:ascii="宋体" w:hAnsi="宋体" w:eastAsia="宋体"/>
          <w:b/>
          <w:sz w:val="24"/>
          <w:lang w:eastAsia="zh-CN"/>
        </w:rPr>
        <w:t>2</w:t>
      </w:r>
      <w:r>
        <w:rPr>
          <w:rFonts w:ascii="宋体" w:hAnsi="宋体" w:eastAsia="宋体"/>
          <w:b/>
          <w:sz w:val="24"/>
          <w:lang w:eastAsia="zh-CN"/>
        </w:rPr>
        <w:t>）工程实施方案</w:t>
      </w:r>
      <w:bookmarkEnd w:id="14"/>
      <w:bookmarkEnd w:id="15"/>
      <w:bookmarkEnd w:id="16"/>
      <w:bookmarkEnd w:id="17"/>
    </w:p>
    <w:p>
      <w:pPr>
        <w:spacing w:line="360" w:lineRule="auto"/>
        <w:ind w:firstLine="480" w:firstLineChars="200"/>
        <w:rPr>
          <w:rFonts w:hint="eastAsia" w:ascii="宋体" w:hAnsi="宋体"/>
          <w:snapToGrid w:val="0"/>
          <w:kern w:val="0"/>
          <w:sz w:val="24"/>
        </w:rPr>
      </w:pPr>
      <w:r>
        <w:rPr>
          <w:rFonts w:hint="eastAsia" w:ascii="宋体" w:hAnsi="宋体"/>
          <w:sz w:val="24"/>
        </w:rPr>
        <w:t>1、</w:t>
      </w:r>
      <w:r>
        <w:rPr>
          <w:rFonts w:ascii="宋体" w:hAnsi="宋体"/>
          <w:sz w:val="24"/>
        </w:rPr>
        <w:t>回填</w:t>
      </w:r>
      <w:r>
        <w:rPr>
          <w:rFonts w:hint="eastAsia" w:ascii="宋体" w:hAnsi="宋体"/>
          <w:sz w:val="24"/>
        </w:rPr>
        <w:t>（垫坡）</w:t>
      </w:r>
      <w:r>
        <w:rPr>
          <w:rFonts w:ascii="宋体" w:hAnsi="宋体"/>
          <w:sz w:val="24"/>
        </w:rPr>
        <w:t>：采用机械。</w:t>
      </w:r>
      <w:r>
        <w:rPr>
          <w:rFonts w:hint="eastAsia" w:ascii="宋体" w:hAnsi="宋体"/>
          <w:sz w:val="24"/>
        </w:rPr>
        <w:t>使用挖掘机、载重汽车等机械</w:t>
      </w:r>
      <w:r>
        <w:rPr>
          <w:rFonts w:ascii="宋体" w:hAnsi="宋体"/>
          <w:sz w:val="24"/>
        </w:rPr>
        <w:t>结合人工运石渣方式将废石回填治理区</w:t>
      </w:r>
      <w:r>
        <w:rPr>
          <w:rFonts w:hint="eastAsia" w:ascii="宋体" w:hAnsi="宋体"/>
          <w:sz w:val="24"/>
        </w:rPr>
        <w:t>，回填时将块度大的回填至底部，距离地表使用粒度小的废石土，每回填</w:t>
      </w:r>
      <w:r>
        <w:rPr>
          <w:rFonts w:ascii="宋体" w:hAnsi="宋体"/>
          <w:sz w:val="24"/>
        </w:rPr>
        <w:t>20-40cm</w:t>
      </w:r>
      <w:r>
        <w:rPr>
          <w:rFonts w:hint="eastAsia" w:ascii="宋体" w:hAnsi="宋体"/>
          <w:sz w:val="24"/>
        </w:rPr>
        <w:t>压实一次，回填、垫坡实施后的地表应与周边地势相协调，边坡角不大于30</w:t>
      </w:r>
      <w:r>
        <w:rPr>
          <w:rFonts w:ascii="宋体" w:hAnsi="宋体"/>
          <w:sz w:val="24"/>
        </w:rPr>
        <w:t>°</w:t>
      </w:r>
    </w:p>
    <w:p>
      <w:pPr>
        <w:spacing w:line="360" w:lineRule="auto"/>
        <w:ind w:firstLine="480" w:firstLineChars="200"/>
        <w:rPr>
          <w:rFonts w:ascii="宋体" w:hAnsi="宋体"/>
          <w:snapToGrid w:val="0"/>
          <w:kern w:val="0"/>
          <w:sz w:val="24"/>
        </w:rPr>
      </w:pPr>
      <w:r>
        <w:rPr>
          <w:rFonts w:hint="eastAsia" w:ascii="宋体" w:hAnsi="宋体"/>
          <w:snapToGrid w:val="0"/>
          <w:kern w:val="0"/>
          <w:sz w:val="24"/>
        </w:rPr>
        <w:t>2</w:t>
      </w:r>
      <w:r>
        <w:rPr>
          <w:rFonts w:ascii="宋体" w:hAnsi="宋体"/>
          <w:snapToGrid w:val="0"/>
          <w:kern w:val="0"/>
          <w:sz w:val="24"/>
        </w:rPr>
        <w:t>、整形</w:t>
      </w:r>
    </w:p>
    <w:p>
      <w:pPr>
        <w:spacing w:line="360" w:lineRule="auto"/>
        <w:ind w:firstLine="480" w:firstLineChars="200"/>
        <w:rPr>
          <w:rFonts w:ascii="宋体" w:hAnsi="宋体"/>
          <w:snapToGrid w:val="0"/>
          <w:kern w:val="0"/>
          <w:sz w:val="24"/>
        </w:rPr>
      </w:pPr>
      <w:r>
        <w:rPr>
          <w:rFonts w:ascii="宋体" w:hAnsi="宋体"/>
          <w:snapToGrid w:val="0"/>
          <w:kern w:val="0"/>
          <w:sz w:val="24"/>
        </w:rPr>
        <w:t>用推土机等机械设备（辅助以人工）对整个治理区整形（整平）：整形平均厚度0.</w:t>
      </w:r>
      <w:r>
        <w:rPr>
          <w:rFonts w:hint="eastAsia" w:ascii="宋体" w:hAnsi="宋体"/>
          <w:snapToGrid w:val="0"/>
          <w:kern w:val="0"/>
          <w:sz w:val="24"/>
        </w:rPr>
        <w:t>3</w:t>
      </w:r>
      <w:r>
        <w:rPr>
          <w:rFonts w:ascii="宋体" w:hAnsi="宋体"/>
          <w:snapToGrid w:val="0"/>
          <w:kern w:val="0"/>
          <w:sz w:val="24"/>
        </w:rPr>
        <w:t xml:space="preserve"> m。其中废石堆平台整形时应形成内高外低的小于1％反坡，台阶边坡角小于30°。</w:t>
      </w:r>
    </w:p>
    <w:p>
      <w:pPr>
        <w:pStyle w:val="51"/>
        <w:spacing w:line="360" w:lineRule="auto"/>
        <w:ind w:firstLine="482"/>
        <w:rPr>
          <w:rFonts w:ascii="宋体" w:hAnsi="宋体" w:eastAsia="宋体"/>
          <w:b/>
          <w:sz w:val="24"/>
          <w:lang w:eastAsia="zh-CN"/>
        </w:rPr>
      </w:pPr>
      <w:bookmarkStart w:id="18" w:name="_Toc317067931"/>
      <w:bookmarkStart w:id="19" w:name="_Toc148251069"/>
      <w:bookmarkStart w:id="20" w:name="_Toc145756820"/>
      <w:bookmarkStart w:id="21" w:name="_Toc317067905"/>
      <w:r>
        <w:rPr>
          <w:rFonts w:ascii="宋体" w:hAnsi="宋体" w:eastAsia="宋体"/>
          <w:b/>
          <w:sz w:val="24"/>
          <w:lang w:eastAsia="zh-CN"/>
        </w:rPr>
        <w:t>（</w:t>
      </w:r>
      <w:r>
        <w:rPr>
          <w:rFonts w:hint="eastAsia" w:ascii="宋体" w:hAnsi="宋体" w:eastAsia="宋体"/>
          <w:b/>
          <w:sz w:val="24"/>
          <w:lang w:eastAsia="zh-CN"/>
        </w:rPr>
        <w:t>3</w:t>
      </w:r>
      <w:r>
        <w:rPr>
          <w:rFonts w:ascii="宋体" w:hAnsi="宋体" w:eastAsia="宋体"/>
          <w:b/>
          <w:sz w:val="24"/>
          <w:lang w:eastAsia="zh-CN"/>
        </w:rPr>
        <w:t>）治理工程量</w:t>
      </w:r>
      <w:bookmarkEnd w:id="18"/>
      <w:bookmarkEnd w:id="19"/>
      <w:bookmarkEnd w:id="20"/>
      <w:bookmarkEnd w:id="21"/>
    </w:p>
    <w:p>
      <w:pPr>
        <w:pStyle w:val="51"/>
        <w:spacing w:line="360" w:lineRule="auto"/>
        <w:ind w:firstLine="480"/>
        <w:rPr>
          <w:rFonts w:hint="eastAsia" w:ascii="宋体" w:hAnsi="宋体" w:eastAsia="宋体"/>
          <w:sz w:val="24"/>
          <w:lang w:eastAsia="zh-CN"/>
        </w:rPr>
      </w:pPr>
      <w:r>
        <w:rPr>
          <w:rFonts w:hint="eastAsia" w:ascii="宋体" w:hAnsi="宋体" w:eastAsia="宋体"/>
          <w:sz w:val="24"/>
          <w:lang w:eastAsia="zh-CN"/>
        </w:rPr>
        <w:t>主要工程量见表</w:t>
      </w:r>
      <w:r>
        <w:rPr>
          <w:rFonts w:ascii="宋体" w:hAnsi="宋体" w:eastAsia="宋体"/>
          <w:sz w:val="24"/>
          <w:lang w:eastAsia="zh-CN"/>
        </w:rPr>
        <w:t>6-2</w:t>
      </w:r>
      <w:r>
        <w:rPr>
          <w:rFonts w:hint="eastAsia" w:ascii="宋体" w:hAnsi="宋体" w:eastAsia="宋体"/>
          <w:sz w:val="24"/>
          <w:lang w:eastAsia="zh-CN"/>
        </w:rPr>
        <w:t>。</w:t>
      </w:r>
    </w:p>
    <w:p>
      <w:pPr>
        <w:pStyle w:val="51"/>
        <w:spacing w:line="360" w:lineRule="auto"/>
        <w:ind w:firstLine="482"/>
        <w:jc w:val="center"/>
        <w:rPr>
          <w:rFonts w:hint="eastAsia" w:ascii="宋体" w:hAnsi="宋体" w:eastAsia="宋体"/>
          <w:b/>
          <w:sz w:val="24"/>
          <w:lang w:eastAsia="zh-CN"/>
        </w:rPr>
      </w:pPr>
      <w:r>
        <w:rPr>
          <w:rFonts w:hint="eastAsia" w:ascii="宋体" w:hAnsi="宋体" w:eastAsia="宋体"/>
          <w:b/>
          <w:sz w:val="24"/>
          <w:lang w:eastAsia="zh-CN"/>
        </w:rPr>
        <w:t>表</w:t>
      </w:r>
      <w:r>
        <w:rPr>
          <w:rFonts w:ascii="宋体" w:hAnsi="宋体" w:eastAsia="宋体"/>
          <w:b/>
          <w:sz w:val="24"/>
          <w:lang w:eastAsia="zh-CN"/>
        </w:rPr>
        <w:t>6</w:t>
      </w:r>
      <w:r>
        <w:rPr>
          <w:rFonts w:hint="eastAsia" w:ascii="宋体" w:hAnsi="宋体" w:eastAsia="宋体"/>
          <w:b/>
          <w:sz w:val="24"/>
          <w:lang w:eastAsia="zh-CN"/>
        </w:rPr>
        <w:t>-</w:t>
      </w:r>
      <w:r>
        <w:rPr>
          <w:rFonts w:ascii="宋体" w:hAnsi="宋体" w:eastAsia="宋体"/>
          <w:b/>
          <w:sz w:val="24"/>
          <w:lang w:eastAsia="zh-CN"/>
        </w:rPr>
        <w:t>2</w:t>
      </w:r>
      <w:r>
        <w:rPr>
          <w:rFonts w:hint="eastAsia" w:ascii="宋体" w:hAnsi="宋体" w:eastAsia="宋体"/>
          <w:b/>
          <w:sz w:val="24"/>
          <w:lang w:eastAsia="zh-CN"/>
        </w:rPr>
        <w:t xml:space="preserve">  设计治理工程量</w:t>
      </w:r>
    </w:p>
    <w:tbl>
      <w:tblPr>
        <w:tblStyle w:val="24"/>
        <w:tblW w:w="5000" w:type="pct"/>
        <w:tblInd w:w="0" w:type="dxa"/>
        <w:tblLayout w:type="autofit"/>
        <w:tblCellMar>
          <w:top w:w="0" w:type="dxa"/>
          <w:left w:w="108" w:type="dxa"/>
          <w:bottom w:w="0" w:type="dxa"/>
          <w:right w:w="108" w:type="dxa"/>
        </w:tblCellMar>
      </w:tblPr>
      <w:tblGrid>
        <w:gridCol w:w="2149"/>
        <w:gridCol w:w="2243"/>
        <w:gridCol w:w="2065"/>
        <w:gridCol w:w="2065"/>
      </w:tblGrid>
      <w:tr>
        <w:tblPrEx>
          <w:tblCellMar>
            <w:top w:w="0" w:type="dxa"/>
            <w:left w:w="108" w:type="dxa"/>
            <w:bottom w:w="0" w:type="dxa"/>
            <w:right w:w="108" w:type="dxa"/>
          </w:tblCellMar>
        </w:tblPrEx>
        <w:trPr>
          <w:wBefore w:w="0" w:type="dxa"/>
          <w:wAfter w:w="0" w:type="dxa"/>
          <w:trHeight w:val="270" w:hRule="atLeast"/>
        </w:trPr>
        <w:tc>
          <w:tcPr>
            <w:tcW w:w="1261" w:type="pc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单位名称</w:t>
            </w:r>
          </w:p>
        </w:tc>
        <w:tc>
          <w:tcPr>
            <w:tcW w:w="1316" w:type="pct"/>
            <w:tcBorders>
              <w:top w:val="single" w:color="auto" w:sz="4" w:space="0"/>
              <w:left w:val="nil"/>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面积（hm</w:t>
            </w:r>
            <w:r>
              <w:rPr>
                <w:rFonts w:hint="eastAsia" w:ascii="宋体" w:hAnsi="宋体" w:cs="宋体"/>
                <w:szCs w:val="21"/>
                <w:vertAlign w:val="superscript"/>
              </w:rPr>
              <w:t>2</w:t>
            </w:r>
            <w:r>
              <w:rPr>
                <w:rFonts w:hint="eastAsia" w:ascii="宋体" w:hAnsi="宋体" w:cs="宋体"/>
                <w:szCs w:val="21"/>
              </w:rPr>
              <w:t>）</w:t>
            </w:r>
          </w:p>
        </w:tc>
        <w:tc>
          <w:tcPr>
            <w:tcW w:w="1211" w:type="pct"/>
            <w:tcBorders>
              <w:top w:val="single" w:color="auto" w:sz="4" w:space="0"/>
              <w:left w:val="nil"/>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回填（m</w:t>
            </w:r>
            <w:r>
              <w:rPr>
                <w:rFonts w:hint="eastAsia" w:ascii="宋体" w:hAnsi="宋体" w:cs="宋体"/>
                <w:szCs w:val="21"/>
                <w:vertAlign w:val="superscript"/>
              </w:rPr>
              <w:t>3</w:t>
            </w:r>
            <w:r>
              <w:rPr>
                <w:rFonts w:hint="eastAsia" w:ascii="宋体" w:hAnsi="宋体" w:cs="宋体"/>
                <w:szCs w:val="21"/>
              </w:rPr>
              <w:t>）</w:t>
            </w:r>
          </w:p>
        </w:tc>
        <w:tc>
          <w:tcPr>
            <w:tcW w:w="1211" w:type="pct"/>
            <w:tcBorders>
              <w:top w:val="single" w:color="auto" w:sz="4" w:space="0"/>
              <w:left w:val="nil"/>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垫坡（m</w:t>
            </w:r>
            <w:r>
              <w:rPr>
                <w:rFonts w:hint="eastAsia" w:ascii="宋体" w:hAnsi="宋体" w:cs="宋体"/>
                <w:szCs w:val="21"/>
                <w:vertAlign w:val="superscript"/>
              </w:rPr>
              <w:t>3</w:t>
            </w:r>
            <w:r>
              <w:rPr>
                <w:rFonts w:hint="eastAsia" w:ascii="宋体" w:hAnsi="宋体" w:cs="宋体"/>
                <w:szCs w:val="21"/>
              </w:rPr>
              <w:t>）</w:t>
            </w:r>
          </w:p>
        </w:tc>
      </w:tr>
      <w:tr>
        <w:tblPrEx>
          <w:tblCellMar>
            <w:top w:w="0" w:type="dxa"/>
            <w:left w:w="108" w:type="dxa"/>
            <w:bottom w:w="0" w:type="dxa"/>
            <w:right w:w="108" w:type="dxa"/>
          </w:tblCellMar>
        </w:tblPrEx>
        <w:trPr>
          <w:wBefore w:w="0" w:type="dxa"/>
          <w:wAfter w:w="0" w:type="dxa"/>
          <w:trHeight w:val="270" w:hRule="atLeast"/>
        </w:trPr>
        <w:tc>
          <w:tcPr>
            <w:tcW w:w="1261" w:type="pct"/>
            <w:tcBorders>
              <w:top w:val="nil"/>
              <w:left w:val="single" w:color="auto" w:sz="4" w:space="0"/>
              <w:bottom w:val="single" w:color="auto" w:sz="4" w:space="0"/>
              <w:right w:val="single" w:color="auto" w:sz="4" w:space="0"/>
            </w:tcBorders>
            <w:noWrap/>
            <w:vAlign w:val="bottom"/>
          </w:tcPr>
          <w:p>
            <w:pPr>
              <w:jc w:val="center"/>
              <w:rPr>
                <w:rFonts w:ascii="宋体" w:hAnsi="宋体" w:cs="宋体"/>
                <w:szCs w:val="21"/>
              </w:rPr>
            </w:pPr>
            <w:r>
              <w:rPr>
                <w:rFonts w:hint="eastAsia" w:ascii="宋体" w:hAnsi="宋体" w:cs="宋体"/>
                <w:szCs w:val="21"/>
              </w:rPr>
              <w:t>1#露天采场</w:t>
            </w:r>
          </w:p>
        </w:tc>
        <w:tc>
          <w:tcPr>
            <w:tcW w:w="1316" w:type="pct"/>
            <w:tcBorders>
              <w:top w:val="nil"/>
              <w:left w:val="nil"/>
              <w:bottom w:val="single" w:color="auto" w:sz="4" w:space="0"/>
              <w:right w:val="single" w:color="auto" w:sz="4" w:space="0"/>
            </w:tcBorders>
            <w:noWrap/>
            <w:vAlign w:val="bottom"/>
          </w:tcPr>
          <w:p>
            <w:pPr>
              <w:jc w:val="center"/>
              <w:rPr>
                <w:rFonts w:ascii="宋体" w:hAnsi="宋体" w:cs="宋体"/>
                <w:szCs w:val="21"/>
              </w:rPr>
            </w:pPr>
            <w:r>
              <w:rPr>
                <w:rFonts w:hint="eastAsia" w:ascii="宋体" w:hAnsi="宋体" w:cs="宋体"/>
                <w:szCs w:val="21"/>
              </w:rPr>
              <w:t>2.0475</w:t>
            </w:r>
          </w:p>
        </w:tc>
        <w:tc>
          <w:tcPr>
            <w:tcW w:w="1211" w:type="pct"/>
            <w:tcBorders>
              <w:top w:val="nil"/>
              <w:left w:val="nil"/>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33636</w:t>
            </w:r>
          </w:p>
        </w:tc>
        <w:tc>
          <w:tcPr>
            <w:tcW w:w="1211" w:type="pct"/>
            <w:tcBorders>
              <w:top w:val="nil"/>
              <w:left w:val="nil"/>
              <w:bottom w:val="single" w:color="auto" w:sz="4" w:space="0"/>
              <w:right w:val="single" w:color="auto" w:sz="4" w:space="0"/>
            </w:tcBorders>
            <w:noWrap/>
            <w:vAlign w:val="center"/>
          </w:tcPr>
          <w:p>
            <w:pPr>
              <w:jc w:val="center"/>
              <w:rPr>
                <w:rFonts w:ascii="宋体" w:hAnsi="宋体" w:cs="宋体"/>
                <w:szCs w:val="21"/>
              </w:rPr>
            </w:pPr>
            <w:r>
              <w:rPr>
                <w:rFonts w:ascii="宋体" w:hAnsi="宋体" w:cs="宋体"/>
                <w:szCs w:val="21"/>
              </w:rPr>
              <w:t>7310</w:t>
            </w:r>
          </w:p>
        </w:tc>
      </w:tr>
      <w:tr>
        <w:tblPrEx>
          <w:tblCellMar>
            <w:top w:w="0" w:type="dxa"/>
            <w:left w:w="108" w:type="dxa"/>
            <w:bottom w:w="0" w:type="dxa"/>
            <w:right w:w="108" w:type="dxa"/>
          </w:tblCellMar>
        </w:tblPrEx>
        <w:trPr>
          <w:wBefore w:w="0" w:type="dxa"/>
          <w:wAfter w:w="0" w:type="dxa"/>
          <w:trHeight w:val="270" w:hRule="atLeast"/>
        </w:trPr>
        <w:tc>
          <w:tcPr>
            <w:tcW w:w="1261" w:type="pct"/>
            <w:tcBorders>
              <w:top w:val="nil"/>
              <w:left w:val="single" w:color="auto" w:sz="4" w:space="0"/>
              <w:bottom w:val="single" w:color="auto" w:sz="4" w:space="0"/>
              <w:right w:val="single" w:color="auto" w:sz="4" w:space="0"/>
            </w:tcBorders>
            <w:noWrap/>
            <w:vAlign w:val="bottom"/>
          </w:tcPr>
          <w:p>
            <w:pPr>
              <w:jc w:val="center"/>
              <w:rPr>
                <w:rFonts w:ascii="宋体" w:hAnsi="宋体" w:cs="宋体"/>
                <w:szCs w:val="21"/>
              </w:rPr>
            </w:pPr>
            <w:r>
              <w:rPr>
                <w:rFonts w:hint="eastAsia" w:ascii="宋体" w:hAnsi="宋体" w:cs="宋体"/>
                <w:szCs w:val="21"/>
              </w:rPr>
              <w:t>合计</w:t>
            </w:r>
          </w:p>
        </w:tc>
        <w:tc>
          <w:tcPr>
            <w:tcW w:w="1316" w:type="pct"/>
            <w:tcBorders>
              <w:top w:val="nil"/>
              <w:left w:val="nil"/>
              <w:bottom w:val="single" w:color="auto" w:sz="4" w:space="0"/>
              <w:right w:val="single" w:color="auto" w:sz="4" w:space="0"/>
            </w:tcBorders>
            <w:noWrap/>
            <w:vAlign w:val="bottom"/>
          </w:tcPr>
          <w:p>
            <w:pPr>
              <w:jc w:val="center"/>
              <w:rPr>
                <w:rFonts w:ascii="宋体" w:hAnsi="宋体" w:cs="宋体"/>
                <w:szCs w:val="21"/>
              </w:rPr>
            </w:pPr>
            <w:r>
              <w:rPr>
                <w:rFonts w:hint="eastAsia" w:ascii="宋体" w:hAnsi="宋体" w:cs="宋体"/>
                <w:szCs w:val="21"/>
              </w:rPr>
              <w:t>2.0475</w:t>
            </w:r>
          </w:p>
        </w:tc>
        <w:tc>
          <w:tcPr>
            <w:tcW w:w="1211" w:type="pct"/>
            <w:tcBorders>
              <w:top w:val="nil"/>
              <w:left w:val="nil"/>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33636</w:t>
            </w:r>
          </w:p>
        </w:tc>
        <w:tc>
          <w:tcPr>
            <w:tcW w:w="1211" w:type="pct"/>
            <w:tcBorders>
              <w:top w:val="nil"/>
              <w:left w:val="nil"/>
              <w:bottom w:val="single" w:color="auto" w:sz="4" w:space="0"/>
              <w:right w:val="single" w:color="auto" w:sz="4" w:space="0"/>
            </w:tcBorders>
            <w:noWrap/>
            <w:vAlign w:val="center"/>
          </w:tcPr>
          <w:p>
            <w:pPr>
              <w:jc w:val="center"/>
              <w:rPr>
                <w:rFonts w:ascii="宋体" w:hAnsi="宋体" w:cs="宋体"/>
                <w:szCs w:val="21"/>
              </w:rPr>
            </w:pPr>
            <w:r>
              <w:rPr>
                <w:rFonts w:ascii="宋体" w:hAnsi="宋体" w:cs="宋体"/>
                <w:szCs w:val="21"/>
              </w:rPr>
              <w:t>7310</w:t>
            </w:r>
          </w:p>
        </w:tc>
      </w:tr>
    </w:tbl>
    <w:p>
      <w:pPr>
        <w:pStyle w:val="2"/>
        <w:jc w:val="center"/>
        <w:rPr>
          <w:rFonts w:ascii="宋体" w:hAnsi="宋体" w:eastAsia="宋体"/>
          <w:sz w:val="24"/>
          <w:szCs w:val="24"/>
        </w:rPr>
      </w:pPr>
      <w:bookmarkStart w:id="22" w:name="_Toc317067939"/>
      <w:bookmarkStart w:id="23" w:name="_Toc148251070"/>
      <w:bookmarkStart w:id="24" w:name="_Toc317067913"/>
      <w:bookmarkStart w:id="25" w:name="_Toc145756826"/>
      <w:r>
        <w:rPr>
          <w:rFonts w:hint="eastAsia" w:ascii="宋体" w:hAnsi="宋体" w:eastAsia="宋体"/>
          <w:sz w:val="36"/>
          <w:szCs w:val="36"/>
        </w:rPr>
        <w:t>七</w:t>
      </w:r>
      <w:r>
        <w:rPr>
          <w:rFonts w:ascii="宋体" w:hAnsi="宋体" w:eastAsia="宋体"/>
          <w:sz w:val="36"/>
          <w:szCs w:val="36"/>
        </w:rPr>
        <w:t>、经费预算</w:t>
      </w:r>
      <w:bookmarkEnd w:id="22"/>
      <w:bookmarkEnd w:id="23"/>
      <w:bookmarkEnd w:id="24"/>
      <w:bookmarkEnd w:id="25"/>
    </w:p>
    <w:p>
      <w:pPr>
        <w:pStyle w:val="3"/>
        <w:ind w:firstLine="602" w:firstLineChars="200"/>
        <w:rPr>
          <w:rFonts w:ascii="宋体" w:hAnsi="宋体" w:eastAsia="宋体"/>
          <w:szCs w:val="30"/>
        </w:rPr>
      </w:pPr>
      <w:bookmarkStart w:id="26" w:name="_Toc317067940"/>
      <w:bookmarkStart w:id="27" w:name="_Toc148251071"/>
      <w:bookmarkStart w:id="28" w:name="_Toc317067914"/>
      <w:bookmarkStart w:id="29" w:name="_Toc145756827"/>
      <w:r>
        <w:rPr>
          <w:rFonts w:ascii="宋体" w:hAnsi="宋体" w:eastAsia="宋体"/>
          <w:szCs w:val="30"/>
        </w:rPr>
        <w:t>（一）预算编制依据</w:t>
      </w:r>
      <w:bookmarkEnd w:id="26"/>
      <w:bookmarkEnd w:id="27"/>
      <w:bookmarkEnd w:id="28"/>
      <w:bookmarkEnd w:id="29"/>
    </w:p>
    <w:p>
      <w:pPr>
        <w:spacing w:line="360" w:lineRule="auto"/>
        <w:ind w:firstLine="470" w:firstLineChars="196"/>
        <w:rPr>
          <w:rFonts w:hint="eastAsia" w:ascii="宋体" w:hAnsi="宋体"/>
          <w:bCs/>
          <w:sz w:val="24"/>
        </w:rPr>
      </w:pPr>
      <w:bookmarkStart w:id="30" w:name="_Toc317067941"/>
      <w:bookmarkStart w:id="31" w:name="_Toc317067915"/>
      <w:r>
        <w:rPr>
          <w:rFonts w:hint="eastAsia" w:ascii="宋体" w:hAnsi="宋体"/>
          <w:bCs/>
          <w:sz w:val="24"/>
        </w:rPr>
        <w:t>本次矿山地质环境治理工程投资估算遵循“符合现行政策、法规和办法，全面、合理、科学和准确，实事求是、依据充分和公平合理，体现矿山地质环境保 护工程特点”的原则，按《矿山地质环境保护与土地复垦方案编制指南》（中华人民共和国国土资源部2016年12月）和《矿山地质环境保护与恢复治理方案编制规范》（DZ/T0223-2011）进行编制。定额和费用计算标准的主要依据如下：</w:t>
      </w:r>
    </w:p>
    <w:p>
      <w:pPr>
        <w:spacing w:line="360" w:lineRule="auto"/>
        <w:ind w:firstLine="470" w:firstLineChars="196"/>
        <w:rPr>
          <w:rFonts w:hint="eastAsia" w:ascii="宋体" w:hAnsi="宋体"/>
          <w:bCs/>
          <w:sz w:val="24"/>
        </w:rPr>
      </w:pPr>
      <w:r>
        <w:rPr>
          <w:rFonts w:hint="eastAsia" w:ascii="宋体" w:hAnsi="宋体"/>
          <w:bCs/>
          <w:sz w:val="24"/>
        </w:rPr>
        <w:t>（1）财政部、国土资源部关于印发《土地开发整理项目预算定额标准》的通知，财综【2011】128号；</w:t>
      </w:r>
    </w:p>
    <w:p>
      <w:pPr>
        <w:spacing w:line="360" w:lineRule="auto"/>
        <w:ind w:firstLine="470" w:firstLineChars="196"/>
        <w:rPr>
          <w:rFonts w:hint="eastAsia" w:ascii="宋体" w:hAnsi="宋体"/>
          <w:bCs/>
          <w:sz w:val="24"/>
        </w:rPr>
      </w:pPr>
      <w:r>
        <w:rPr>
          <w:rFonts w:hint="eastAsia" w:ascii="宋体" w:hAnsi="宋体"/>
          <w:bCs/>
          <w:sz w:val="24"/>
        </w:rPr>
        <w:t>（2）内蒙古自治区财政厅、国土资源厅关于印发《内蒙古自治区矿山地质环境治理工程预算定额标准（试行）》的通知（内财建[2013]600号）；</w:t>
      </w:r>
    </w:p>
    <w:p>
      <w:pPr>
        <w:spacing w:line="360" w:lineRule="auto"/>
        <w:ind w:firstLine="470" w:firstLineChars="196"/>
        <w:rPr>
          <w:rFonts w:hint="eastAsia" w:ascii="宋体" w:hAnsi="宋体"/>
          <w:bCs/>
          <w:sz w:val="24"/>
        </w:rPr>
      </w:pPr>
      <w:r>
        <w:rPr>
          <w:rFonts w:hint="eastAsia" w:ascii="宋体" w:hAnsi="宋体"/>
          <w:bCs/>
          <w:sz w:val="24"/>
        </w:rPr>
        <w:t>（3）关于调整《内蒙古自治区建设工程费用定额》税金税率的通知（内建工[2011]434号）；</w:t>
      </w:r>
    </w:p>
    <w:p>
      <w:pPr>
        <w:spacing w:line="360" w:lineRule="auto"/>
        <w:ind w:firstLine="470" w:firstLineChars="196"/>
        <w:rPr>
          <w:rFonts w:hint="eastAsia" w:ascii="宋体" w:hAnsi="宋体"/>
          <w:bCs/>
          <w:sz w:val="24"/>
        </w:rPr>
      </w:pPr>
      <w:r>
        <w:rPr>
          <w:rFonts w:hint="eastAsia" w:ascii="宋体" w:hAnsi="宋体"/>
          <w:bCs/>
          <w:sz w:val="24"/>
        </w:rPr>
        <w:t>（4）</w:t>
      </w:r>
      <w:r>
        <w:rPr>
          <w:rFonts w:ascii="宋体" w:hAnsi="宋体"/>
          <w:bCs/>
          <w:sz w:val="24"/>
        </w:rPr>
        <w:t>宁城</w:t>
      </w:r>
      <w:r>
        <w:rPr>
          <w:rFonts w:hint="eastAsia" w:ascii="宋体" w:hAnsi="宋体"/>
          <w:bCs/>
          <w:sz w:val="24"/>
        </w:rPr>
        <w:t>材料价格（2023年第</w:t>
      </w:r>
      <w:r>
        <w:rPr>
          <w:rFonts w:ascii="宋体" w:hAnsi="宋体"/>
          <w:bCs/>
          <w:sz w:val="24"/>
        </w:rPr>
        <w:t>3</w:t>
      </w:r>
      <w:r>
        <w:rPr>
          <w:rFonts w:hint="eastAsia" w:ascii="宋体" w:hAnsi="宋体"/>
          <w:bCs/>
          <w:sz w:val="24"/>
        </w:rPr>
        <w:t>季度）材料价格市场询价。</w:t>
      </w:r>
    </w:p>
    <w:p>
      <w:pPr>
        <w:spacing w:line="360" w:lineRule="auto"/>
        <w:ind w:firstLine="472" w:firstLineChars="196"/>
        <w:rPr>
          <w:rFonts w:ascii="宋体" w:hAnsi="宋体"/>
          <w:b/>
          <w:bCs/>
          <w:sz w:val="24"/>
        </w:rPr>
      </w:pPr>
      <w:r>
        <w:rPr>
          <w:rFonts w:hint="eastAsia" w:ascii="宋体" w:hAnsi="宋体"/>
          <w:b/>
          <w:bCs/>
          <w:sz w:val="24"/>
        </w:rPr>
        <w:t>2</w:t>
      </w:r>
      <w:r>
        <w:rPr>
          <w:rFonts w:ascii="宋体" w:hAnsi="宋体"/>
          <w:b/>
          <w:bCs/>
          <w:sz w:val="24"/>
        </w:rPr>
        <w:t>、</w:t>
      </w:r>
      <w:r>
        <w:rPr>
          <w:rFonts w:hint="eastAsia" w:ascii="宋体" w:hAnsi="宋体"/>
          <w:b/>
          <w:bCs/>
          <w:sz w:val="24"/>
        </w:rPr>
        <w:t>费用构成及计算方法</w:t>
      </w:r>
    </w:p>
    <w:p>
      <w:pPr>
        <w:spacing w:line="360" w:lineRule="auto"/>
        <w:ind w:firstLine="480"/>
        <w:rPr>
          <w:rFonts w:ascii="宋体" w:hAnsi="宋体"/>
          <w:sz w:val="24"/>
        </w:rPr>
      </w:pPr>
      <w:r>
        <w:rPr>
          <w:rFonts w:ascii="宋体" w:hAnsi="宋体"/>
          <w:sz w:val="24"/>
        </w:rPr>
        <w:t>根据《</w:t>
      </w:r>
      <w:r>
        <w:rPr>
          <w:rFonts w:hint="eastAsia" w:ascii="宋体" w:hAnsi="宋体"/>
          <w:sz w:val="24"/>
        </w:rPr>
        <w:t>矿山地质环境保护与土地复垦方案编制指南</w:t>
      </w:r>
      <w:r>
        <w:rPr>
          <w:rFonts w:ascii="宋体" w:hAnsi="宋体"/>
          <w:sz w:val="24"/>
        </w:rPr>
        <w:t>》，项目预算由工程施工费、</w:t>
      </w:r>
      <w:r>
        <w:rPr>
          <w:rFonts w:hint="eastAsia" w:ascii="宋体" w:hAnsi="宋体"/>
          <w:sz w:val="24"/>
        </w:rPr>
        <w:t>设备购置费、</w:t>
      </w:r>
      <w:r>
        <w:rPr>
          <w:rFonts w:ascii="宋体" w:hAnsi="宋体"/>
          <w:sz w:val="24"/>
        </w:rPr>
        <w:t>其它费用</w:t>
      </w:r>
      <w:r>
        <w:rPr>
          <w:rFonts w:hint="eastAsia" w:ascii="宋体" w:hAnsi="宋体"/>
          <w:sz w:val="24"/>
        </w:rPr>
        <w:t>（前期工作费、工程监理费、竣工验收费、业主管理费）</w:t>
      </w:r>
      <w:r>
        <w:rPr>
          <w:rFonts w:ascii="宋体" w:hAnsi="宋体"/>
          <w:sz w:val="24"/>
        </w:rPr>
        <w:t>、监测及管护费</w:t>
      </w:r>
      <w:r>
        <w:rPr>
          <w:rFonts w:hint="eastAsia" w:ascii="宋体" w:hAnsi="宋体"/>
          <w:sz w:val="24"/>
        </w:rPr>
        <w:t>、预备费（基本预备费、风险金）等</w:t>
      </w:r>
      <w:r>
        <w:rPr>
          <w:rFonts w:ascii="宋体" w:hAnsi="宋体"/>
          <w:sz w:val="24"/>
        </w:rPr>
        <w:t>组成，具体内容如下：</w:t>
      </w:r>
    </w:p>
    <w:p>
      <w:pPr>
        <w:spacing w:line="360" w:lineRule="auto"/>
        <w:ind w:firstLine="480"/>
        <w:rPr>
          <w:rFonts w:ascii="宋体" w:hAnsi="宋体"/>
          <w:b/>
          <w:sz w:val="24"/>
        </w:rPr>
      </w:pPr>
      <w:r>
        <w:rPr>
          <w:rFonts w:ascii="宋体" w:hAnsi="宋体"/>
          <w:b/>
          <w:sz w:val="24"/>
        </w:rPr>
        <w:t>1</w:t>
      </w:r>
      <w:r>
        <w:rPr>
          <w:rFonts w:hint="eastAsia" w:ascii="宋体" w:hAnsi="宋体"/>
          <w:b/>
          <w:sz w:val="24"/>
        </w:rPr>
        <w:t>）</w:t>
      </w:r>
      <w:r>
        <w:rPr>
          <w:rFonts w:ascii="宋体" w:hAnsi="宋体"/>
          <w:b/>
          <w:sz w:val="24"/>
        </w:rPr>
        <w:t>直接费</w:t>
      </w:r>
    </w:p>
    <w:p>
      <w:pPr>
        <w:spacing w:line="360" w:lineRule="auto"/>
        <w:ind w:firstLine="480"/>
        <w:rPr>
          <w:rFonts w:hint="eastAsia" w:ascii="宋体" w:hAnsi="宋体"/>
          <w:sz w:val="24"/>
        </w:rPr>
      </w:pPr>
      <w:r>
        <w:rPr>
          <w:rFonts w:ascii="宋体" w:hAnsi="宋体"/>
          <w:sz w:val="24"/>
        </w:rPr>
        <w:t>指工程施工过程中直接消耗在工程项目上的活劳动和物化劳动。由直接工程费和措施费组成。</w:t>
      </w:r>
    </w:p>
    <w:p>
      <w:pPr>
        <w:spacing w:line="360" w:lineRule="auto"/>
        <w:ind w:firstLine="480"/>
        <w:rPr>
          <w:rFonts w:ascii="宋体" w:hAnsi="宋体"/>
          <w:sz w:val="24"/>
        </w:rPr>
      </w:pPr>
      <w:r>
        <w:rPr>
          <w:rFonts w:hint="eastAsia" w:ascii="宋体" w:hAnsi="宋体"/>
          <w:sz w:val="24"/>
        </w:rPr>
        <w:t>①</w:t>
      </w:r>
      <w:r>
        <w:rPr>
          <w:rFonts w:ascii="宋体" w:hAnsi="宋体"/>
          <w:sz w:val="24"/>
        </w:rPr>
        <w:t>直接工程费</w:t>
      </w:r>
    </w:p>
    <w:p>
      <w:pPr>
        <w:spacing w:line="360" w:lineRule="auto"/>
        <w:ind w:firstLine="480"/>
        <w:rPr>
          <w:rFonts w:ascii="宋体" w:hAnsi="宋体"/>
          <w:sz w:val="24"/>
        </w:rPr>
      </w:pPr>
      <w:r>
        <w:rPr>
          <w:rFonts w:ascii="宋体" w:hAnsi="宋体"/>
          <w:sz w:val="24"/>
        </w:rPr>
        <w:t>直接工程费由人工费、材料费、施工机械使用费组成。</w:t>
      </w:r>
    </w:p>
    <w:p>
      <w:pPr>
        <w:spacing w:line="360" w:lineRule="auto"/>
        <w:ind w:firstLine="480"/>
        <w:rPr>
          <w:rFonts w:ascii="宋体" w:hAnsi="宋体"/>
          <w:sz w:val="24"/>
        </w:rPr>
      </w:pPr>
      <w:r>
        <w:rPr>
          <w:rFonts w:ascii="宋体" w:hAnsi="宋体"/>
          <w:sz w:val="24"/>
        </w:rPr>
        <w:t>人工费中人工单价按《</w:t>
      </w:r>
      <w:r>
        <w:rPr>
          <w:rFonts w:hint="eastAsia" w:ascii="宋体" w:hAnsi="宋体"/>
          <w:sz w:val="24"/>
        </w:rPr>
        <w:t>内蒙古自治区矿山地质环境治理工程预算定额标准（试行）</w:t>
      </w:r>
      <w:r>
        <w:rPr>
          <w:rFonts w:ascii="宋体" w:hAnsi="宋体"/>
          <w:sz w:val="24"/>
        </w:rPr>
        <w:t>》中规定计取。</w:t>
      </w:r>
    </w:p>
    <w:p>
      <w:pPr>
        <w:spacing w:line="360" w:lineRule="auto"/>
        <w:ind w:firstLine="480" w:firstLineChars="200"/>
        <w:rPr>
          <w:rFonts w:ascii="宋体" w:hAnsi="宋体"/>
          <w:sz w:val="24"/>
        </w:rPr>
      </w:pPr>
      <w:r>
        <w:rPr>
          <w:rFonts w:hint="eastAsia" w:ascii="宋体" w:hAnsi="宋体"/>
          <w:sz w:val="24"/>
        </w:rPr>
        <w:t>②</w:t>
      </w:r>
      <w:r>
        <w:rPr>
          <w:rFonts w:ascii="宋体" w:hAnsi="宋体"/>
          <w:sz w:val="24"/>
        </w:rPr>
        <w:t>措施费</w:t>
      </w:r>
    </w:p>
    <w:p>
      <w:pPr>
        <w:spacing w:line="360" w:lineRule="auto"/>
        <w:ind w:firstLine="480"/>
        <w:rPr>
          <w:rFonts w:hint="eastAsia"/>
          <w:sz w:val="24"/>
        </w:rPr>
      </w:pPr>
      <w:r>
        <w:rPr>
          <w:rFonts w:ascii="宋体" w:hAnsi="宋体"/>
          <w:sz w:val="24"/>
        </w:rPr>
        <w:t>包括临时设施费、冬雨季施工增加费、夜间施工增加费、施工辅助费和安全施工措施费。</w:t>
      </w:r>
      <w:r>
        <w:rPr>
          <w:sz w:val="24"/>
        </w:rPr>
        <w:t>措施费费率见下表7</w:t>
      </w:r>
      <w:r>
        <w:rPr>
          <w:rFonts w:hint="eastAsia"/>
          <w:sz w:val="24"/>
        </w:rPr>
        <w:t>-1</w:t>
      </w:r>
    </w:p>
    <w:p>
      <w:pPr>
        <w:jc w:val="center"/>
        <w:rPr>
          <w:rFonts w:hint="eastAsia" w:ascii="宋体" w:hAnsi="宋体"/>
          <w:sz w:val="24"/>
        </w:rPr>
      </w:pPr>
    </w:p>
    <w:p>
      <w:pPr>
        <w:jc w:val="center"/>
        <w:rPr>
          <w:rFonts w:ascii="宋体" w:hAnsi="宋体"/>
          <w:b/>
          <w:szCs w:val="21"/>
        </w:rPr>
      </w:pPr>
      <w:r>
        <w:rPr>
          <w:rFonts w:ascii="宋体" w:hAnsi="宋体"/>
          <w:b/>
          <w:szCs w:val="21"/>
        </w:rPr>
        <w:t>表7</w:t>
      </w:r>
      <w:r>
        <w:rPr>
          <w:rFonts w:hint="eastAsia" w:ascii="宋体" w:hAnsi="宋体"/>
          <w:b/>
          <w:szCs w:val="21"/>
        </w:rPr>
        <w:t>-1</w:t>
      </w:r>
      <w:r>
        <w:rPr>
          <w:rFonts w:ascii="宋体" w:hAnsi="宋体"/>
          <w:b/>
          <w:szCs w:val="21"/>
        </w:rPr>
        <w:t xml:space="preserve">  措施费费率表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290"/>
        <w:gridCol w:w="1155"/>
        <w:gridCol w:w="894"/>
        <w:gridCol w:w="1056"/>
        <w:gridCol w:w="1035"/>
        <w:gridCol w:w="852"/>
        <w:gridCol w:w="754"/>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exact"/>
          <w:tblHeader/>
          <w:jc w:val="center"/>
        </w:trPr>
        <w:tc>
          <w:tcPr>
            <w:tcW w:w="612" w:type="dxa"/>
            <w:vMerge w:val="restart"/>
            <w:noWrap w:val="0"/>
            <w:vAlign w:val="center"/>
          </w:tcPr>
          <w:p>
            <w:pPr>
              <w:spacing w:line="240" w:lineRule="exact"/>
              <w:jc w:val="center"/>
              <w:rPr>
                <w:szCs w:val="21"/>
              </w:rPr>
            </w:pPr>
            <w:r>
              <w:rPr>
                <w:szCs w:val="21"/>
              </w:rPr>
              <w:t>编号</w:t>
            </w:r>
          </w:p>
        </w:tc>
        <w:tc>
          <w:tcPr>
            <w:tcW w:w="1290" w:type="dxa"/>
            <w:vMerge w:val="restart"/>
            <w:noWrap w:val="0"/>
            <w:vAlign w:val="center"/>
          </w:tcPr>
          <w:p>
            <w:pPr>
              <w:spacing w:line="240" w:lineRule="exact"/>
              <w:jc w:val="center"/>
              <w:rPr>
                <w:szCs w:val="21"/>
              </w:rPr>
            </w:pPr>
            <w:r>
              <w:rPr>
                <w:szCs w:val="21"/>
              </w:rPr>
              <w:t>工程类别</w:t>
            </w:r>
          </w:p>
        </w:tc>
        <w:tc>
          <w:tcPr>
            <w:tcW w:w="1155" w:type="dxa"/>
            <w:vMerge w:val="restart"/>
            <w:noWrap w:val="0"/>
            <w:vAlign w:val="center"/>
          </w:tcPr>
          <w:p>
            <w:pPr>
              <w:spacing w:line="240" w:lineRule="exact"/>
              <w:jc w:val="center"/>
              <w:rPr>
                <w:szCs w:val="21"/>
              </w:rPr>
            </w:pPr>
            <w:r>
              <w:rPr>
                <w:szCs w:val="21"/>
              </w:rPr>
              <w:t>计费基础</w:t>
            </w:r>
          </w:p>
        </w:tc>
        <w:tc>
          <w:tcPr>
            <w:tcW w:w="894" w:type="dxa"/>
            <w:vMerge w:val="restart"/>
            <w:noWrap w:val="0"/>
            <w:vAlign w:val="center"/>
          </w:tcPr>
          <w:p>
            <w:pPr>
              <w:spacing w:line="240" w:lineRule="exact"/>
              <w:jc w:val="center"/>
              <w:rPr>
                <w:szCs w:val="21"/>
              </w:rPr>
            </w:pPr>
            <w:r>
              <w:rPr>
                <w:szCs w:val="21"/>
              </w:rPr>
              <w:t>临时设施费率(%)</w:t>
            </w:r>
          </w:p>
        </w:tc>
        <w:tc>
          <w:tcPr>
            <w:tcW w:w="1056" w:type="dxa"/>
            <w:vMerge w:val="restart"/>
            <w:noWrap w:val="0"/>
            <w:vAlign w:val="center"/>
          </w:tcPr>
          <w:p>
            <w:pPr>
              <w:spacing w:line="240" w:lineRule="exact"/>
              <w:jc w:val="center"/>
              <w:rPr>
                <w:szCs w:val="21"/>
              </w:rPr>
            </w:pPr>
            <w:r>
              <w:rPr>
                <w:szCs w:val="21"/>
              </w:rPr>
              <w:t>冬雨季施工增加费率(%)</w:t>
            </w:r>
          </w:p>
        </w:tc>
        <w:tc>
          <w:tcPr>
            <w:tcW w:w="1035" w:type="dxa"/>
            <w:vMerge w:val="restart"/>
            <w:noWrap w:val="0"/>
            <w:vAlign w:val="center"/>
          </w:tcPr>
          <w:p>
            <w:pPr>
              <w:spacing w:line="240" w:lineRule="exact"/>
              <w:jc w:val="center"/>
              <w:rPr>
                <w:szCs w:val="21"/>
              </w:rPr>
            </w:pPr>
            <w:r>
              <w:rPr>
                <w:szCs w:val="21"/>
              </w:rPr>
              <w:t>夜间施工增加费(%)</w:t>
            </w:r>
          </w:p>
        </w:tc>
        <w:tc>
          <w:tcPr>
            <w:tcW w:w="852" w:type="dxa"/>
            <w:vMerge w:val="restart"/>
            <w:noWrap w:val="0"/>
            <w:vAlign w:val="center"/>
          </w:tcPr>
          <w:p>
            <w:pPr>
              <w:spacing w:line="240" w:lineRule="exact"/>
              <w:jc w:val="center"/>
              <w:rPr>
                <w:szCs w:val="21"/>
              </w:rPr>
            </w:pPr>
            <w:r>
              <w:rPr>
                <w:szCs w:val="21"/>
              </w:rPr>
              <w:t>施工辅助费率(%)</w:t>
            </w:r>
          </w:p>
        </w:tc>
        <w:tc>
          <w:tcPr>
            <w:tcW w:w="754" w:type="dxa"/>
            <w:vMerge w:val="restart"/>
            <w:noWrap w:val="0"/>
            <w:vAlign w:val="center"/>
          </w:tcPr>
          <w:p>
            <w:pPr>
              <w:spacing w:line="240" w:lineRule="exact"/>
              <w:jc w:val="center"/>
              <w:rPr>
                <w:szCs w:val="21"/>
              </w:rPr>
            </w:pPr>
            <w:r>
              <w:rPr>
                <w:szCs w:val="21"/>
              </w:rPr>
              <w:t>安全</w:t>
            </w:r>
          </w:p>
          <w:p>
            <w:pPr>
              <w:spacing w:line="240" w:lineRule="exact"/>
              <w:jc w:val="center"/>
              <w:rPr>
                <w:szCs w:val="21"/>
              </w:rPr>
            </w:pPr>
            <w:r>
              <w:rPr>
                <w:szCs w:val="21"/>
              </w:rPr>
              <w:t>措施费(%)</w:t>
            </w:r>
          </w:p>
        </w:tc>
        <w:tc>
          <w:tcPr>
            <w:tcW w:w="880" w:type="dxa"/>
            <w:vMerge w:val="restart"/>
            <w:noWrap w:val="0"/>
            <w:vAlign w:val="center"/>
          </w:tcPr>
          <w:p>
            <w:pPr>
              <w:spacing w:line="240" w:lineRule="exact"/>
              <w:jc w:val="center"/>
              <w:rPr>
                <w:szCs w:val="21"/>
              </w:rPr>
            </w:pPr>
            <w:r>
              <w:rPr>
                <w:szCs w:val="21"/>
              </w:rPr>
              <w:t>费率</w:t>
            </w:r>
          </w:p>
          <w:p>
            <w:pPr>
              <w:spacing w:line="240" w:lineRule="exact"/>
              <w:jc w:val="center"/>
              <w:rPr>
                <w:szCs w:val="21"/>
              </w:rPr>
            </w:pPr>
            <w:r>
              <w:rPr>
                <w:szCs w:val="21"/>
              </w:rPr>
              <w:t>合计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exact"/>
          <w:jc w:val="center"/>
        </w:trPr>
        <w:tc>
          <w:tcPr>
            <w:tcW w:w="612" w:type="dxa"/>
            <w:vMerge w:val="continue"/>
            <w:noWrap w:val="0"/>
            <w:vAlign w:val="center"/>
          </w:tcPr>
          <w:p>
            <w:pPr>
              <w:jc w:val="center"/>
              <w:rPr>
                <w:szCs w:val="21"/>
              </w:rPr>
            </w:pPr>
          </w:p>
        </w:tc>
        <w:tc>
          <w:tcPr>
            <w:tcW w:w="1290" w:type="dxa"/>
            <w:vMerge w:val="continue"/>
            <w:noWrap w:val="0"/>
            <w:vAlign w:val="center"/>
          </w:tcPr>
          <w:p>
            <w:pPr>
              <w:jc w:val="center"/>
              <w:rPr>
                <w:szCs w:val="21"/>
              </w:rPr>
            </w:pPr>
          </w:p>
        </w:tc>
        <w:tc>
          <w:tcPr>
            <w:tcW w:w="1155" w:type="dxa"/>
            <w:vMerge w:val="continue"/>
            <w:noWrap w:val="0"/>
            <w:vAlign w:val="center"/>
          </w:tcPr>
          <w:p>
            <w:pPr>
              <w:jc w:val="center"/>
              <w:rPr>
                <w:szCs w:val="21"/>
              </w:rPr>
            </w:pPr>
          </w:p>
        </w:tc>
        <w:tc>
          <w:tcPr>
            <w:tcW w:w="894" w:type="dxa"/>
            <w:vMerge w:val="continue"/>
            <w:noWrap w:val="0"/>
            <w:vAlign w:val="center"/>
          </w:tcPr>
          <w:p>
            <w:pPr>
              <w:jc w:val="center"/>
              <w:rPr>
                <w:szCs w:val="21"/>
              </w:rPr>
            </w:pPr>
          </w:p>
        </w:tc>
        <w:tc>
          <w:tcPr>
            <w:tcW w:w="1056" w:type="dxa"/>
            <w:vMerge w:val="continue"/>
            <w:noWrap w:val="0"/>
            <w:vAlign w:val="center"/>
          </w:tcPr>
          <w:p>
            <w:pPr>
              <w:jc w:val="center"/>
              <w:rPr>
                <w:szCs w:val="21"/>
              </w:rPr>
            </w:pPr>
          </w:p>
        </w:tc>
        <w:tc>
          <w:tcPr>
            <w:tcW w:w="1035" w:type="dxa"/>
            <w:vMerge w:val="continue"/>
            <w:noWrap w:val="0"/>
            <w:vAlign w:val="center"/>
          </w:tcPr>
          <w:p>
            <w:pPr>
              <w:jc w:val="center"/>
              <w:rPr>
                <w:szCs w:val="21"/>
              </w:rPr>
            </w:pPr>
          </w:p>
        </w:tc>
        <w:tc>
          <w:tcPr>
            <w:tcW w:w="852" w:type="dxa"/>
            <w:vMerge w:val="continue"/>
            <w:noWrap w:val="0"/>
            <w:vAlign w:val="center"/>
          </w:tcPr>
          <w:p>
            <w:pPr>
              <w:jc w:val="center"/>
              <w:rPr>
                <w:szCs w:val="21"/>
              </w:rPr>
            </w:pPr>
          </w:p>
        </w:tc>
        <w:tc>
          <w:tcPr>
            <w:tcW w:w="754" w:type="dxa"/>
            <w:vMerge w:val="continue"/>
            <w:noWrap w:val="0"/>
            <w:vAlign w:val="center"/>
          </w:tcPr>
          <w:p>
            <w:pPr>
              <w:jc w:val="center"/>
              <w:rPr>
                <w:szCs w:val="21"/>
              </w:rPr>
            </w:pPr>
          </w:p>
        </w:tc>
        <w:tc>
          <w:tcPr>
            <w:tcW w:w="880"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exact"/>
          <w:jc w:val="center"/>
        </w:trPr>
        <w:tc>
          <w:tcPr>
            <w:tcW w:w="612" w:type="dxa"/>
            <w:noWrap w:val="0"/>
            <w:vAlign w:val="center"/>
          </w:tcPr>
          <w:p>
            <w:pPr>
              <w:jc w:val="center"/>
              <w:rPr>
                <w:szCs w:val="21"/>
              </w:rPr>
            </w:pPr>
            <w:r>
              <w:rPr>
                <w:szCs w:val="21"/>
              </w:rPr>
              <w:t>1</w:t>
            </w:r>
          </w:p>
        </w:tc>
        <w:tc>
          <w:tcPr>
            <w:tcW w:w="1290" w:type="dxa"/>
            <w:noWrap w:val="0"/>
            <w:vAlign w:val="center"/>
          </w:tcPr>
          <w:p>
            <w:pPr>
              <w:jc w:val="center"/>
              <w:rPr>
                <w:szCs w:val="21"/>
              </w:rPr>
            </w:pPr>
            <w:r>
              <w:rPr>
                <w:szCs w:val="21"/>
              </w:rPr>
              <w:t>土方工程</w:t>
            </w:r>
          </w:p>
        </w:tc>
        <w:tc>
          <w:tcPr>
            <w:tcW w:w="1155" w:type="dxa"/>
            <w:noWrap w:val="0"/>
            <w:vAlign w:val="center"/>
          </w:tcPr>
          <w:p>
            <w:pPr>
              <w:jc w:val="center"/>
              <w:rPr>
                <w:szCs w:val="21"/>
              </w:rPr>
            </w:pPr>
            <w:r>
              <w:rPr>
                <w:szCs w:val="21"/>
              </w:rPr>
              <w:t>直接工程费</w:t>
            </w:r>
          </w:p>
        </w:tc>
        <w:tc>
          <w:tcPr>
            <w:tcW w:w="894" w:type="dxa"/>
            <w:noWrap w:val="0"/>
            <w:vAlign w:val="bottom"/>
          </w:tcPr>
          <w:p>
            <w:pPr>
              <w:jc w:val="center"/>
              <w:rPr>
                <w:szCs w:val="21"/>
              </w:rPr>
            </w:pPr>
            <w:r>
              <w:rPr>
                <w:szCs w:val="21"/>
              </w:rPr>
              <w:t>2</w:t>
            </w:r>
          </w:p>
        </w:tc>
        <w:tc>
          <w:tcPr>
            <w:tcW w:w="1056" w:type="dxa"/>
            <w:noWrap w:val="0"/>
            <w:vAlign w:val="bottom"/>
          </w:tcPr>
          <w:p>
            <w:pPr>
              <w:jc w:val="center"/>
              <w:rPr>
                <w:szCs w:val="21"/>
              </w:rPr>
            </w:pPr>
            <w:r>
              <w:rPr>
                <w:szCs w:val="21"/>
              </w:rPr>
              <w:t>0.7</w:t>
            </w:r>
          </w:p>
        </w:tc>
        <w:tc>
          <w:tcPr>
            <w:tcW w:w="1035" w:type="dxa"/>
            <w:noWrap w:val="0"/>
            <w:vAlign w:val="bottom"/>
          </w:tcPr>
          <w:p>
            <w:pPr>
              <w:jc w:val="center"/>
              <w:rPr>
                <w:szCs w:val="21"/>
              </w:rPr>
            </w:pPr>
          </w:p>
        </w:tc>
        <w:tc>
          <w:tcPr>
            <w:tcW w:w="852" w:type="dxa"/>
            <w:noWrap w:val="0"/>
            <w:vAlign w:val="bottom"/>
          </w:tcPr>
          <w:p>
            <w:pPr>
              <w:jc w:val="center"/>
              <w:rPr>
                <w:szCs w:val="21"/>
              </w:rPr>
            </w:pPr>
            <w:r>
              <w:rPr>
                <w:szCs w:val="21"/>
              </w:rPr>
              <w:t>0.7</w:t>
            </w:r>
          </w:p>
        </w:tc>
        <w:tc>
          <w:tcPr>
            <w:tcW w:w="754" w:type="dxa"/>
            <w:noWrap w:val="0"/>
            <w:vAlign w:val="bottom"/>
          </w:tcPr>
          <w:p>
            <w:pPr>
              <w:jc w:val="center"/>
              <w:rPr>
                <w:szCs w:val="21"/>
              </w:rPr>
            </w:pPr>
            <w:r>
              <w:rPr>
                <w:szCs w:val="21"/>
              </w:rPr>
              <w:t>0.2</w:t>
            </w:r>
          </w:p>
        </w:tc>
        <w:tc>
          <w:tcPr>
            <w:tcW w:w="880" w:type="dxa"/>
            <w:noWrap w:val="0"/>
            <w:vAlign w:val="bottom"/>
          </w:tcPr>
          <w:p>
            <w:pPr>
              <w:jc w:val="center"/>
              <w:rPr>
                <w:szCs w:val="21"/>
              </w:rPr>
            </w:pPr>
            <w:r>
              <w:rPr>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3" w:hRule="exact"/>
          <w:jc w:val="center"/>
        </w:trPr>
        <w:tc>
          <w:tcPr>
            <w:tcW w:w="612" w:type="dxa"/>
            <w:noWrap w:val="0"/>
            <w:vAlign w:val="center"/>
          </w:tcPr>
          <w:p>
            <w:pPr>
              <w:jc w:val="center"/>
              <w:rPr>
                <w:szCs w:val="21"/>
              </w:rPr>
            </w:pPr>
            <w:r>
              <w:rPr>
                <w:szCs w:val="21"/>
              </w:rPr>
              <w:t>2</w:t>
            </w:r>
          </w:p>
        </w:tc>
        <w:tc>
          <w:tcPr>
            <w:tcW w:w="1290" w:type="dxa"/>
            <w:noWrap w:val="0"/>
            <w:vAlign w:val="center"/>
          </w:tcPr>
          <w:p>
            <w:pPr>
              <w:jc w:val="center"/>
              <w:rPr>
                <w:szCs w:val="21"/>
              </w:rPr>
            </w:pPr>
            <w:r>
              <w:rPr>
                <w:szCs w:val="21"/>
              </w:rPr>
              <w:t>石方工程</w:t>
            </w:r>
          </w:p>
        </w:tc>
        <w:tc>
          <w:tcPr>
            <w:tcW w:w="1155" w:type="dxa"/>
            <w:noWrap w:val="0"/>
            <w:vAlign w:val="center"/>
          </w:tcPr>
          <w:p>
            <w:pPr>
              <w:jc w:val="center"/>
              <w:rPr>
                <w:szCs w:val="21"/>
              </w:rPr>
            </w:pPr>
            <w:r>
              <w:rPr>
                <w:szCs w:val="21"/>
              </w:rPr>
              <w:t>直接工程费</w:t>
            </w:r>
          </w:p>
        </w:tc>
        <w:tc>
          <w:tcPr>
            <w:tcW w:w="894" w:type="dxa"/>
            <w:noWrap w:val="0"/>
            <w:vAlign w:val="bottom"/>
          </w:tcPr>
          <w:p>
            <w:pPr>
              <w:jc w:val="center"/>
              <w:rPr>
                <w:szCs w:val="21"/>
              </w:rPr>
            </w:pPr>
            <w:r>
              <w:rPr>
                <w:szCs w:val="21"/>
              </w:rPr>
              <w:t>2</w:t>
            </w:r>
          </w:p>
        </w:tc>
        <w:tc>
          <w:tcPr>
            <w:tcW w:w="1056" w:type="dxa"/>
            <w:noWrap w:val="0"/>
            <w:vAlign w:val="bottom"/>
          </w:tcPr>
          <w:p>
            <w:pPr>
              <w:jc w:val="center"/>
              <w:rPr>
                <w:szCs w:val="21"/>
              </w:rPr>
            </w:pPr>
            <w:r>
              <w:rPr>
                <w:szCs w:val="21"/>
              </w:rPr>
              <w:t>0.7</w:t>
            </w:r>
          </w:p>
        </w:tc>
        <w:tc>
          <w:tcPr>
            <w:tcW w:w="1035" w:type="dxa"/>
            <w:noWrap w:val="0"/>
            <w:vAlign w:val="bottom"/>
          </w:tcPr>
          <w:p>
            <w:pPr>
              <w:jc w:val="center"/>
              <w:rPr>
                <w:szCs w:val="21"/>
              </w:rPr>
            </w:pPr>
          </w:p>
        </w:tc>
        <w:tc>
          <w:tcPr>
            <w:tcW w:w="852" w:type="dxa"/>
            <w:noWrap w:val="0"/>
            <w:vAlign w:val="bottom"/>
          </w:tcPr>
          <w:p>
            <w:pPr>
              <w:jc w:val="center"/>
              <w:rPr>
                <w:szCs w:val="21"/>
              </w:rPr>
            </w:pPr>
            <w:r>
              <w:rPr>
                <w:szCs w:val="21"/>
              </w:rPr>
              <w:t>0.7</w:t>
            </w:r>
          </w:p>
        </w:tc>
        <w:tc>
          <w:tcPr>
            <w:tcW w:w="754" w:type="dxa"/>
            <w:noWrap w:val="0"/>
            <w:vAlign w:val="bottom"/>
          </w:tcPr>
          <w:p>
            <w:pPr>
              <w:jc w:val="center"/>
              <w:rPr>
                <w:szCs w:val="21"/>
              </w:rPr>
            </w:pPr>
            <w:r>
              <w:rPr>
                <w:szCs w:val="21"/>
              </w:rPr>
              <w:t>0.2</w:t>
            </w:r>
          </w:p>
        </w:tc>
        <w:tc>
          <w:tcPr>
            <w:tcW w:w="880" w:type="dxa"/>
            <w:noWrap w:val="0"/>
            <w:vAlign w:val="bottom"/>
          </w:tcPr>
          <w:p>
            <w:pPr>
              <w:jc w:val="center"/>
              <w:rPr>
                <w:szCs w:val="21"/>
              </w:rPr>
            </w:pPr>
            <w:r>
              <w:rPr>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91" w:hRule="exact"/>
          <w:jc w:val="center"/>
        </w:trPr>
        <w:tc>
          <w:tcPr>
            <w:tcW w:w="612" w:type="dxa"/>
            <w:noWrap w:val="0"/>
            <w:vAlign w:val="center"/>
          </w:tcPr>
          <w:p>
            <w:pPr>
              <w:jc w:val="center"/>
              <w:rPr>
                <w:szCs w:val="21"/>
              </w:rPr>
            </w:pPr>
            <w:r>
              <w:rPr>
                <w:szCs w:val="21"/>
              </w:rPr>
              <w:t>3</w:t>
            </w:r>
          </w:p>
        </w:tc>
        <w:tc>
          <w:tcPr>
            <w:tcW w:w="1290" w:type="dxa"/>
            <w:noWrap w:val="0"/>
            <w:vAlign w:val="center"/>
          </w:tcPr>
          <w:p>
            <w:pPr>
              <w:jc w:val="center"/>
              <w:rPr>
                <w:szCs w:val="21"/>
              </w:rPr>
            </w:pPr>
            <w:r>
              <w:rPr>
                <w:szCs w:val="21"/>
              </w:rPr>
              <w:t>砌体工程</w:t>
            </w:r>
          </w:p>
        </w:tc>
        <w:tc>
          <w:tcPr>
            <w:tcW w:w="1155" w:type="dxa"/>
            <w:noWrap w:val="0"/>
            <w:vAlign w:val="center"/>
          </w:tcPr>
          <w:p>
            <w:pPr>
              <w:jc w:val="center"/>
              <w:rPr>
                <w:szCs w:val="21"/>
              </w:rPr>
            </w:pPr>
            <w:r>
              <w:rPr>
                <w:szCs w:val="21"/>
              </w:rPr>
              <w:t>直接工程费</w:t>
            </w:r>
          </w:p>
        </w:tc>
        <w:tc>
          <w:tcPr>
            <w:tcW w:w="894" w:type="dxa"/>
            <w:noWrap w:val="0"/>
            <w:vAlign w:val="bottom"/>
          </w:tcPr>
          <w:p>
            <w:pPr>
              <w:jc w:val="center"/>
              <w:rPr>
                <w:szCs w:val="21"/>
              </w:rPr>
            </w:pPr>
            <w:r>
              <w:rPr>
                <w:szCs w:val="21"/>
              </w:rPr>
              <w:t>2</w:t>
            </w:r>
          </w:p>
        </w:tc>
        <w:tc>
          <w:tcPr>
            <w:tcW w:w="1056" w:type="dxa"/>
            <w:noWrap w:val="0"/>
            <w:vAlign w:val="bottom"/>
          </w:tcPr>
          <w:p>
            <w:pPr>
              <w:jc w:val="center"/>
              <w:rPr>
                <w:szCs w:val="21"/>
              </w:rPr>
            </w:pPr>
            <w:r>
              <w:rPr>
                <w:szCs w:val="21"/>
              </w:rPr>
              <w:t>0.7</w:t>
            </w:r>
          </w:p>
        </w:tc>
        <w:tc>
          <w:tcPr>
            <w:tcW w:w="1035" w:type="dxa"/>
            <w:noWrap w:val="0"/>
            <w:vAlign w:val="bottom"/>
          </w:tcPr>
          <w:p>
            <w:pPr>
              <w:jc w:val="center"/>
              <w:rPr>
                <w:szCs w:val="21"/>
              </w:rPr>
            </w:pPr>
          </w:p>
        </w:tc>
        <w:tc>
          <w:tcPr>
            <w:tcW w:w="852" w:type="dxa"/>
            <w:noWrap w:val="0"/>
            <w:vAlign w:val="bottom"/>
          </w:tcPr>
          <w:p>
            <w:pPr>
              <w:jc w:val="center"/>
              <w:rPr>
                <w:szCs w:val="21"/>
              </w:rPr>
            </w:pPr>
            <w:r>
              <w:rPr>
                <w:szCs w:val="21"/>
              </w:rPr>
              <w:t>0.7</w:t>
            </w:r>
          </w:p>
        </w:tc>
        <w:tc>
          <w:tcPr>
            <w:tcW w:w="754" w:type="dxa"/>
            <w:noWrap w:val="0"/>
            <w:vAlign w:val="bottom"/>
          </w:tcPr>
          <w:p>
            <w:pPr>
              <w:jc w:val="center"/>
              <w:rPr>
                <w:szCs w:val="21"/>
              </w:rPr>
            </w:pPr>
            <w:r>
              <w:rPr>
                <w:szCs w:val="21"/>
              </w:rPr>
              <w:t>0.2</w:t>
            </w:r>
          </w:p>
        </w:tc>
        <w:tc>
          <w:tcPr>
            <w:tcW w:w="880" w:type="dxa"/>
            <w:noWrap w:val="0"/>
            <w:vAlign w:val="bottom"/>
          </w:tcPr>
          <w:p>
            <w:pPr>
              <w:jc w:val="center"/>
              <w:rPr>
                <w:szCs w:val="21"/>
              </w:rPr>
            </w:pPr>
            <w:r>
              <w:rPr>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95" w:hRule="exact"/>
          <w:jc w:val="center"/>
        </w:trPr>
        <w:tc>
          <w:tcPr>
            <w:tcW w:w="612" w:type="dxa"/>
            <w:noWrap w:val="0"/>
            <w:vAlign w:val="center"/>
          </w:tcPr>
          <w:p>
            <w:pPr>
              <w:jc w:val="center"/>
              <w:rPr>
                <w:szCs w:val="21"/>
              </w:rPr>
            </w:pPr>
            <w:r>
              <w:rPr>
                <w:szCs w:val="21"/>
              </w:rPr>
              <w:t>4</w:t>
            </w:r>
          </w:p>
        </w:tc>
        <w:tc>
          <w:tcPr>
            <w:tcW w:w="1290" w:type="dxa"/>
            <w:noWrap w:val="0"/>
            <w:vAlign w:val="center"/>
          </w:tcPr>
          <w:p>
            <w:pPr>
              <w:jc w:val="center"/>
              <w:rPr>
                <w:szCs w:val="21"/>
              </w:rPr>
            </w:pPr>
            <w:r>
              <w:rPr>
                <w:szCs w:val="21"/>
              </w:rPr>
              <w:t>混凝土工程</w:t>
            </w:r>
          </w:p>
        </w:tc>
        <w:tc>
          <w:tcPr>
            <w:tcW w:w="1155" w:type="dxa"/>
            <w:noWrap w:val="0"/>
            <w:vAlign w:val="center"/>
          </w:tcPr>
          <w:p>
            <w:pPr>
              <w:jc w:val="center"/>
              <w:rPr>
                <w:szCs w:val="21"/>
              </w:rPr>
            </w:pPr>
            <w:r>
              <w:rPr>
                <w:szCs w:val="21"/>
              </w:rPr>
              <w:t>直接工程费</w:t>
            </w:r>
          </w:p>
        </w:tc>
        <w:tc>
          <w:tcPr>
            <w:tcW w:w="894" w:type="dxa"/>
            <w:noWrap w:val="0"/>
            <w:vAlign w:val="bottom"/>
          </w:tcPr>
          <w:p>
            <w:pPr>
              <w:jc w:val="center"/>
              <w:rPr>
                <w:szCs w:val="21"/>
              </w:rPr>
            </w:pPr>
            <w:r>
              <w:rPr>
                <w:szCs w:val="21"/>
              </w:rPr>
              <w:t>3</w:t>
            </w:r>
          </w:p>
        </w:tc>
        <w:tc>
          <w:tcPr>
            <w:tcW w:w="1056" w:type="dxa"/>
            <w:noWrap w:val="0"/>
            <w:vAlign w:val="bottom"/>
          </w:tcPr>
          <w:p>
            <w:pPr>
              <w:jc w:val="center"/>
              <w:rPr>
                <w:szCs w:val="21"/>
              </w:rPr>
            </w:pPr>
            <w:r>
              <w:rPr>
                <w:szCs w:val="21"/>
              </w:rPr>
              <w:t>0.7</w:t>
            </w:r>
          </w:p>
        </w:tc>
        <w:tc>
          <w:tcPr>
            <w:tcW w:w="1035" w:type="dxa"/>
            <w:noWrap w:val="0"/>
            <w:vAlign w:val="bottom"/>
          </w:tcPr>
          <w:p>
            <w:pPr>
              <w:jc w:val="center"/>
              <w:rPr>
                <w:szCs w:val="21"/>
              </w:rPr>
            </w:pPr>
            <w:r>
              <w:rPr>
                <w:szCs w:val="21"/>
              </w:rPr>
              <w:t>0.2</w:t>
            </w:r>
          </w:p>
        </w:tc>
        <w:tc>
          <w:tcPr>
            <w:tcW w:w="852" w:type="dxa"/>
            <w:noWrap w:val="0"/>
            <w:vAlign w:val="bottom"/>
          </w:tcPr>
          <w:p>
            <w:pPr>
              <w:jc w:val="center"/>
              <w:rPr>
                <w:szCs w:val="21"/>
              </w:rPr>
            </w:pPr>
            <w:r>
              <w:rPr>
                <w:szCs w:val="21"/>
              </w:rPr>
              <w:t>0.7</w:t>
            </w:r>
          </w:p>
        </w:tc>
        <w:tc>
          <w:tcPr>
            <w:tcW w:w="754" w:type="dxa"/>
            <w:noWrap w:val="0"/>
            <w:vAlign w:val="bottom"/>
          </w:tcPr>
          <w:p>
            <w:pPr>
              <w:jc w:val="center"/>
              <w:rPr>
                <w:szCs w:val="21"/>
              </w:rPr>
            </w:pPr>
            <w:r>
              <w:rPr>
                <w:szCs w:val="21"/>
              </w:rPr>
              <w:t>0.2</w:t>
            </w:r>
          </w:p>
        </w:tc>
        <w:tc>
          <w:tcPr>
            <w:tcW w:w="880" w:type="dxa"/>
            <w:noWrap w:val="0"/>
            <w:vAlign w:val="bottom"/>
          </w:tcPr>
          <w:p>
            <w:pPr>
              <w:jc w:val="center"/>
              <w:rPr>
                <w:szCs w:val="21"/>
              </w:rPr>
            </w:pPr>
            <w:r>
              <w:rPr>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1" w:hRule="exact"/>
          <w:jc w:val="center"/>
        </w:trPr>
        <w:tc>
          <w:tcPr>
            <w:tcW w:w="612" w:type="dxa"/>
            <w:noWrap w:val="0"/>
            <w:vAlign w:val="center"/>
          </w:tcPr>
          <w:p>
            <w:pPr>
              <w:jc w:val="center"/>
              <w:rPr>
                <w:szCs w:val="21"/>
              </w:rPr>
            </w:pPr>
            <w:r>
              <w:rPr>
                <w:szCs w:val="21"/>
              </w:rPr>
              <w:t>5</w:t>
            </w:r>
          </w:p>
        </w:tc>
        <w:tc>
          <w:tcPr>
            <w:tcW w:w="1290" w:type="dxa"/>
            <w:noWrap w:val="0"/>
            <w:vAlign w:val="center"/>
          </w:tcPr>
          <w:p>
            <w:pPr>
              <w:jc w:val="center"/>
              <w:rPr>
                <w:szCs w:val="21"/>
              </w:rPr>
            </w:pPr>
            <w:r>
              <w:rPr>
                <w:szCs w:val="21"/>
              </w:rPr>
              <w:t>植被工程</w:t>
            </w:r>
          </w:p>
        </w:tc>
        <w:tc>
          <w:tcPr>
            <w:tcW w:w="1155" w:type="dxa"/>
            <w:noWrap w:val="0"/>
            <w:vAlign w:val="center"/>
          </w:tcPr>
          <w:p>
            <w:pPr>
              <w:jc w:val="center"/>
              <w:rPr>
                <w:szCs w:val="21"/>
              </w:rPr>
            </w:pPr>
            <w:r>
              <w:rPr>
                <w:szCs w:val="21"/>
              </w:rPr>
              <w:t>直接工程费</w:t>
            </w:r>
          </w:p>
        </w:tc>
        <w:tc>
          <w:tcPr>
            <w:tcW w:w="894" w:type="dxa"/>
            <w:noWrap w:val="0"/>
            <w:vAlign w:val="bottom"/>
          </w:tcPr>
          <w:p>
            <w:pPr>
              <w:jc w:val="center"/>
              <w:rPr>
                <w:szCs w:val="21"/>
              </w:rPr>
            </w:pPr>
            <w:r>
              <w:rPr>
                <w:szCs w:val="21"/>
              </w:rPr>
              <w:t>2</w:t>
            </w:r>
          </w:p>
        </w:tc>
        <w:tc>
          <w:tcPr>
            <w:tcW w:w="1056" w:type="dxa"/>
            <w:noWrap w:val="0"/>
            <w:vAlign w:val="bottom"/>
          </w:tcPr>
          <w:p>
            <w:pPr>
              <w:jc w:val="center"/>
              <w:rPr>
                <w:szCs w:val="21"/>
              </w:rPr>
            </w:pPr>
            <w:r>
              <w:rPr>
                <w:szCs w:val="21"/>
              </w:rPr>
              <w:t>1.5</w:t>
            </w:r>
          </w:p>
        </w:tc>
        <w:tc>
          <w:tcPr>
            <w:tcW w:w="1035" w:type="dxa"/>
            <w:noWrap w:val="0"/>
            <w:vAlign w:val="bottom"/>
          </w:tcPr>
          <w:p>
            <w:pPr>
              <w:jc w:val="center"/>
              <w:rPr>
                <w:szCs w:val="21"/>
              </w:rPr>
            </w:pPr>
          </w:p>
        </w:tc>
        <w:tc>
          <w:tcPr>
            <w:tcW w:w="852" w:type="dxa"/>
            <w:noWrap w:val="0"/>
            <w:vAlign w:val="bottom"/>
          </w:tcPr>
          <w:p>
            <w:pPr>
              <w:jc w:val="center"/>
              <w:rPr>
                <w:szCs w:val="21"/>
              </w:rPr>
            </w:pPr>
            <w:r>
              <w:rPr>
                <w:szCs w:val="21"/>
              </w:rPr>
              <w:t>0.7</w:t>
            </w:r>
          </w:p>
        </w:tc>
        <w:tc>
          <w:tcPr>
            <w:tcW w:w="754" w:type="dxa"/>
            <w:noWrap w:val="0"/>
            <w:vAlign w:val="bottom"/>
          </w:tcPr>
          <w:p>
            <w:pPr>
              <w:jc w:val="center"/>
              <w:rPr>
                <w:szCs w:val="21"/>
              </w:rPr>
            </w:pPr>
            <w:r>
              <w:rPr>
                <w:szCs w:val="21"/>
              </w:rPr>
              <w:t>0.2</w:t>
            </w:r>
          </w:p>
        </w:tc>
        <w:tc>
          <w:tcPr>
            <w:tcW w:w="880" w:type="dxa"/>
            <w:noWrap w:val="0"/>
            <w:vAlign w:val="bottom"/>
          </w:tcPr>
          <w:p>
            <w:pPr>
              <w:jc w:val="center"/>
              <w:rPr>
                <w:szCs w:val="21"/>
              </w:rPr>
            </w:pPr>
            <w:r>
              <w:rPr>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9" w:hRule="exact"/>
          <w:jc w:val="center"/>
        </w:trPr>
        <w:tc>
          <w:tcPr>
            <w:tcW w:w="612" w:type="dxa"/>
            <w:noWrap w:val="0"/>
            <w:vAlign w:val="center"/>
          </w:tcPr>
          <w:p>
            <w:pPr>
              <w:jc w:val="center"/>
              <w:rPr>
                <w:szCs w:val="21"/>
              </w:rPr>
            </w:pPr>
            <w:r>
              <w:rPr>
                <w:szCs w:val="21"/>
              </w:rPr>
              <w:t>6</w:t>
            </w:r>
          </w:p>
        </w:tc>
        <w:tc>
          <w:tcPr>
            <w:tcW w:w="1290" w:type="dxa"/>
            <w:noWrap w:val="0"/>
            <w:vAlign w:val="center"/>
          </w:tcPr>
          <w:p>
            <w:pPr>
              <w:jc w:val="center"/>
              <w:rPr>
                <w:szCs w:val="21"/>
              </w:rPr>
            </w:pPr>
            <w:r>
              <w:rPr>
                <w:szCs w:val="21"/>
              </w:rPr>
              <w:t>辅助工程</w:t>
            </w:r>
          </w:p>
        </w:tc>
        <w:tc>
          <w:tcPr>
            <w:tcW w:w="1155" w:type="dxa"/>
            <w:noWrap w:val="0"/>
            <w:vAlign w:val="center"/>
          </w:tcPr>
          <w:p>
            <w:pPr>
              <w:jc w:val="center"/>
              <w:rPr>
                <w:szCs w:val="21"/>
              </w:rPr>
            </w:pPr>
            <w:r>
              <w:rPr>
                <w:szCs w:val="21"/>
              </w:rPr>
              <w:t>直接工程费</w:t>
            </w:r>
          </w:p>
        </w:tc>
        <w:tc>
          <w:tcPr>
            <w:tcW w:w="894" w:type="dxa"/>
            <w:noWrap w:val="0"/>
            <w:vAlign w:val="bottom"/>
          </w:tcPr>
          <w:p>
            <w:pPr>
              <w:jc w:val="center"/>
              <w:rPr>
                <w:szCs w:val="21"/>
              </w:rPr>
            </w:pPr>
            <w:r>
              <w:rPr>
                <w:szCs w:val="21"/>
              </w:rPr>
              <w:t>2</w:t>
            </w:r>
          </w:p>
        </w:tc>
        <w:tc>
          <w:tcPr>
            <w:tcW w:w="1056" w:type="dxa"/>
            <w:noWrap w:val="0"/>
            <w:vAlign w:val="bottom"/>
          </w:tcPr>
          <w:p>
            <w:pPr>
              <w:jc w:val="center"/>
              <w:rPr>
                <w:szCs w:val="21"/>
              </w:rPr>
            </w:pPr>
            <w:r>
              <w:rPr>
                <w:szCs w:val="21"/>
              </w:rPr>
              <w:t>0.7</w:t>
            </w:r>
          </w:p>
        </w:tc>
        <w:tc>
          <w:tcPr>
            <w:tcW w:w="1035" w:type="dxa"/>
            <w:noWrap w:val="0"/>
            <w:vAlign w:val="bottom"/>
          </w:tcPr>
          <w:p>
            <w:pPr>
              <w:jc w:val="center"/>
              <w:rPr>
                <w:szCs w:val="21"/>
              </w:rPr>
            </w:pPr>
          </w:p>
        </w:tc>
        <w:tc>
          <w:tcPr>
            <w:tcW w:w="852" w:type="dxa"/>
            <w:noWrap w:val="0"/>
            <w:vAlign w:val="bottom"/>
          </w:tcPr>
          <w:p>
            <w:pPr>
              <w:jc w:val="center"/>
              <w:rPr>
                <w:szCs w:val="21"/>
              </w:rPr>
            </w:pPr>
            <w:r>
              <w:rPr>
                <w:szCs w:val="21"/>
              </w:rPr>
              <w:t>0.7</w:t>
            </w:r>
          </w:p>
        </w:tc>
        <w:tc>
          <w:tcPr>
            <w:tcW w:w="754" w:type="dxa"/>
            <w:noWrap w:val="0"/>
            <w:vAlign w:val="bottom"/>
          </w:tcPr>
          <w:p>
            <w:pPr>
              <w:jc w:val="center"/>
              <w:rPr>
                <w:szCs w:val="21"/>
              </w:rPr>
            </w:pPr>
            <w:r>
              <w:rPr>
                <w:szCs w:val="21"/>
              </w:rPr>
              <w:t>0.2</w:t>
            </w:r>
          </w:p>
        </w:tc>
        <w:tc>
          <w:tcPr>
            <w:tcW w:w="880" w:type="dxa"/>
            <w:noWrap w:val="0"/>
            <w:vAlign w:val="bottom"/>
          </w:tcPr>
          <w:p>
            <w:pPr>
              <w:jc w:val="center"/>
              <w:rPr>
                <w:szCs w:val="21"/>
              </w:rPr>
            </w:pPr>
            <w:r>
              <w:rPr>
                <w:szCs w:val="21"/>
              </w:rPr>
              <w:t>3.6</w:t>
            </w:r>
          </w:p>
        </w:tc>
      </w:tr>
    </w:tbl>
    <w:p>
      <w:pPr>
        <w:spacing w:line="360" w:lineRule="auto"/>
        <w:ind w:firstLine="482" w:firstLineChars="200"/>
        <w:rPr>
          <w:rFonts w:ascii="宋体" w:hAnsi="宋体"/>
          <w:b/>
          <w:sz w:val="24"/>
        </w:rPr>
      </w:pPr>
      <w:r>
        <w:rPr>
          <w:rFonts w:ascii="宋体" w:hAnsi="宋体"/>
          <w:b/>
          <w:sz w:val="24"/>
        </w:rPr>
        <w:t>2</w:t>
      </w:r>
      <w:r>
        <w:rPr>
          <w:rFonts w:hint="eastAsia" w:ascii="宋体" w:hAnsi="宋体"/>
          <w:b/>
          <w:sz w:val="24"/>
        </w:rPr>
        <w:t>）</w:t>
      </w:r>
      <w:r>
        <w:rPr>
          <w:rFonts w:ascii="宋体" w:hAnsi="宋体"/>
          <w:b/>
          <w:sz w:val="24"/>
        </w:rPr>
        <w:t>间接费</w:t>
      </w:r>
    </w:p>
    <w:p>
      <w:pPr>
        <w:spacing w:line="360" w:lineRule="auto"/>
        <w:ind w:firstLine="480"/>
        <w:rPr>
          <w:rFonts w:hint="eastAsia" w:ascii="宋体" w:hAnsi="宋体"/>
          <w:sz w:val="24"/>
        </w:rPr>
      </w:pPr>
      <w:r>
        <w:rPr>
          <w:rFonts w:ascii="宋体" w:hAnsi="宋体"/>
          <w:sz w:val="24"/>
        </w:rPr>
        <w:t>间接费包括企业管理费，各项费用参照《</w:t>
      </w:r>
      <w:r>
        <w:rPr>
          <w:rFonts w:hint="eastAsia" w:ascii="宋体" w:hAnsi="宋体"/>
          <w:sz w:val="24"/>
        </w:rPr>
        <w:t>内蒙古自治区矿山地质环境治理工程预算定额标准（试行）</w:t>
      </w:r>
      <w:r>
        <w:rPr>
          <w:rFonts w:ascii="宋体" w:hAnsi="宋体"/>
          <w:sz w:val="24"/>
        </w:rPr>
        <w:t>》进行计费。具体标准如下表7-2：</w:t>
      </w:r>
    </w:p>
    <w:p>
      <w:pPr>
        <w:jc w:val="center"/>
        <w:rPr>
          <w:rFonts w:ascii="宋体" w:hAnsi="宋体"/>
          <w:b/>
          <w:szCs w:val="21"/>
        </w:rPr>
      </w:pPr>
      <w:r>
        <w:rPr>
          <w:rFonts w:ascii="宋体" w:hAnsi="宋体"/>
          <w:b/>
          <w:szCs w:val="21"/>
        </w:rPr>
        <w:t>表7</w:t>
      </w:r>
      <w:r>
        <w:rPr>
          <w:rFonts w:hint="eastAsia" w:ascii="宋体" w:hAnsi="宋体"/>
          <w:b/>
          <w:szCs w:val="21"/>
        </w:rPr>
        <w:t>-2</w:t>
      </w:r>
      <w:r>
        <w:rPr>
          <w:rFonts w:ascii="宋体" w:hAnsi="宋体"/>
          <w:b/>
          <w:szCs w:val="21"/>
        </w:rPr>
        <w:t xml:space="preserve">  不同工程类别间接费费率表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52"/>
        <w:gridCol w:w="2150"/>
        <w:gridCol w:w="1846"/>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0" w:hRule="exact"/>
          <w:jc w:val="center"/>
        </w:trPr>
        <w:tc>
          <w:tcPr>
            <w:tcW w:w="1252" w:type="dxa"/>
            <w:noWrap w:val="0"/>
            <w:vAlign w:val="center"/>
          </w:tcPr>
          <w:p>
            <w:pPr>
              <w:spacing w:line="240" w:lineRule="exact"/>
              <w:jc w:val="center"/>
              <w:rPr>
                <w:szCs w:val="21"/>
              </w:rPr>
            </w:pPr>
            <w:r>
              <w:rPr>
                <w:szCs w:val="21"/>
              </w:rPr>
              <w:t>编号</w:t>
            </w:r>
          </w:p>
        </w:tc>
        <w:tc>
          <w:tcPr>
            <w:tcW w:w="2150" w:type="dxa"/>
            <w:noWrap w:val="0"/>
            <w:vAlign w:val="center"/>
          </w:tcPr>
          <w:p>
            <w:pPr>
              <w:spacing w:line="240" w:lineRule="exact"/>
              <w:jc w:val="center"/>
              <w:rPr>
                <w:szCs w:val="21"/>
              </w:rPr>
            </w:pPr>
            <w:r>
              <w:rPr>
                <w:szCs w:val="21"/>
              </w:rPr>
              <w:t>工程类别</w:t>
            </w:r>
          </w:p>
        </w:tc>
        <w:tc>
          <w:tcPr>
            <w:tcW w:w="1846" w:type="dxa"/>
            <w:noWrap w:val="0"/>
            <w:vAlign w:val="center"/>
          </w:tcPr>
          <w:p>
            <w:pPr>
              <w:spacing w:line="240" w:lineRule="exact"/>
              <w:jc w:val="center"/>
              <w:rPr>
                <w:szCs w:val="21"/>
              </w:rPr>
            </w:pPr>
            <w:r>
              <w:rPr>
                <w:szCs w:val="21"/>
              </w:rPr>
              <w:t>计算基础</w:t>
            </w:r>
          </w:p>
        </w:tc>
        <w:tc>
          <w:tcPr>
            <w:tcW w:w="3074" w:type="dxa"/>
            <w:noWrap w:val="0"/>
            <w:vAlign w:val="center"/>
          </w:tcPr>
          <w:p>
            <w:pPr>
              <w:spacing w:line="240" w:lineRule="exact"/>
              <w:jc w:val="center"/>
              <w:rPr>
                <w:szCs w:val="21"/>
              </w:rPr>
            </w:pPr>
            <w:r>
              <w:rPr>
                <w:szCs w:val="21"/>
              </w:rPr>
              <w:t>间接费费率(%)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55" w:hRule="exact"/>
          <w:jc w:val="center"/>
        </w:trPr>
        <w:tc>
          <w:tcPr>
            <w:tcW w:w="1252" w:type="dxa"/>
            <w:noWrap w:val="0"/>
            <w:vAlign w:val="center"/>
          </w:tcPr>
          <w:p>
            <w:pPr>
              <w:spacing w:line="240" w:lineRule="exact"/>
              <w:jc w:val="center"/>
              <w:rPr>
                <w:szCs w:val="21"/>
              </w:rPr>
            </w:pPr>
            <w:r>
              <w:rPr>
                <w:szCs w:val="21"/>
              </w:rPr>
              <w:t>1</w:t>
            </w:r>
          </w:p>
        </w:tc>
        <w:tc>
          <w:tcPr>
            <w:tcW w:w="2150" w:type="dxa"/>
            <w:noWrap w:val="0"/>
            <w:vAlign w:val="center"/>
          </w:tcPr>
          <w:p>
            <w:pPr>
              <w:spacing w:line="240" w:lineRule="exact"/>
              <w:jc w:val="center"/>
              <w:rPr>
                <w:szCs w:val="21"/>
              </w:rPr>
            </w:pPr>
            <w:r>
              <w:rPr>
                <w:szCs w:val="21"/>
              </w:rPr>
              <w:t>土方工程</w:t>
            </w:r>
          </w:p>
        </w:tc>
        <w:tc>
          <w:tcPr>
            <w:tcW w:w="1846" w:type="dxa"/>
            <w:noWrap w:val="0"/>
            <w:vAlign w:val="center"/>
          </w:tcPr>
          <w:p>
            <w:pPr>
              <w:spacing w:line="240" w:lineRule="exact"/>
              <w:jc w:val="center"/>
              <w:rPr>
                <w:szCs w:val="21"/>
              </w:rPr>
            </w:pPr>
            <w:r>
              <w:rPr>
                <w:szCs w:val="21"/>
              </w:rPr>
              <w:t>直接费</w:t>
            </w:r>
          </w:p>
        </w:tc>
        <w:tc>
          <w:tcPr>
            <w:tcW w:w="3074" w:type="dxa"/>
            <w:noWrap w:val="0"/>
            <w:vAlign w:val="center"/>
          </w:tcPr>
          <w:p>
            <w:pPr>
              <w:spacing w:line="240" w:lineRule="exact"/>
              <w:jc w:val="center"/>
              <w:rPr>
                <w:szCs w:val="21"/>
              </w:rPr>
            </w:pPr>
            <w:r>
              <w:rPr>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0" w:hRule="exact"/>
          <w:jc w:val="center"/>
        </w:trPr>
        <w:tc>
          <w:tcPr>
            <w:tcW w:w="1252" w:type="dxa"/>
            <w:noWrap w:val="0"/>
            <w:vAlign w:val="center"/>
          </w:tcPr>
          <w:p>
            <w:pPr>
              <w:spacing w:line="240" w:lineRule="exact"/>
              <w:jc w:val="center"/>
              <w:rPr>
                <w:szCs w:val="21"/>
              </w:rPr>
            </w:pPr>
            <w:r>
              <w:rPr>
                <w:szCs w:val="21"/>
              </w:rPr>
              <w:t>2</w:t>
            </w:r>
          </w:p>
        </w:tc>
        <w:tc>
          <w:tcPr>
            <w:tcW w:w="2150" w:type="dxa"/>
            <w:noWrap w:val="0"/>
            <w:vAlign w:val="center"/>
          </w:tcPr>
          <w:p>
            <w:pPr>
              <w:spacing w:line="240" w:lineRule="exact"/>
              <w:jc w:val="center"/>
              <w:rPr>
                <w:szCs w:val="21"/>
              </w:rPr>
            </w:pPr>
            <w:r>
              <w:rPr>
                <w:szCs w:val="21"/>
              </w:rPr>
              <w:t>石方工程</w:t>
            </w:r>
          </w:p>
        </w:tc>
        <w:tc>
          <w:tcPr>
            <w:tcW w:w="1846" w:type="dxa"/>
            <w:noWrap w:val="0"/>
            <w:vAlign w:val="center"/>
          </w:tcPr>
          <w:p>
            <w:pPr>
              <w:spacing w:line="240" w:lineRule="exact"/>
              <w:jc w:val="center"/>
              <w:rPr>
                <w:szCs w:val="21"/>
              </w:rPr>
            </w:pPr>
            <w:r>
              <w:rPr>
                <w:szCs w:val="21"/>
              </w:rPr>
              <w:t>直接费</w:t>
            </w:r>
          </w:p>
        </w:tc>
        <w:tc>
          <w:tcPr>
            <w:tcW w:w="3074" w:type="dxa"/>
            <w:noWrap w:val="0"/>
            <w:vAlign w:val="center"/>
          </w:tcPr>
          <w:p>
            <w:pPr>
              <w:spacing w:line="240" w:lineRule="exact"/>
              <w:jc w:val="center"/>
              <w:rPr>
                <w:szCs w:val="21"/>
              </w:rPr>
            </w:pP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0" w:hRule="exact"/>
          <w:jc w:val="center"/>
        </w:trPr>
        <w:tc>
          <w:tcPr>
            <w:tcW w:w="1252" w:type="dxa"/>
            <w:noWrap w:val="0"/>
            <w:vAlign w:val="center"/>
          </w:tcPr>
          <w:p>
            <w:pPr>
              <w:spacing w:line="240" w:lineRule="exact"/>
              <w:jc w:val="center"/>
              <w:rPr>
                <w:szCs w:val="21"/>
              </w:rPr>
            </w:pPr>
            <w:r>
              <w:rPr>
                <w:szCs w:val="21"/>
              </w:rPr>
              <w:t>3</w:t>
            </w:r>
          </w:p>
        </w:tc>
        <w:tc>
          <w:tcPr>
            <w:tcW w:w="2150" w:type="dxa"/>
            <w:noWrap w:val="0"/>
            <w:vAlign w:val="center"/>
          </w:tcPr>
          <w:p>
            <w:pPr>
              <w:spacing w:line="240" w:lineRule="exact"/>
              <w:jc w:val="center"/>
              <w:rPr>
                <w:szCs w:val="21"/>
              </w:rPr>
            </w:pPr>
            <w:r>
              <w:rPr>
                <w:szCs w:val="21"/>
              </w:rPr>
              <w:t>砌体工程</w:t>
            </w:r>
          </w:p>
        </w:tc>
        <w:tc>
          <w:tcPr>
            <w:tcW w:w="1846" w:type="dxa"/>
            <w:noWrap w:val="0"/>
            <w:vAlign w:val="center"/>
          </w:tcPr>
          <w:p>
            <w:pPr>
              <w:spacing w:line="240" w:lineRule="exact"/>
              <w:jc w:val="center"/>
              <w:rPr>
                <w:szCs w:val="21"/>
              </w:rPr>
            </w:pPr>
            <w:r>
              <w:rPr>
                <w:szCs w:val="21"/>
              </w:rPr>
              <w:t>直接费</w:t>
            </w:r>
          </w:p>
        </w:tc>
        <w:tc>
          <w:tcPr>
            <w:tcW w:w="3074" w:type="dxa"/>
            <w:noWrap w:val="0"/>
            <w:vAlign w:val="center"/>
          </w:tcPr>
          <w:p>
            <w:pPr>
              <w:spacing w:line="240" w:lineRule="exact"/>
              <w:jc w:val="center"/>
              <w:rPr>
                <w:szCs w:val="21"/>
              </w:rPr>
            </w:pPr>
            <w:r>
              <w:rPr>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0" w:hRule="exact"/>
          <w:jc w:val="center"/>
        </w:trPr>
        <w:tc>
          <w:tcPr>
            <w:tcW w:w="1252" w:type="dxa"/>
            <w:noWrap w:val="0"/>
            <w:vAlign w:val="center"/>
          </w:tcPr>
          <w:p>
            <w:pPr>
              <w:spacing w:line="240" w:lineRule="exact"/>
              <w:jc w:val="center"/>
              <w:rPr>
                <w:szCs w:val="21"/>
              </w:rPr>
            </w:pPr>
            <w:r>
              <w:rPr>
                <w:szCs w:val="21"/>
              </w:rPr>
              <w:t>4</w:t>
            </w:r>
          </w:p>
        </w:tc>
        <w:tc>
          <w:tcPr>
            <w:tcW w:w="2150" w:type="dxa"/>
            <w:noWrap w:val="0"/>
            <w:vAlign w:val="center"/>
          </w:tcPr>
          <w:p>
            <w:pPr>
              <w:spacing w:line="240" w:lineRule="exact"/>
              <w:jc w:val="center"/>
              <w:rPr>
                <w:szCs w:val="21"/>
              </w:rPr>
            </w:pPr>
            <w:r>
              <w:rPr>
                <w:szCs w:val="21"/>
              </w:rPr>
              <w:t>混凝土工程</w:t>
            </w:r>
          </w:p>
        </w:tc>
        <w:tc>
          <w:tcPr>
            <w:tcW w:w="1846" w:type="dxa"/>
            <w:noWrap w:val="0"/>
            <w:vAlign w:val="center"/>
          </w:tcPr>
          <w:p>
            <w:pPr>
              <w:spacing w:line="240" w:lineRule="exact"/>
              <w:jc w:val="center"/>
              <w:rPr>
                <w:szCs w:val="21"/>
              </w:rPr>
            </w:pPr>
            <w:r>
              <w:rPr>
                <w:szCs w:val="21"/>
              </w:rPr>
              <w:t>直接费</w:t>
            </w:r>
          </w:p>
        </w:tc>
        <w:tc>
          <w:tcPr>
            <w:tcW w:w="3074" w:type="dxa"/>
            <w:noWrap w:val="0"/>
            <w:vAlign w:val="center"/>
          </w:tcPr>
          <w:p>
            <w:pPr>
              <w:spacing w:line="240" w:lineRule="exact"/>
              <w:jc w:val="center"/>
              <w:rPr>
                <w:szCs w:val="21"/>
              </w:rPr>
            </w:pP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0" w:hRule="exact"/>
          <w:jc w:val="center"/>
        </w:trPr>
        <w:tc>
          <w:tcPr>
            <w:tcW w:w="1252" w:type="dxa"/>
            <w:noWrap w:val="0"/>
            <w:vAlign w:val="center"/>
          </w:tcPr>
          <w:p>
            <w:pPr>
              <w:spacing w:line="240" w:lineRule="exact"/>
              <w:jc w:val="center"/>
              <w:rPr>
                <w:szCs w:val="21"/>
              </w:rPr>
            </w:pPr>
            <w:r>
              <w:rPr>
                <w:szCs w:val="21"/>
              </w:rPr>
              <w:t>5</w:t>
            </w:r>
          </w:p>
        </w:tc>
        <w:tc>
          <w:tcPr>
            <w:tcW w:w="2150" w:type="dxa"/>
            <w:noWrap w:val="0"/>
            <w:vAlign w:val="center"/>
          </w:tcPr>
          <w:p>
            <w:pPr>
              <w:spacing w:line="240" w:lineRule="exact"/>
              <w:jc w:val="center"/>
              <w:rPr>
                <w:szCs w:val="21"/>
              </w:rPr>
            </w:pPr>
            <w:r>
              <w:rPr>
                <w:szCs w:val="21"/>
              </w:rPr>
              <w:t>植被工程</w:t>
            </w:r>
          </w:p>
        </w:tc>
        <w:tc>
          <w:tcPr>
            <w:tcW w:w="1846" w:type="dxa"/>
            <w:noWrap w:val="0"/>
            <w:vAlign w:val="center"/>
          </w:tcPr>
          <w:p>
            <w:pPr>
              <w:spacing w:line="240" w:lineRule="exact"/>
              <w:jc w:val="center"/>
              <w:rPr>
                <w:szCs w:val="21"/>
              </w:rPr>
            </w:pPr>
            <w:r>
              <w:rPr>
                <w:szCs w:val="21"/>
              </w:rPr>
              <w:t>直接费</w:t>
            </w:r>
          </w:p>
        </w:tc>
        <w:tc>
          <w:tcPr>
            <w:tcW w:w="3074" w:type="dxa"/>
            <w:noWrap w:val="0"/>
            <w:vAlign w:val="center"/>
          </w:tcPr>
          <w:p>
            <w:pPr>
              <w:spacing w:line="240" w:lineRule="exact"/>
              <w:jc w:val="center"/>
              <w:rPr>
                <w:szCs w:val="21"/>
              </w:rPr>
            </w:pPr>
            <w:r>
              <w:rPr>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0" w:hRule="exact"/>
          <w:jc w:val="center"/>
        </w:trPr>
        <w:tc>
          <w:tcPr>
            <w:tcW w:w="1252" w:type="dxa"/>
            <w:noWrap w:val="0"/>
            <w:vAlign w:val="center"/>
          </w:tcPr>
          <w:p>
            <w:pPr>
              <w:spacing w:line="240" w:lineRule="exact"/>
              <w:jc w:val="center"/>
              <w:rPr>
                <w:szCs w:val="21"/>
              </w:rPr>
            </w:pPr>
            <w:r>
              <w:rPr>
                <w:szCs w:val="21"/>
              </w:rPr>
              <w:t>6</w:t>
            </w:r>
          </w:p>
        </w:tc>
        <w:tc>
          <w:tcPr>
            <w:tcW w:w="2150" w:type="dxa"/>
            <w:noWrap w:val="0"/>
            <w:vAlign w:val="center"/>
          </w:tcPr>
          <w:p>
            <w:pPr>
              <w:spacing w:line="240" w:lineRule="exact"/>
              <w:jc w:val="center"/>
              <w:rPr>
                <w:szCs w:val="21"/>
              </w:rPr>
            </w:pPr>
            <w:r>
              <w:rPr>
                <w:szCs w:val="21"/>
              </w:rPr>
              <w:t>辅助工程</w:t>
            </w:r>
          </w:p>
        </w:tc>
        <w:tc>
          <w:tcPr>
            <w:tcW w:w="1846" w:type="dxa"/>
            <w:noWrap w:val="0"/>
            <w:vAlign w:val="center"/>
          </w:tcPr>
          <w:p>
            <w:pPr>
              <w:spacing w:line="240" w:lineRule="exact"/>
              <w:jc w:val="center"/>
              <w:rPr>
                <w:szCs w:val="21"/>
              </w:rPr>
            </w:pPr>
            <w:r>
              <w:rPr>
                <w:szCs w:val="21"/>
              </w:rPr>
              <w:t>直接费</w:t>
            </w:r>
          </w:p>
        </w:tc>
        <w:tc>
          <w:tcPr>
            <w:tcW w:w="3074" w:type="dxa"/>
            <w:noWrap w:val="0"/>
            <w:vAlign w:val="center"/>
          </w:tcPr>
          <w:p>
            <w:pPr>
              <w:spacing w:line="240" w:lineRule="exact"/>
              <w:jc w:val="center"/>
              <w:rPr>
                <w:szCs w:val="21"/>
              </w:rPr>
            </w:pPr>
            <w:r>
              <w:rPr>
                <w:szCs w:val="21"/>
              </w:rPr>
              <w:t>5</w:t>
            </w:r>
          </w:p>
        </w:tc>
      </w:tr>
    </w:tbl>
    <w:p>
      <w:pPr>
        <w:spacing w:line="360" w:lineRule="auto"/>
        <w:ind w:firstLine="480"/>
        <w:rPr>
          <w:rFonts w:ascii="宋体" w:hAnsi="宋体"/>
          <w:b/>
          <w:sz w:val="24"/>
        </w:rPr>
      </w:pPr>
      <w:r>
        <w:rPr>
          <w:rFonts w:ascii="宋体" w:hAnsi="宋体"/>
          <w:b/>
          <w:sz w:val="24"/>
        </w:rPr>
        <w:t>3</w:t>
      </w:r>
      <w:r>
        <w:rPr>
          <w:rFonts w:hint="eastAsia" w:ascii="宋体" w:hAnsi="宋体"/>
          <w:b/>
          <w:sz w:val="24"/>
        </w:rPr>
        <w:t>）</w:t>
      </w:r>
      <w:r>
        <w:rPr>
          <w:rFonts w:ascii="宋体" w:hAnsi="宋体"/>
          <w:b/>
          <w:sz w:val="24"/>
        </w:rPr>
        <w:t>利润</w:t>
      </w:r>
    </w:p>
    <w:p>
      <w:pPr>
        <w:spacing w:line="360" w:lineRule="auto"/>
        <w:ind w:firstLine="480"/>
        <w:rPr>
          <w:rFonts w:ascii="宋体" w:hAnsi="宋体"/>
          <w:sz w:val="24"/>
        </w:rPr>
      </w:pPr>
      <w:r>
        <w:rPr>
          <w:rFonts w:ascii="宋体" w:hAnsi="宋体"/>
          <w:sz w:val="24"/>
        </w:rPr>
        <w:t>利润是指按规定应计入工程造价的利润。依据《</w:t>
      </w:r>
      <w:r>
        <w:rPr>
          <w:rFonts w:hint="eastAsia" w:ascii="宋体" w:hAnsi="宋体"/>
          <w:sz w:val="24"/>
        </w:rPr>
        <w:t>内蒙古自治区矿山地质环境治理工程预算定额标准（试行）</w:t>
      </w:r>
      <w:r>
        <w:rPr>
          <w:rFonts w:ascii="宋体" w:hAnsi="宋体"/>
          <w:sz w:val="24"/>
        </w:rPr>
        <w:t>》规定，利润率取3.00%，计算基础为直接费和间接费之和。</w:t>
      </w:r>
    </w:p>
    <w:p>
      <w:pPr>
        <w:spacing w:line="360" w:lineRule="auto"/>
        <w:ind w:firstLine="480" w:firstLineChars="200"/>
        <w:rPr>
          <w:rFonts w:ascii="宋体" w:hAnsi="宋体"/>
          <w:sz w:val="24"/>
        </w:rPr>
      </w:pPr>
      <w:r>
        <w:rPr>
          <w:rFonts w:ascii="宋体" w:hAnsi="宋体"/>
          <w:sz w:val="24"/>
        </w:rPr>
        <w:t>利润＝(直接费＋间接费)×3%。</w:t>
      </w:r>
    </w:p>
    <w:p>
      <w:pPr>
        <w:spacing w:line="360" w:lineRule="auto"/>
        <w:ind w:firstLine="480"/>
        <w:rPr>
          <w:rFonts w:ascii="宋体" w:hAnsi="宋体"/>
          <w:b/>
          <w:sz w:val="24"/>
        </w:rPr>
      </w:pPr>
      <w:r>
        <w:rPr>
          <w:rFonts w:ascii="宋体" w:hAnsi="宋体"/>
          <w:b/>
          <w:sz w:val="24"/>
        </w:rPr>
        <w:t>4</w:t>
      </w:r>
      <w:r>
        <w:rPr>
          <w:rFonts w:hint="eastAsia" w:ascii="宋体" w:hAnsi="宋体"/>
          <w:b/>
          <w:sz w:val="24"/>
        </w:rPr>
        <w:t>）</w:t>
      </w:r>
      <w:r>
        <w:rPr>
          <w:rFonts w:ascii="宋体" w:hAnsi="宋体"/>
          <w:b/>
          <w:sz w:val="24"/>
        </w:rPr>
        <w:t>税金</w:t>
      </w:r>
    </w:p>
    <w:p>
      <w:pPr>
        <w:spacing w:line="360" w:lineRule="auto"/>
        <w:ind w:firstLine="482"/>
        <w:rPr>
          <w:rFonts w:hint="eastAsia" w:ascii="宋体" w:hAnsi="宋体"/>
          <w:sz w:val="24"/>
        </w:rPr>
      </w:pPr>
      <w:bookmarkStart w:id="32" w:name="_Toc359679625"/>
      <w:r>
        <w:rPr>
          <w:rFonts w:hint="eastAsia" w:ascii="宋体" w:hAnsi="宋体"/>
          <w:sz w:val="24"/>
        </w:rPr>
        <w:t>依据《内蒙古自治区矿山地质环境治理工程预算定额标准》计算基础为直接费、间接费和利润之和。税金＝(直接费＋间接费＋利润)×3.28%。</w:t>
      </w:r>
    </w:p>
    <w:p>
      <w:pPr>
        <w:spacing w:line="360" w:lineRule="auto"/>
        <w:ind w:firstLine="480"/>
        <w:rPr>
          <w:rFonts w:hint="eastAsia" w:ascii="宋体" w:hAnsi="宋体"/>
          <w:b/>
          <w:sz w:val="24"/>
        </w:rPr>
      </w:pPr>
      <w:r>
        <w:rPr>
          <w:rFonts w:ascii="宋体" w:hAnsi="宋体"/>
          <w:b/>
          <w:sz w:val="24"/>
        </w:rPr>
        <w:t>3</w:t>
      </w:r>
      <w:r>
        <w:rPr>
          <w:rFonts w:hint="eastAsia" w:ascii="宋体" w:hAnsi="宋体"/>
          <w:b/>
          <w:sz w:val="24"/>
        </w:rPr>
        <w:t>、设备购置费</w:t>
      </w:r>
    </w:p>
    <w:p>
      <w:pPr>
        <w:spacing w:line="360" w:lineRule="auto"/>
        <w:ind w:firstLine="480"/>
        <w:rPr>
          <w:rFonts w:hint="eastAsia" w:ascii="宋体" w:hAnsi="宋体"/>
          <w:sz w:val="24"/>
        </w:rPr>
      </w:pPr>
      <w:r>
        <w:rPr>
          <w:rFonts w:hint="eastAsia" w:ascii="宋体" w:hAnsi="宋体"/>
          <w:sz w:val="24"/>
        </w:rPr>
        <w:t>设备购置费包括设备原价、运杂费、运输保险费和采购及保管费。根据矿山实际情况，本方案不涉及设备购置费。</w:t>
      </w:r>
    </w:p>
    <w:p>
      <w:pPr>
        <w:spacing w:line="360" w:lineRule="auto"/>
        <w:ind w:firstLine="480"/>
        <w:rPr>
          <w:rFonts w:ascii="宋体" w:hAnsi="宋体"/>
          <w:b/>
          <w:sz w:val="24"/>
        </w:rPr>
      </w:pPr>
      <w:r>
        <w:rPr>
          <w:rFonts w:ascii="宋体" w:hAnsi="宋体"/>
          <w:b/>
          <w:sz w:val="24"/>
        </w:rPr>
        <w:t>4</w:t>
      </w:r>
      <w:r>
        <w:rPr>
          <w:rFonts w:hint="eastAsia" w:ascii="宋体" w:hAnsi="宋体"/>
          <w:b/>
          <w:sz w:val="24"/>
        </w:rPr>
        <w:t>、</w:t>
      </w:r>
      <w:r>
        <w:rPr>
          <w:rFonts w:ascii="宋体" w:hAnsi="宋体"/>
          <w:b/>
          <w:sz w:val="24"/>
        </w:rPr>
        <w:t>其它费用</w:t>
      </w:r>
      <w:bookmarkEnd w:id="32"/>
    </w:p>
    <w:p>
      <w:pPr>
        <w:spacing w:line="360" w:lineRule="auto"/>
        <w:ind w:firstLine="480"/>
        <w:rPr>
          <w:rFonts w:ascii="宋体" w:hAnsi="宋体"/>
          <w:sz w:val="24"/>
        </w:rPr>
      </w:pPr>
      <w:r>
        <w:rPr>
          <w:rFonts w:ascii="宋体" w:hAnsi="宋体"/>
          <w:sz w:val="24"/>
        </w:rPr>
        <w:t>其它费用由前期工作费、工程监理费、竣工验收费、</w:t>
      </w:r>
      <w:r>
        <w:rPr>
          <w:rFonts w:hint="eastAsia" w:ascii="宋体" w:hAnsi="宋体"/>
          <w:sz w:val="24"/>
        </w:rPr>
        <w:t>业主</w:t>
      </w:r>
      <w:r>
        <w:rPr>
          <w:rFonts w:ascii="宋体" w:hAnsi="宋体"/>
          <w:sz w:val="24"/>
        </w:rPr>
        <w:t>管理费组成。</w:t>
      </w:r>
    </w:p>
    <w:p>
      <w:pPr>
        <w:spacing w:line="360" w:lineRule="auto"/>
        <w:ind w:firstLine="480"/>
        <w:rPr>
          <w:rFonts w:ascii="宋体" w:hAnsi="宋体"/>
          <w:b/>
          <w:sz w:val="24"/>
        </w:rPr>
      </w:pPr>
      <w:r>
        <w:rPr>
          <w:rFonts w:hint="eastAsia" w:ascii="宋体" w:hAnsi="宋体"/>
          <w:b/>
          <w:sz w:val="24"/>
        </w:rPr>
        <w:t>4、</w:t>
      </w:r>
      <w:r>
        <w:rPr>
          <w:rFonts w:ascii="宋体" w:hAnsi="宋体"/>
          <w:b/>
          <w:sz w:val="24"/>
        </w:rPr>
        <w:t>监测与管护费</w:t>
      </w:r>
    </w:p>
    <w:p>
      <w:pPr>
        <w:spacing w:line="360" w:lineRule="auto"/>
        <w:ind w:firstLine="480"/>
        <w:rPr>
          <w:rFonts w:ascii="宋体" w:hAnsi="宋体"/>
          <w:b/>
          <w:sz w:val="24"/>
        </w:rPr>
      </w:pPr>
      <w:r>
        <w:rPr>
          <w:rFonts w:hint="eastAsia" w:ascii="宋体" w:hAnsi="宋体"/>
          <w:b/>
          <w:sz w:val="24"/>
        </w:rPr>
        <w:t>（1）</w:t>
      </w:r>
      <w:r>
        <w:rPr>
          <w:rFonts w:ascii="宋体" w:hAnsi="宋体"/>
          <w:b/>
          <w:sz w:val="24"/>
        </w:rPr>
        <w:t>监测费</w:t>
      </w:r>
    </w:p>
    <w:p>
      <w:pPr>
        <w:spacing w:line="360" w:lineRule="auto"/>
        <w:ind w:firstLine="480"/>
        <w:rPr>
          <w:rFonts w:ascii="宋体" w:hAnsi="宋体"/>
          <w:bCs/>
          <w:sz w:val="24"/>
        </w:rPr>
      </w:pPr>
      <w:r>
        <w:rPr>
          <w:rFonts w:ascii="宋体" w:hAnsi="宋体"/>
          <w:sz w:val="24"/>
        </w:rPr>
        <w:t>监测费是矿山对地质环境监测、土地复垦效果监测产生的费用。以工程施工费作为计费基数，监测费用按工程施工费的</w:t>
      </w:r>
      <w:r>
        <w:rPr>
          <w:rFonts w:hint="eastAsia" w:ascii="宋体" w:hAnsi="宋体"/>
          <w:sz w:val="24"/>
        </w:rPr>
        <w:t>3</w:t>
      </w:r>
      <w:r>
        <w:rPr>
          <w:rFonts w:ascii="宋体" w:hAnsi="宋体"/>
          <w:bCs/>
          <w:sz w:val="24"/>
        </w:rPr>
        <w:t>%计算，本次监测</w:t>
      </w:r>
      <w:r>
        <w:rPr>
          <w:rFonts w:hint="eastAsia" w:ascii="宋体" w:hAnsi="宋体"/>
          <w:bCs/>
          <w:sz w:val="24"/>
        </w:rPr>
        <w:t>1次100元，监测1年24次</w:t>
      </w:r>
      <w:r>
        <w:rPr>
          <w:rFonts w:ascii="宋体" w:hAnsi="宋体"/>
          <w:bCs/>
          <w:sz w:val="24"/>
        </w:rPr>
        <w:t>。</w:t>
      </w:r>
    </w:p>
    <w:p>
      <w:pPr>
        <w:spacing w:line="360" w:lineRule="auto"/>
        <w:ind w:firstLine="480"/>
        <w:rPr>
          <w:rFonts w:ascii="宋体" w:hAnsi="宋体"/>
          <w:b/>
          <w:sz w:val="24"/>
        </w:rPr>
      </w:pPr>
      <w:r>
        <w:rPr>
          <w:rFonts w:hint="eastAsia" w:ascii="宋体" w:hAnsi="宋体"/>
          <w:b/>
          <w:sz w:val="24"/>
        </w:rPr>
        <w:t>（2）</w:t>
      </w:r>
      <w:r>
        <w:rPr>
          <w:rFonts w:ascii="宋体" w:hAnsi="宋体"/>
          <w:b/>
          <w:sz w:val="24"/>
        </w:rPr>
        <w:t>管护费</w:t>
      </w:r>
    </w:p>
    <w:p>
      <w:pPr>
        <w:spacing w:line="360" w:lineRule="auto"/>
        <w:ind w:firstLine="480"/>
        <w:rPr>
          <w:rFonts w:ascii="宋体" w:hAnsi="宋体"/>
          <w:sz w:val="24"/>
        </w:rPr>
      </w:pPr>
      <w:r>
        <w:rPr>
          <w:rFonts w:ascii="宋体" w:hAnsi="宋体"/>
          <w:sz w:val="24"/>
        </w:rPr>
        <w:t>管护费是矿山对治理恢复后的植被进行管护产生的费用，包括补栽、浇水等。一次管护费用按植物工程施工费的8</w:t>
      </w:r>
      <w:r>
        <w:rPr>
          <w:rFonts w:ascii="宋体" w:hAnsi="宋体"/>
          <w:bCs/>
          <w:sz w:val="24"/>
        </w:rPr>
        <w:t>%计算，管护</w:t>
      </w:r>
      <w:r>
        <w:rPr>
          <w:rFonts w:hint="eastAsia" w:ascii="宋体" w:hAnsi="宋体"/>
          <w:bCs/>
          <w:sz w:val="24"/>
        </w:rPr>
        <w:t>3年，每年2次，每次1000元</w:t>
      </w:r>
      <w:r>
        <w:rPr>
          <w:rFonts w:ascii="宋体" w:hAnsi="宋体"/>
          <w:bCs/>
          <w:sz w:val="24"/>
        </w:rPr>
        <w:t>。</w:t>
      </w:r>
    </w:p>
    <w:p>
      <w:pPr>
        <w:spacing w:line="360" w:lineRule="auto"/>
        <w:ind w:firstLine="480"/>
        <w:rPr>
          <w:rFonts w:ascii="宋体" w:hAnsi="宋体"/>
          <w:sz w:val="24"/>
        </w:rPr>
      </w:pPr>
      <w:r>
        <w:rPr>
          <w:rFonts w:ascii="宋体" w:hAnsi="宋体"/>
          <w:sz w:val="24"/>
        </w:rPr>
        <w:t>管护费＝植物工程施工费×8%×管护次数</w:t>
      </w:r>
    </w:p>
    <w:p>
      <w:pPr>
        <w:spacing w:line="360" w:lineRule="auto"/>
        <w:ind w:firstLine="480"/>
        <w:rPr>
          <w:rFonts w:hint="eastAsia" w:ascii="宋体" w:hAnsi="宋体"/>
          <w:b/>
          <w:sz w:val="24"/>
        </w:rPr>
      </w:pPr>
      <w:r>
        <w:rPr>
          <w:rFonts w:hint="eastAsia" w:ascii="宋体" w:hAnsi="宋体"/>
          <w:b/>
          <w:sz w:val="24"/>
        </w:rPr>
        <w:t>5、预备费</w:t>
      </w:r>
    </w:p>
    <w:p>
      <w:pPr>
        <w:spacing w:line="360" w:lineRule="auto"/>
        <w:ind w:firstLine="480"/>
        <w:rPr>
          <w:rFonts w:hint="eastAsia" w:ascii="宋体" w:hAnsi="宋体"/>
          <w:sz w:val="24"/>
        </w:rPr>
      </w:pPr>
      <w:r>
        <w:rPr>
          <w:rFonts w:hint="eastAsia" w:ascii="宋体" w:hAnsi="宋体"/>
          <w:sz w:val="24"/>
        </w:rPr>
        <w:t>指在施工过程中因自然灾害、设计变更及不可预计因素的变化而增加的费用。预备费主要包括基本预备费和风险金。</w:t>
      </w:r>
    </w:p>
    <w:p>
      <w:pPr>
        <w:spacing w:line="360" w:lineRule="auto"/>
        <w:ind w:firstLine="480"/>
        <w:rPr>
          <w:rFonts w:hint="eastAsia" w:ascii="宋体" w:hAnsi="宋体"/>
          <w:b/>
          <w:sz w:val="24"/>
        </w:rPr>
      </w:pPr>
      <w:r>
        <w:rPr>
          <w:rFonts w:hint="eastAsia" w:ascii="宋体" w:hAnsi="宋体"/>
          <w:b/>
          <w:sz w:val="24"/>
        </w:rPr>
        <w:t>（1）基本预备费</w:t>
      </w:r>
    </w:p>
    <w:p>
      <w:pPr>
        <w:spacing w:line="360" w:lineRule="auto"/>
        <w:ind w:firstLine="480"/>
        <w:rPr>
          <w:rFonts w:hint="eastAsia" w:ascii="宋体" w:hAnsi="宋体"/>
          <w:sz w:val="24"/>
        </w:rPr>
      </w:pPr>
      <w:r>
        <w:rPr>
          <w:rFonts w:hint="eastAsia" w:ascii="宋体" w:hAnsi="宋体"/>
          <w:sz w:val="24"/>
        </w:rPr>
        <w:t>指为解决在工程施工过程中因自然灾害、设计变更等所增加的费用。可按工程施工费与其他费用之和的6%~10%计取。本项目按7%计取。</w:t>
      </w:r>
    </w:p>
    <w:p>
      <w:pPr>
        <w:spacing w:line="360" w:lineRule="auto"/>
        <w:ind w:firstLine="480"/>
        <w:rPr>
          <w:rFonts w:hint="eastAsia" w:ascii="宋体" w:hAnsi="宋体"/>
          <w:b/>
          <w:sz w:val="24"/>
        </w:rPr>
      </w:pPr>
      <w:r>
        <w:rPr>
          <w:rFonts w:hint="eastAsia" w:ascii="宋体" w:hAnsi="宋体"/>
          <w:b/>
          <w:sz w:val="24"/>
        </w:rPr>
        <w:t>（2）风险金</w:t>
      </w:r>
    </w:p>
    <w:p>
      <w:pPr>
        <w:spacing w:line="360" w:lineRule="auto"/>
        <w:ind w:firstLine="480"/>
        <w:rPr>
          <w:rFonts w:hint="eastAsia" w:ascii="宋体" w:hAnsi="宋体"/>
          <w:sz w:val="24"/>
        </w:rPr>
      </w:pPr>
      <w:r>
        <w:rPr>
          <w:rFonts w:hint="eastAsia" w:ascii="宋体" w:hAnsi="宋体"/>
          <w:sz w:val="24"/>
        </w:rPr>
        <w:t>风险金是指可预见而目前技术上无法完全避免的地质环境保护和土地复垦过程中可能发生风险的备用金。本项目按工程施工费和其他费用之和的4%计取。</w:t>
      </w:r>
    </w:p>
    <w:p>
      <w:pPr>
        <w:pStyle w:val="3"/>
        <w:ind w:firstLine="602" w:firstLineChars="200"/>
        <w:rPr>
          <w:rFonts w:ascii="宋体" w:hAnsi="宋体" w:eastAsia="宋体"/>
          <w:szCs w:val="30"/>
        </w:rPr>
      </w:pPr>
      <w:bookmarkStart w:id="33" w:name="_Toc148251072"/>
      <w:bookmarkStart w:id="34" w:name="_Toc145423930"/>
      <w:bookmarkStart w:id="35" w:name="_Toc145756828"/>
      <w:r>
        <w:rPr>
          <w:rFonts w:hint="eastAsia" w:ascii="宋体" w:hAnsi="宋体" w:eastAsia="宋体"/>
          <w:szCs w:val="30"/>
        </w:rPr>
        <w:t>(二)矿山地质环境治理工程经费估算</w:t>
      </w:r>
      <w:bookmarkEnd w:id="33"/>
      <w:bookmarkEnd w:id="34"/>
      <w:bookmarkEnd w:id="35"/>
    </w:p>
    <w:p>
      <w:pPr>
        <w:spacing w:line="360" w:lineRule="auto"/>
        <w:ind w:firstLine="472" w:firstLineChars="196"/>
        <w:rPr>
          <w:rFonts w:hint="eastAsia" w:ascii="宋体" w:hAnsi="宋体"/>
          <w:b/>
          <w:sz w:val="24"/>
        </w:rPr>
      </w:pPr>
      <w:r>
        <w:rPr>
          <w:rFonts w:hint="eastAsia" w:ascii="宋体" w:hAnsi="宋体"/>
          <w:b/>
          <w:sz w:val="24"/>
        </w:rPr>
        <w:t>1、总工程量</w:t>
      </w:r>
    </w:p>
    <w:p>
      <w:pPr>
        <w:spacing w:line="360" w:lineRule="auto"/>
        <w:ind w:firstLine="480" w:firstLineChars="200"/>
        <w:rPr>
          <w:rFonts w:hint="eastAsia" w:ascii="宋体" w:hAnsi="宋体"/>
          <w:sz w:val="24"/>
        </w:rPr>
      </w:pPr>
      <w:r>
        <w:rPr>
          <w:rFonts w:hint="eastAsia" w:ascii="宋体" w:hAnsi="宋体"/>
          <w:sz w:val="24"/>
        </w:rPr>
        <w:t>根据对矿山地质环境保护工作部署和设计，矿山地质环境治理工程总工程量费用。本年度矿山地质环境治理工程费用约为</w:t>
      </w:r>
      <w:r>
        <w:rPr>
          <w:rFonts w:ascii="宋体" w:hAnsi="宋体"/>
          <w:sz w:val="24"/>
        </w:rPr>
        <w:t>85.30</w:t>
      </w:r>
      <w:r>
        <w:rPr>
          <w:rFonts w:hint="eastAsia" w:ascii="宋体" w:hAnsi="宋体"/>
          <w:sz w:val="24"/>
        </w:rPr>
        <w:t>万元，估算费用详见表</w:t>
      </w:r>
      <w:r>
        <w:rPr>
          <w:rFonts w:ascii="宋体" w:hAnsi="宋体"/>
          <w:sz w:val="24"/>
        </w:rPr>
        <w:t>7</w:t>
      </w:r>
      <w:r>
        <w:rPr>
          <w:rFonts w:hint="eastAsia" w:ascii="宋体" w:hAnsi="宋体"/>
          <w:sz w:val="24"/>
        </w:rPr>
        <w:t>-3。</w:t>
      </w:r>
    </w:p>
    <w:p>
      <w:pPr>
        <w:jc w:val="center"/>
        <w:rPr>
          <w:rFonts w:hint="eastAsia" w:ascii="宋体" w:hAnsi="宋体"/>
          <w:b/>
          <w:sz w:val="24"/>
        </w:rPr>
      </w:pPr>
      <w:r>
        <w:rPr>
          <w:rFonts w:ascii="宋体" w:hAnsi="宋体"/>
          <w:b/>
          <w:sz w:val="24"/>
        </w:rPr>
        <w:t>表7</w:t>
      </w:r>
      <w:r>
        <w:rPr>
          <w:rFonts w:hint="eastAsia" w:ascii="宋体" w:hAnsi="宋体"/>
          <w:b/>
          <w:sz w:val="24"/>
        </w:rPr>
        <w:t>-3</w:t>
      </w:r>
      <w:r>
        <w:rPr>
          <w:rFonts w:ascii="宋体" w:hAnsi="宋体"/>
          <w:b/>
          <w:sz w:val="24"/>
        </w:rPr>
        <w:t xml:space="preserve">  预算总表</w:t>
      </w:r>
    </w:p>
    <w:tbl>
      <w:tblPr>
        <w:tblStyle w:val="24"/>
        <w:tblW w:w="5000" w:type="pct"/>
        <w:tblInd w:w="0" w:type="dxa"/>
        <w:tblLayout w:type="autofit"/>
        <w:tblCellMar>
          <w:top w:w="0" w:type="dxa"/>
          <w:left w:w="108" w:type="dxa"/>
          <w:bottom w:w="0" w:type="dxa"/>
          <w:right w:w="108" w:type="dxa"/>
        </w:tblCellMar>
      </w:tblPr>
      <w:tblGrid>
        <w:gridCol w:w="865"/>
        <w:gridCol w:w="2298"/>
        <w:gridCol w:w="1439"/>
        <w:gridCol w:w="3920"/>
      </w:tblGrid>
      <w:tr>
        <w:tblPrEx>
          <w:tblCellMar>
            <w:top w:w="0" w:type="dxa"/>
            <w:left w:w="108" w:type="dxa"/>
            <w:bottom w:w="0" w:type="dxa"/>
            <w:right w:w="108" w:type="dxa"/>
          </w:tblCellMar>
        </w:tblPrEx>
        <w:trPr>
          <w:wBefore w:w="0" w:type="dxa"/>
          <w:wAfter w:w="0" w:type="dxa"/>
          <w:trHeight w:val="288" w:hRule="atLeast"/>
        </w:trPr>
        <w:tc>
          <w:tcPr>
            <w:tcW w:w="5000" w:type="pct"/>
            <w:gridSpan w:val="4"/>
            <w:tcBorders>
              <w:top w:val="single" w:color="auto" w:sz="4" w:space="0"/>
              <w:left w:val="single" w:color="auto" w:sz="4" w:space="0"/>
              <w:bottom w:val="single" w:color="auto" w:sz="4" w:space="0"/>
              <w:right w:val="single" w:color="auto" w:sz="4" w:space="0"/>
            </w:tcBorders>
            <w:noWrap w:val="0"/>
            <w:vAlign w:val="bottom"/>
          </w:tcPr>
          <w:p>
            <w:pPr>
              <w:widowControl/>
              <w:rPr>
                <w:rFonts w:ascii="宋体" w:hAnsi="宋体" w:cs="宋体"/>
                <w:b/>
                <w:bCs/>
                <w:kern w:val="0"/>
                <w:szCs w:val="21"/>
              </w:rPr>
            </w:pPr>
            <w:r>
              <w:rPr>
                <w:rFonts w:hint="eastAsia" w:ascii="宋体" w:hAnsi="宋体" w:cs="宋体"/>
                <w:b/>
                <w:bCs/>
                <w:kern w:val="0"/>
                <w:szCs w:val="21"/>
              </w:rPr>
              <w:t>矿山地质环境保护与土地复垦方案</w:t>
            </w:r>
          </w:p>
        </w:tc>
      </w:tr>
      <w:tr>
        <w:tblPrEx>
          <w:tblCellMar>
            <w:top w:w="0" w:type="dxa"/>
            <w:left w:w="108" w:type="dxa"/>
            <w:bottom w:w="0" w:type="dxa"/>
            <w:right w:w="108" w:type="dxa"/>
          </w:tblCellMar>
        </w:tblPrEx>
        <w:trPr>
          <w:wBefore w:w="0" w:type="dxa"/>
          <w:wAfter w:w="0" w:type="dxa"/>
          <w:trHeight w:val="495" w:hRule="atLeast"/>
        </w:trPr>
        <w:tc>
          <w:tcPr>
            <w:tcW w:w="508" w:type="pct"/>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宋体" w:hAnsi="宋体" w:cs="宋体"/>
                <w:b/>
                <w:bCs/>
                <w:kern w:val="0"/>
                <w:szCs w:val="21"/>
              </w:rPr>
            </w:pPr>
            <w:r>
              <w:rPr>
                <w:rFonts w:hint="eastAsia" w:ascii="宋体" w:hAnsi="宋体" w:cs="宋体"/>
                <w:b/>
                <w:bCs/>
                <w:kern w:val="0"/>
                <w:szCs w:val="21"/>
              </w:rPr>
              <w:t>序号</w:t>
            </w:r>
          </w:p>
        </w:tc>
        <w:tc>
          <w:tcPr>
            <w:tcW w:w="1348" w:type="pct"/>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宋体" w:hAnsi="宋体" w:cs="宋体"/>
                <w:b/>
                <w:bCs/>
                <w:kern w:val="0"/>
                <w:szCs w:val="21"/>
              </w:rPr>
            </w:pPr>
            <w:r>
              <w:rPr>
                <w:rFonts w:hint="eastAsia" w:ascii="宋体" w:hAnsi="宋体" w:cs="宋体"/>
                <w:b/>
                <w:bCs/>
                <w:kern w:val="0"/>
                <w:szCs w:val="21"/>
              </w:rPr>
              <w:t>工程或费用名称</w:t>
            </w:r>
          </w:p>
        </w:tc>
        <w:tc>
          <w:tcPr>
            <w:tcW w:w="844" w:type="pct"/>
            <w:tcBorders>
              <w:top w:val="nil"/>
              <w:left w:val="nil"/>
              <w:bottom w:val="single" w:color="auto" w:sz="4" w:space="0"/>
              <w:right w:val="single" w:color="auto" w:sz="4" w:space="0"/>
            </w:tcBorders>
            <w:noWrap w:val="0"/>
            <w:vAlign w:val="bottom"/>
          </w:tcPr>
          <w:p>
            <w:pPr>
              <w:widowControl/>
              <w:jc w:val="center"/>
              <w:rPr>
                <w:rFonts w:hint="eastAsia" w:ascii="宋体" w:hAnsi="宋体" w:cs="宋体"/>
                <w:b/>
                <w:bCs/>
                <w:kern w:val="0"/>
                <w:szCs w:val="21"/>
              </w:rPr>
            </w:pPr>
            <w:r>
              <w:rPr>
                <w:rFonts w:hint="eastAsia" w:ascii="宋体" w:hAnsi="宋体" w:cs="宋体"/>
                <w:b/>
                <w:bCs/>
                <w:kern w:val="0"/>
                <w:szCs w:val="21"/>
              </w:rPr>
              <w:t>估算金额</w:t>
            </w:r>
          </w:p>
        </w:tc>
        <w:tc>
          <w:tcPr>
            <w:tcW w:w="2299" w:type="pct"/>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宋体" w:hAnsi="宋体" w:cs="宋体"/>
                <w:b/>
                <w:bCs/>
                <w:kern w:val="0"/>
                <w:szCs w:val="21"/>
              </w:rPr>
            </w:pPr>
            <w:r>
              <w:rPr>
                <w:rFonts w:hint="eastAsia" w:ascii="宋体" w:hAnsi="宋体" w:cs="宋体"/>
                <w:b/>
                <w:bCs/>
                <w:kern w:val="0"/>
                <w:szCs w:val="21"/>
              </w:rPr>
              <w:t>各项费用占总费用的比例</w:t>
            </w:r>
            <w:r>
              <w:rPr>
                <w:b/>
                <w:bCs/>
                <w:kern w:val="0"/>
                <w:szCs w:val="21"/>
              </w:rPr>
              <w:t>(</w:t>
            </w:r>
            <w:r>
              <w:rPr>
                <w:rFonts w:hint="eastAsia" w:ascii="宋体" w:hAnsi="宋体" w:cs="宋体"/>
                <w:b/>
                <w:bCs/>
                <w:kern w:val="0"/>
                <w:szCs w:val="21"/>
              </w:rPr>
              <w:t>％</w:t>
            </w:r>
            <w:r>
              <w:rPr>
                <w:b/>
                <w:bCs/>
                <w:kern w:val="0"/>
                <w:szCs w:val="21"/>
              </w:rPr>
              <w:t>)</w:t>
            </w:r>
          </w:p>
        </w:tc>
      </w:tr>
      <w:tr>
        <w:tblPrEx>
          <w:tblCellMar>
            <w:top w:w="0" w:type="dxa"/>
            <w:left w:w="108" w:type="dxa"/>
            <w:bottom w:w="0" w:type="dxa"/>
            <w:right w:w="108" w:type="dxa"/>
          </w:tblCellMar>
        </w:tblPrEx>
        <w:trPr>
          <w:wBefore w:w="0" w:type="dxa"/>
          <w:wAfter w:w="0" w:type="dxa"/>
          <w:trHeight w:val="288" w:hRule="atLeast"/>
        </w:trPr>
        <w:tc>
          <w:tcPr>
            <w:tcW w:w="508"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kern w:val="0"/>
                <w:szCs w:val="21"/>
              </w:rPr>
            </w:pPr>
          </w:p>
        </w:tc>
        <w:tc>
          <w:tcPr>
            <w:tcW w:w="1348"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kern w:val="0"/>
                <w:szCs w:val="21"/>
              </w:rPr>
            </w:pPr>
          </w:p>
        </w:tc>
        <w:tc>
          <w:tcPr>
            <w:tcW w:w="844" w:type="pct"/>
            <w:tcBorders>
              <w:top w:val="nil"/>
              <w:left w:val="nil"/>
              <w:bottom w:val="single" w:color="auto" w:sz="4" w:space="0"/>
              <w:right w:val="single" w:color="auto" w:sz="4" w:space="0"/>
            </w:tcBorders>
            <w:noWrap w:val="0"/>
            <w:vAlign w:val="bottom"/>
          </w:tcPr>
          <w:p>
            <w:pPr>
              <w:widowControl/>
              <w:jc w:val="center"/>
              <w:rPr>
                <w:rFonts w:hint="eastAsia" w:ascii="宋体" w:hAnsi="宋体" w:cs="宋体"/>
                <w:b/>
                <w:bCs/>
                <w:kern w:val="0"/>
                <w:szCs w:val="21"/>
              </w:rPr>
            </w:pPr>
            <w:r>
              <w:rPr>
                <w:rFonts w:hint="eastAsia" w:ascii="宋体" w:hAnsi="宋体" w:cs="宋体"/>
                <w:b/>
                <w:bCs/>
                <w:kern w:val="0"/>
                <w:szCs w:val="21"/>
              </w:rPr>
              <w:t>万元</w:t>
            </w:r>
          </w:p>
        </w:tc>
        <w:tc>
          <w:tcPr>
            <w:tcW w:w="2299"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kern w:val="0"/>
                <w:szCs w:val="21"/>
              </w:rPr>
            </w:pPr>
          </w:p>
        </w:tc>
      </w:tr>
      <w:tr>
        <w:tblPrEx>
          <w:tblCellMar>
            <w:top w:w="0" w:type="dxa"/>
            <w:left w:w="108" w:type="dxa"/>
            <w:bottom w:w="0" w:type="dxa"/>
            <w:right w:w="108" w:type="dxa"/>
          </w:tblCellMar>
        </w:tblPrEx>
        <w:trPr>
          <w:wBefore w:w="0" w:type="dxa"/>
          <w:wAfter w:w="0" w:type="dxa"/>
          <w:trHeight w:val="336" w:hRule="atLeast"/>
        </w:trPr>
        <w:tc>
          <w:tcPr>
            <w:tcW w:w="508" w:type="pct"/>
            <w:tcBorders>
              <w:top w:val="nil"/>
              <w:left w:val="single" w:color="auto" w:sz="4" w:space="0"/>
              <w:bottom w:val="single" w:color="auto" w:sz="4" w:space="0"/>
              <w:right w:val="single" w:color="auto" w:sz="4" w:space="0"/>
            </w:tcBorders>
            <w:noWrap w:val="0"/>
            <w:vAlign w:val="bottom"/>
          </w:tcPr>
          <w:p>
            <w:pPr>
              <w:widowControl/>
              <w:jc w:val="center"/>
              <w:rPr>
                <w:rFonts w:hint="eastAsia" w:ascii="宋体" w:hAnsi="宋体" w:cs="宋体"/>
                <w:kern w:val="0"/>
                <w:szCs w:val="21"/>
              </w:rPr>
            </w:pPr>
            <w:r>
              <w:rPr>
                <w:rFonts w:hint="eastAsia" w:ascii="宋体" w:hAnsi="宋体" w:cs="宋体"/>
                <w:kern w:val="0"/>
                <w:szCs w:val="21"/>
              </w:rPr>
              <w:t>一</w:t>
            </w:r>
          </w:p>
        </w:tc>
        <w:tc>
          <w:tcPr>
            <w:tcW w:w="1348" w:type="pct"/>
            <w:tcBorders>
              <w:top w:val="nil"/>
              <w:left w:val="nil"/>
              <w:bottom w:val="single" w:color="auto" w:sz="4" w:space="0"/>
              <w:right w:val="single" w:color="auto" w:sz="4" w:space="0"/>
            </w:tcBorders>
            <w:noWrap w:val="0"/>
            <w:vAlign w:val="bottom"/>
          </w:tcPr>
          <w:p>
            <w:pPr>
              <w:widowControl/>
              <w:jc w:val="center"/>
              <w:rPr>
                <w:rFonts w:hint="eastAsia" w:ascii="宋体" w:hAnsi="宋体" w:cs="宋体"/>
                <w:kern w:val="0"/>
                <w:szCs w:val="21"/>
              </w:rPr>
            </w:pPr>
            <w:r>
              <w:rPr>
                <w:rFonts w:hint="eastAsia" w:ascii="宋体" w:hAnsi="宋体" w:cs="宋体"/>
                <w:kern w:val="0"/>
                <w:szCs w:val="21"/>
              </w:rPr>
              <w:t>工程施工费</w:t>
            </w:r>
          </w:p>
        </w:tc>
        <w:tc>
          <w:tcPr>
            <w:tcW w:w="844" w:type="pct"/>
            <w:tcBorders>
              <w:top w:val="nil"/>
              <w:left w:val="nil"/>
              <w:bottom w:val="single" w:color="auto" w:sz="4" w:space="0"/>
              <w:right w:val="single" w:color="auto" w:sz="4" w:space="0"/>
            </w:tcBorders>
            <w:noWrap w:val="0"/>
            <w:vAlign w:val="bottom"/>
          </w:tcPr>
          <w:p>
            <w:pPr>
              <w:widowControl/>
              <w:jc w:val="center"/>
              <w:rPr>
                <w:rFonts w:hint="eastAsia"/>
                <w:kern w:val="0"/>
                <w:szCs w:val="21"/>
              </w:rPr>
            </w:pPr>
            <w:r>
              <w:rPr>
                <w:kern w:val="0"/>
                <w:szCs w:val="21"/>
              </w:rPr>
              <w:t xml:space="preserve">72.49 </w:t>
            </w:r>
          </w:p>
        </w:tc>
        <w:tc>
          <w:tcPr>
            <w:tcW w:w="2299" w:type="pct"/>
            <w:tcBorders>
              <w:top w:val="nil"/>
              <w:left w:val="nil"/>
              <w:bottom w:val="single" w:color="auto" w:sz="4" w:space="0"/>
              <w:right w:val="single" w:color="auto" w:sz="4" w:space="0"/>
            </w:tcBorders>
            <w:noWrap w:val="0"/>
            <w:vAlign w:val="bottom"/>
          </w:tcPr>
          <w:p>
            <w:pPr>
              <w:widowControl/>
              <w:jc w:val="center"/>
              <w:rPr>
                <w:kern w:val="0"/>
                <w:szCs w:val="21"/>
              </w:rPr>
            </w:pPr>
            <w:r>
              <w:rPr>
                <w:kern w:val="0"/>
                <w:szCs w:val="21"/>
              </w:rPr>
              <w:t xml:space="preserve">84.99 </w:t>
            </w:r>
          </w:p>
        </w:tc>
      </w:tr>
      <w:tr>
        <w:tblPrEx>
          <w:tblCellMar>
            <w:top w:w="0" w:type="dxa"/>
            <w:left w:w="108" w:type="dxa"/>
            <w:bottom w:w="0" w:type="dxa"/>
            <w:right w:w="108" w:type="dxa"/>
          </w:tblCellMar>
        </w:tblPrEx>
        <w:trPr>
          <w:wBefore w:w="0" w:type="dxa"/>
          <w:wAfter w:w="0" w:type="dxa"/>
          <w:trHeight w:val="288" w:hRule="atLeast"/>
        </w:trPr>
        <w:tc>
          <w:tcPr>
            <w:tcW w:w="508" w:type="pct"/>
            <w:tcBorders>
              <w:top w:val="nil"/>
              <w:left w:val="single" w:color="auto" w:sz="4" w:space="0"/>
              <w:bottom w:val="single" w:color="auto" w:sz="4" w:space="0"/>
              <w:right w:val="single" w:color="auto" w:sz="4" w:space="0"/>
            </w:tcBorders>
            <w:noWrap w:val="0"/>
            <w:vAlign w:val="bottom"/>
          </w:tcPr>
          <w:p>
            <w:pPr>
              <w:widowControl/>
              <w:jc w:val="center"/>
              <w:rPr>
                <w:rFonts w:ascii="宋体" w:hAnsi="宋体" w:cs="宋体"/>
                <w:kern w:val="0"/>
                <w:szCs w:val="21"/>
              </w:rPr>
            </w:pPr>
            <w:r>
              <w:rPr>
                <w:rFonts w:hint="eastAsia" w:ascii="宋体" w:hAnsi="宋体" w:cs="宋体"/>
                <w:kern w:val="0"/>
                <w:szCs w:val="21"/>
              </w:rPr>
              <w:t>二</w:t>
            </w:r>
          </w:p>
        </w:tc>
        <w:tc>
          <w:tcPr>
            <w:tcW w:w="1348" w:type="pct"/>
            <w:tcBorders>
              <w:top w:val="nil"/>
              <w:left w:val="nil"/>
              <w:bottom w:val="single" w:color="auto" w:sz="4" w:space="0"/>
              <w:right w:val="single" w:color="auto" w:sz="4" w:space="0"/>
            </w:tcBorders>
            <w:noWrap w:val="0"/>
            <w:vAlign w:val="bottom"/>
          </w:tcPr>
          <w:p>
            <w:pPr>
              <w:widowControl/>
              <w:jc w:val="center"/>
              <w:rPr>
                <w:rFonts w:hint="eastAsia" w:ascii="宋体" w:hAnsi="宋体" w:cs="宋体"/>
                <w:kern w:val="0"/>
                <w:szCs w:val="21"/>
              </w:rPr>
            </w:pPr>
            <w:r>
              <w:rPr>
                <w:rFonts w:hint="eastAsia" w:ascii="宋体" w:hAnsi="宋体" w:cs="宋体"/>
                <w:kern w:val="0"/>
                <w:szCs w:val="21"/>
              </w:rPr>
              <w:t>其他费用</w:t>
            </w:r>
          </w:p>
        </w:tc>
        <w:tc>
          <w:tcPr>
            <w:tcW w:w="844" w:type="pct"/>
            <w:tcBorders>
              <w:top w:val="nil"/>
              <w:left w:val="nil"/>
              <w:bottom w:val="single" w:color="auto" w:sz="4" w:space="0"/>
              <w:right w:val="single" w:color="auto" w:sz="4" w:space="0"/>
            </w:tcBorders>
            <w:noWrap w:val="0"/>
            <w:vAlign w:val="bottom"/>
          </w:tcPr>
          <w:p>
            <w:pPr>
              <w:widowControl/>
              <w:jc w:val="center"/>
              <w:rPr>
                <w:rFonts w:hint="eastAsia"/>
                <w:kern w:val="0"/>
                <w:szCs w:val="21"/>
              </w:rPr>
            </w:pPr>
            <w:r>
              <w:rPr>
                <w:kern w:val="0"/>
                <w:szCs w:val="21"/>
              </w:rPr>
              <w:t xml:space="preserve">3.70 </w:t>
            </w:r>
          </w:p>
        </w:tc>
        <w:tc>
          <w:tcPr>
            <w:tcW w:w="2299" w:type="pct"/>
            <w:tcBorders>
              <w:top w:val="nil"/>
              <w:left w:val="nil"/>
              <w:bottom w:val="single" w:color="auto" w:sz="4" w:space="0"/>
              <w:right w:val="single" w:color="auto" w:sz="4" w:space="0"/>
            </w:tcBorders>
            <w:noWrap w:val="0"/>
            <w:vAlign w:val="bottom"/>
          </w:tcPr>
          <w:p>
            <w:pPr>
              <w:widowControl/>
              <w:jc w:val="center"/>
              <w:rPr>
                <w:kern w:val="0"/>
                <w:szCs w:val="21"/>
              </w:rPr>
            </w:pPr>
            <w:r>
              <w:rPr>
                <w:kern w:val="0"/>
                <w:szCs w:val="21"/>
              </w:rPr>
              <w:t xml:space="preserve">4.34 </w:t>
            </w:r>
          </w:p>
        </w:tc>
      </w:tr>
      <w:tr>
        <w:tblPrEx>
          <w:tblCellMar>
            <w:top w:w="0" w:type="dxa"/>
            <w:left w:w="108" w:type="dxa"/>
            <w:bottom w:w="0" w:type="dxa"/>
            <w:right w:w="108" w:type="dxa"/>
          </w:tblCellMar>
        </w:tblPrEx>
        <w:trPr>
          <w:wBefore w:w="0" w:type="dxa"/>
          <w:wAfter w:w="0" w:type="dxa"/>
          <w:trHeight w:val="288" w:hRule="atLeast"/>
        </w:trPr>
        <w:tc>
          <w:tcPr>
            <w:tcW w:w="508" w:type="pct"/>
            <w:tcBorders>
              <w:top w:val="nil"/>
              <w:left w:val="single" w:color="auto" w:sz="4" w:space="0"/>
              <w:bottom w:val="single" w:color="auto" w:sz="4" w:space="0"/>
              <w:right w:val="single" w:color="auto" w:sz="4" w:space="0"/>
            </w:tcBorders>
            <w:noWrap w:val="0"/>
            <w:vAlign w:val="bottom"/>
          </w:tcPr>
          <w:p>
            <w:pPr>
              <w:widowControl/>
              <w:jc w:val="center"/>
              <w:rPr>
                <w:rFonts w:ascii="宋体" w:hAnsi="宋体" w:cs="宋体"/>
                <w:kern w:val="0"/>
                <w:szCs w:val="21"/>
              </w:rPr>
            </w:pPr>
            <w:r>
              <w:rPr>
                <w:rFonts w:hint="eastAsia" w:ascii="宋体" w:hAnsi="宋体" w:cs="宋体"/>
                <w:kern w:val="0"/>
                <w:szCs w:val="21"/>
              </w:rPr>
              <w:t>三</w:t>
            </w:r>
          </w:p>
        </w:tc>
        <w:tc>
          <w:tcPr>
            <w:tcW w:w="1348" w:type="pct"/>
            <w:tcBorders>
              <w:top w:val="nil"/>
              <w:left w:val="nil"/>
              <w:bottom w:val="single" w:color="auto" w:sz="4" w:space="0"/>
              <w:right w:val="single" w:color="auto" w:sz="4" w:space="0"/>
            </w:tcBorders>
            <w:noWrap w:val="0"/>
            <w:vAlign w:val="bottom"/>
          </w:tcPr>
          <w:p>
            <w:pPr>
              <w:widowControl/>
              <w:jc w:val="center"/>
              <w:rPr>
                <w:rFonts w:hint="eastAsia" w:ascii="宋体" w:hAnsi="宋体" w:cs="宋体"/>
                <w:kern w:val="0"/>
                <w:szCs w:val="21"/>
              </w:rPr>
            </w:pPr>
            <w:r>
              <w:rPr>
                <w:rFonts w:hint="eastAsia" w:ascii="宋体" w:hAnsi="宋体" w:cs="宋体"/>
                <w:kern w:val="0"/>
                <w:szCs w:val="21"/>
              </w:rPr>
              <w:t>监测费</w:t>
            </w:r>
          </w:p>
        </w:tc>
        <w:tc>
          <w:tcPr>
            <w:tcW w:w="844" w:type="pct"/>
            <w:tcBorders>
              <w:top w:val="nil"/>
              <w:left w:val="nil"/>
              <w:bottom w:val="single" w:color="auto" w:sz="4" w:space="0"/>
              <w:right w:val="single" w:color="auto" w:sz="4" w:space="0"/>
            </w:tcBorders>
            <w:noWrap w:val="0"/>
            <w:vAlign w:val="bottom"/>
          </w:tcPr>
          <w:p>
            <w:pPr>
              <w:widowControl/>
              <w:jc w:val="center"/>
              <w:rPr>
                <w:rFonts w:hint="eastAsia"/>
                <w:kern w:val="0"/>
                <w:szCs w:val="21"/>
              </w:rPr>
            </w:pPr>
            <w:r>
              <w:rPr>
                <w:kern w:val="0"/>
                <w:szCs w:val="21"/>
              </w:rPr>
              <w:t xml:space="preserve">0.72 </w:t>
            </w:r>
          </w:p>
        </w:tc>
        <w:tc>
          <w:tcPr>
            <w:tcW w:w="2299" w:type="pct"/>
            <w:tcBorders>
              <w:top w:val="nil"/>
              <w:left w:val="nil"/>
              <w:bottom w:val="single" w:color="auto" w:sz="4" w:space="0"/>
              <w:right w:val="single" w:color="auto" w:sz="4" w:space="0"/>
            </w:tcBorders>
            <w:noWrap w:val="0"/>
            <w:vAlign w:val="bottom"/>
          </w:tcPr>
          <w:p>
            <w:pPr>
              <w:widowControl/>
              <w:jc w:val="center"/>
              <w:rPr>
                <w:kern w:val="0"/>
                <w:szCs w:val="21"/>
              </w:rPr>
            </w:pPr>
            <w:r>
              <w:rPr>
                <w:kern w:val="0"/>
                <w:szCs w:val="21"/>
              </w:rPr>
              <w:t xml:space="preserve">0.85 </w:t>
            </w:r>
          </w:p>
        </w:tc>
      </w:tr>
      <w:tr>
        <w:tblPrEx>
          <w:tblCellMar>
            <w:top w:w="0" w:type="dxa"/>
            <w:left w:w="108" w:type="dxa"/>
            <w:bottom w:w="0" w:type="dxa"/>
            <w:right w:w="108" w:type="dxa"/>
          </w:tblCellMar>
        </w:tblPrEx>
        <w:trPr>
          <w:wBefore w:w="0" w:type="dxa"/>
          <w:wAfter w:w="0" w:type="dxa"/>
          <w:trHeight w:val="336" w:hRule="atLeast"/>
        </w:trPr>
        <w:tc>
          <w:tcPr>
            <w:tcW w:w="508" w:type="pct"/>
            <w:tcBorders>
              <w:top w:val="nil"/>
              <w:left w:val="single" w:color="auto" w:sz="4" w:space="0"/>
              <w:bottom w:val="single" w:color="auto" w:sz="4" w:space="0"/>
              <w:right w:val="single" w:color="auto" w:sz="4" w:space="0"/>
            </w:tcBorders>
            <w:noWrap w:val="0"/>
            <w:vAlign w:val="bottom"/>
          </w:tcPr>
          <w:p>
            <w:pPr>
              <w:widowControl/>
              <w:jc w:val="center"/>
              <w:rPr>
                <w:rFonts w:ascii="宋体" w:hAnsi="宋体" w:cs="宋体"/>
                <w:kern w:val="0"/>
                <w:szCs w:val="21"/>
              </w:rPr>
            </w:pPr>
            <w:r>
              <w:rPr>
                <w:rFonts w:hint="eastAsia" w:ascii="宋体" w:hAnsi="宋体" w:cs="宋体"/>
                <w:kern w:val="0"/>
                <w:szCs w:val="21"/>
              </w:rPr>
              <w:t>四</w:t>
            </w:r>
          </w:p>
        </w:tc>
        <w:tc>
          <w:tcPr>
            <w:tcW w:w="1348" w:type="pct"/>
            <w:tcBorders>
              <w:top w:val="nil"/>
              <w:left w:val="nil"/>
              <w:bottom w:val="single" w:color="auto" w:sz="4" w:space="0"/>
              <w:right w:val="single" w:color="auto" w:sz="4" w:space="0"/>
            </w:tcBorders>
            <w:noWrap w:val="0"/>
            <w:vAlign w:val="bottom"/>
          </w:tcPr>
          <w:p>
            <w:pPr>
              <w:widowControl/>
              <w:jc w:val="center"/>
              <w:rPr>
                <w:rFonts w:hint="eastAsia" w:ascii="宋体" w:hAnsi="宋体" w:cs="宋体"/>
                <w:kern w:val="0"/>
                <w:szCs w:val="21"/>
              </w:rPr>
            </w:pPr>
            <w:r>
              <w:rPr>
                <w:rFonts w:hint="eastAsia" w:ascii="宋体" w:hAnsi="宋体" w:cs="宋体"/>
                <w:kern w:val="0"/>
                <w:szCs w:val="21"/>
              </w:rPr>
              <w:t>预备费</w:t>
            </w:r>
          </w:p>
        </w:tc>
        <w:tc>
          <w:tcPr>
            <w:tcW w:w="844" w:type="pct"/>
            <w:tcBorders>
              <w:top w:val="nil"/>
              <w:left w:val="nil"/>
              <w:bottom w:val="single" w:color="auto" w:sz="4" w:space="0"/>
              <w:right w:val="single" w:color="auto" w:sz="4" w:space="0"/>
            </w:tcBorders>
            <w:noWrap w:val="0"/>
            <w:vAlign w:val="bottom"/>
          </w:tcPr>
          <w:p>
            <w:pPr>
              <w:widowControl/>
              <w:jc w:val="center"/>
              <w:rPr>
                <w:rFonts w:hint="eastAsia"/>
                <w:kern w:val="0"/>
                <w:szCs w:val="21"/>
              </w:rPr>
            </w:pPr>
            <w:r>
              <w:rPr>
                <w:kern w:val="0"/>
                <w:szCs w:val="21"/>
              </w:rPr>
              <w:t xml:space="preserve">8.38 </w:t>
            </w:r>
          </w:p>
        </w:tc>
        <w:tc>
          <w:tcPr>
            <w:tcW w:w="2299" w:type="pct"/>
            <w:tcBorders>
              <w:top w:val="nil"/>
              <w:left w:val="nil"/>
              <w:bottom w:val="single" w:color="auto" w:sz="4" w:space="0"/>
              <w:right w:val="single" w:color="auto" w:sz="4" w:space="0"/>
            </w:tcBorders>
            <w:noWrap w:val="0"/>
            <w:vAlign w:val="bottom"/>
          </w:tcPr>
          <w:p>
            <w:pPr>
              <w:widowControl/>
              <w:jc w:val="center"/>
              <w:rPr>
                <w:kern w:val="0"/>
                <w:szCs w:val="21"/>
              </w:rPr>
            </w:pPr>
            <w:r>
              <w:rPr>
                <w:kern w:val="0"/>
                <w:szCs w:val="21"/>
              </w:rPr>
              <w:t xml:space="preserve">9.83 </w:t>
            </w:r>
          </w:p>
        </w:tc>
      </w:tr>
      <w:tr>
        <w:tblPrEx>
          <w:tblCellMar>
            <w:top w:w="0" w:type="dxa"/>
            <w:left w:w="108" w:type="dxa"/>
            <w:bottom w:w="0" w:type="dxa"/>
            <w:right w:w="108" w:type="dxa"/>
          </w:tblCellMar>
        </w:tblPrEx>
        <w:trPr>
          <w:wBefore w:w="0" w:type="dxa"/>
          <w:wAfter w:w="0" w:type="dxa"/>
          <w:trHeight w:val="336" w:hRule="atLeast"/>
        </w:trPr>
        <w:tc>
          <w:tcPr>
            <w:tcW w:w="1856" w:type="pct"/>
            <w:gridSpan w:val="2"/>
            <w:tcBorders>
              <w:top w:val="single" w:color="auto" w:sz="4" w:space="0"/>
              <w:left w:val="single" w:color="auto" w:sz="4" w:space="0"/>
              <w:bottom w:val="single" w:color="auto" w:sz="4" w:space="0"/>
              <w:right w:val="single" w:color="auto" w:sz="4" w:space="0"/>
            </w:tcBorders>
            <w:noWrap w:val="0"/>
            <w:vAlign w:val="bottom"/>
          </w:tcPr>
          <w:p>
            <w:pPr>
              <w:widowControl/>
              <w:jc w:val="center"/>
              <w:rPr>
                <w:rFonts w:ascii="宋体" w:hAnsi="宋体" w:cs="宋体"/>
                <w:b/>
                <w:bCs/>
                <w:kern w:val="0"/>
                <w:szCs w:val="21"/>
              </w:rPr>
            </w:pPr>
            <w:r>
              <w:rPr>
                <w:rFonts w:hint="eastAsia" w:ascii="宋体" w:hAnsi="宋体" w:cs="宋体"/>
                <w:b/>
                <w:bCs/>
                <w:kern w:val="0"/>
                <w:szCs w:val="21"/>
              </w:rPr>
              <w:t>总</w:t>
            </w:r>
            <w:r>
              <w:rPr>
                <w:b/>
                <w:bCs/>
                <w:kern w:val="0"/>
                <w:szCs w:val="21"/>
              </w:rPr>
              <w:t xml:space="preserve"> </w:t>
            </w:r>
            <w:r>
              <w:rPr>
                <w:rFonts w:hint="eastAsia" w:ascii="宋体" w:hAnsi="宋体" w:cs="宋体"/>
                <w:b/>
                <w:bCs/>
                <w:kern w:val="0"/>
                <w:szCs w:val="21"/>
              </w:rPr>
              <w:t>计</w:t>
            </w:r>
          </w:p>
        </w:tc>
        <w:tc>
          <w:tcPr>
            <w:tcW w:w="844" w:type="pct"/>
            <w:tcBorders>
              <w:top w:val="nil"/>
              <w:left w:val="nil"/>
              <w:bottom w:val="single" w:color="auto" w:sz="4" w:space="0"/>
              <w:right w:val="single" w:color="auto" w:sz="4" w:space="0"/>
            </w:tcBorders>
            <w:noWrap w:val="0"/>
            <w:vAlign w:val="bottom"/>
          </w:tcPr>
          <w:p>
            <w:pPr>
              <w:widowControl/>
              <w:jc w:val="center"/>
              <w:rPr>
                <w:rFonts w:hint="eastAsia"/>
                <w:b/>
                <w:bCs/>
                <w:kern w:val="0"/>
                <w:szCs w:val="21"/>
              </w:rPr>
            </w:pPr>
            <w:r>
              <w:rPr>
                <w:b/>
                <w:bCs/>
                <w:kern w:val="0"/>
                <w:szCs w:val="21"/>
              </w:rPr>
              <w:t xml:space="preserve">85.30 </w:t>
            </w:r>
          </w:p>
        </w:tc>
        <w:tc>
          <w:tcPr>
            <w:tcW w:w="2299" w:type="pct"/>
            <w:tcBorders>
              <w:top w:val="nil"/>
              <w:left w:val="nil"/>
              <w:bottom w:val="single" w:color="auto" w:sz="4" w:space="0"/>
              <w:right w:val="single" w:color="auto" w:sz="4" w:space="0"/>
            </w:tcBorders>
            <w:noWrap w:val="0"/>
            <w:vAlign w:val="bottom"/>
          </w:tcPr>
          <w:p>
            <w:pPr>
              <w:widowControl/>
              <w:jc w:val="center"/>
              <w:rPr>
                <w:b/>
                <w:bCs/>
                <w:kern w:val="0"/>
                <w:szCs w:val="21"/>
              </w:rPr>
            </w:pPr>
            <w:r>
              <w:rPr>
                <w:b/>
                <w:bCs/>
                <w:kern w:val="0"/>
                <w:szCs w:val="21"/>
              </w:rPr>
              <w:t>100</w:t>
            </w:r>
          </w:p>
        </w:tc>
      </w:tr>
    </w:tbl>
    <w:p>
      <w:pPr>
        <w:spacing w:after="0" w:line="360" w:lineRule="auto"/>
        <w:ind w:firstLine="482" w:firstLineChars="200"/>
        <w:rPr>
          <w:rFonts w:hint="eastAsia" w:ascii="宋体" w:hAnsi="宋体"/>
          <w:b/>
          <w:color w:val="000000"/>
          <w:sz w:val="24"/>
          <w:szCs w:val="24"/>
        </w:rPr>
      </w:pPr>
      <w:r>
        <w:rPr>
          <w:rFonts w:hint="eastAsia" w:ascii="宋体" w:hAnsi="宋体"/>
          <w:b/>
          <w:color w:val="000000"/>
          <w:sz w:val="24"/>
          <w:szCs w:val="24"/>
        </w:rPr>
        <w:t>2、</w:t>
      </w:r>
      <w:r>
        <w:rPr>
          <w:rFonts w:ascii="宋体" w:hAnsi="宋体"/>
          <w:b/>
          <w:color w:val="000000"/>
          <w:sz w:val="24"/>
          <w:szCs w:val="24"/>
        </w:rPr>
        <w:t>其他费用</w:t>
      </w:r>
    </w:p>
    <w:p>
      <w:pPr>
        <w:spacing w:after="0" w:line="360" w:lineRule="auto"/>
        <w:ind w:firstLine="480" w:firstLineChars="200"/>
        <w:rPr>
          <w:rFonts w:hint="eastAsia" w:ascii="宋体" w:hAnsi="宋体"/>
          <w:color w:val="000000"/>
          <w:sz w:val="24"/>
          <w:szCs w:val="24"/>
        </w:rPr>
      </w:pPr>
      <w:r>
        <w:rPr>
          <w:rFonts w:ascii="宋体" w:hAnsi="宋体"/>
          <w:color w:val="000000"/>
          <w:sz w:val="24"/>
          <w:szCs w:val="24"/>
        </w:rPr>
        <w:t>矿山地质环境治理其他费用由前期工作费、工程监理费、竣工验收费及业主管理费组成，其他费用估算表见表7-</w:t>
      </w:r>
      <w:r>
        <w:rPr>
          <w:rFonts w:hint="eastAsia" w:ascii="宋体" w:hAnsi="宋体"/>
          <w:color w:val="000000"/>
          <w:sz w:val="24"/>
          <w:szCs w:val="24"/>
          <w:lang w:val="en-US" w:eastAsia="zh-CN"/>
        </w:rPr>
        <w:t>4</w:t>
      </w:r>
      <w:r>
        <w:rPr>
          <w:rFonts w:ascii="宋体" w:hAnsi="宋体"/>
          <w:color w:val="000000"/>
          <w:sz w:val="24"/>
          <w:szCs w:val="24"/>
        </w:rPr>
        <w:t>。</w:t>
      </w:r>
    </w:p>
    <w:p>
      <w:pPr>
        <w:jc w:val="center"/>
        <w:rPr>
          <w:rFonts w:hint="eastAsia"/>
          <w:b/>
          <w:color w:val="000000"/>
          <w:sz w:val="24"/>
          <w:szCs w:val="24"/>
        </w:rPr>
      </w:pPr>
      <w:r>
        <w:rPr>
          <w:b/>
          <w:color w:val="000000"/>
          <w:sz w:val="24"/>
          <w:szCs w:val="24"/>
        </w:rPr>
        <w:t>表7-</w:t>
      </w:r>
      <w:r>
        <w:rPr>
          <w:rFonts w:hint="eastAsia"/>
          <w:b/>
          <w:color w:val="000000"/>
          <w:sz w:val="24"/>
          <w:szCs w:val="24"/>
          <w:lang w:val="en-US" w:eastAsia="zh-CN"/>
        </w:rPr>
        <w:t>4</w:t>
      </w:r>
      <w:r>
        <w:rPr>
          <w:b/>
          <w:color w:val="000000"/>
          <w:sz w:val="24"/>
          <w:szCs w:val="24"/>
        </w:rPr>
        <w:t xml:space="preserve"> 其他费用预算表</w:t>
      </w:r>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45"/>
        <w:gridCol w:w="1493"/>
        <w:gridCol w:w="3757"/>
        <w:gridCol w:w="636"/>
        <w:gridCol w:w="20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0" w:type="auto"/>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项目名称：矿山地质环境保护与土地复垦方案             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费用名称</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计算式</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预算</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各项费用占其他费用的比例(%)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金额</w:t>
            </w: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前期工作费</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1.96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52.90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项目勘测与设计费</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工程施工费×2.7%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1.96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52.90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工程监理费</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工程施工费×1.2%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0.87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23.51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竣工验收费</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0.87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23.51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工程验收费</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工程施工费×0.7%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0.51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13.71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项目决算编制与审计费</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工程施工费×0.5%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0.36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9.80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业主管理费</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(工程施工费+前期工作费+工程监理费+竣工验收费)×0.08%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0.00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总   计</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3.70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Cs w:val="21"/>
              </w:rPr>
            </w:pPr>
            <w:r>
              <w:rPr>
                <w:rFonts w:hint="eastAsia" w:ascii="宋体" w:hAnsi="宋体" w:eastAsia="宋体" w:cs="宋体"/>
                <w:kern w:val="0"/>
                <w:szCs w:val="21"/>
                <w:lang w:val="en-US" w:eastAsia="zh-CN"/>
              </w:rPr>
              <w:t>100.00</w:t>
            </w:r>
          </w:p>
        </w:tc>
      </w:tr>
    </w:tbl>
    <w:p>
      <w:pPr>
        <w:spacing w:after="0" w:line="360" w:lineRule="auto"/>
        <w:ind w:firstLine="482" w:firstLineChars="200"/>
        <w:rPr>
          <w:rFonts w:hint="eastAsia"/>
          <w:b/>
          <w:color w:val="000000"/>
          <w:sz w:val="24"/>
          <w:szCs w:val="24"/>
        </w:rPr>
      </w:pPr>
      <w:r>
        <w:rPr>
          <w:rFonts w:hint="eastAsia"/>
          <w:b/>
          <w:color w:val="000000"/>
          <w:sz w:val="24"/>
          <w:szCs w:val="24"/>
        </w:rPr>
        <w:t>3、</w:t>
      </w:r>
      <w:r>
        <w:rPr>
          <w:b/>
          <w:color w:val="000000"/>
          <w:sz w:val="24"/>
          <w:szCs w:val="24"/>
        </w:rPr>
        <w:t>监测</w:t>
      </w:r>
      <w:r>
        <w:rPr>
          <w:rFonts w:hint="eastAsia"/>
          <w:b/>
          <w:color w:val="000000"/>
          <w:sz w:val="24"/>
          <w:szCs w:val="24"/>
        </w:rPr>
        <w:t>管护</w:t>
      </w:r>
      <w:r>
        <w:rPr>
          <w:b/>
          <w:color w:val="000000"/>
          <w:sz w:val="24"/>
          <w:szCs w:val="24"/>
        </w:rPr>
        <w:t xml:space="preserve">费 </w:t>
      </w:r>
    </w:p>
    <w:p>
      <w:pPr>
        <w:spacing w:after="0" w:line="360" w:lineRule="auto"/>
        <w:ind w:firstLine="480" w:firstLineChars="200"/>
        <w:rPr>
          <w:b/>
          <w:color w:val="000000"/>
          <w:sz w:val="24"/>
          <w:szCs w:val="24"/>
        </w:rPr>
      </w:pPr>
      <w:r>
        <w:rPr>
          <w:color w:val="000000"/>
          <w:sz w:val="24"/>
          <w:szCs w:val="24"/>
        </w:rPr>
        <w:t>矿山地质</w:t>
      </w:r>
      <w:r>
        <w:rPr>
          <w:rFonts w:hint="eastAsia"/>
          <w:color w:val="000000"/>
          <w:sz w:val="24"/>
          <w:szCs w:val="24"/>
        </w:rPr>
        <w:t>土地复垦</w:t>
      </w:r>
      <w:r>
        <w:rPr>
          <w:color w:val="000000"/>
          <w:sz w:val="24"/>
          <w:szCs w:val="24"/>
        </w:rPr>
        <w:t>监测</w:t>
      </w:r>
      <w:r>
        <w:rPr>
          <w:rFonts w:hint="eastAsia"/>
          <w:color w:val="000000"/>
          <w:sz w:val="24"/>
          <w:szCs w:val="24"/>
        </w:rPr>
        <w:t>管护</w:t>
      </w:r>
      <w:r>
        <w:rPr>
          <w:color w:val="000000"/>
          <w:sz w:val="24"/>
          <w:szCs w:val="24"/>
        </w:rPr>
        <w:t>费</w:t>
      </w:r>
      <w:r>
        <w:rPr>
          <w:rFonts w:hint="eastAsia"/>
          <w:color w:val="000000"/>
          <w:sz w:val="24"/>
          <w:szCs w:val="24"/>
        </w:rPr>
        <w:t>是矿山对土地复垦监测产生的费用，以工程施工费作为计费基数，监测费用按不超工程施工费的10%计算，管护费按8%计算，</w:t>
      </w:r>
      <w:r>
        <w:rPr>
          <w:color w:val="000000"/>
          <w:sz w:val="24"/>
          <w:szCs w:val="24"/>
        </w:rPr>
        <w:t>费用估算见表7-</w:t>
      </w:r>
      <w:r>
        <w:rPr>
          <w:rFonts w:hint="eastAsia"/>
          <w:color w:val="000000"/>
          <w:sz w:val="24"/>
          <w:szCs w:val="24"/>
          <w:lang w:val="en-US" w:eastAsia="zh-CN"/>
        </w:rPr>
        <w:t>5</w:t>
      </w:r>
      <w:r>
        <w:rPr>
          <w:color w:val="000000"/>
          <w:sz w:val="24"/>
          <w:szCs w:val="24"/>
        </w:rPr>
        <w:t>。</w:t>
      </w:r>
    </w:p>
    <w:p>
      <w:pPr>
        <w:jc w:val="center"/>
        <w:rPr>
          <w:b/>
          <w:color w:val="000000"/>
          <w:sz w:val="24"/>
          <w:szCs w:val="24"/>
        </w:rPr>
      </w:pPr>
      <w:r>
        <w:rPr>
          <w:b/>
          <w:color w:val="000000"/>
          <w:sz w:val="24"/>
          <w:szCs w:val="24"/>
        </w:rPr>
        <w:t>表7-</w:t>
      </w:r>
      <w:r>
        <w:rPr>
          <w:rFonts w:hint="eastAsia"/>
          <w:b/>
          <w:color w:val="000000"/>
          <w:sz w:val="24"/>
          <w:szCs w:val="24"/>
          <w:lang w:val="en-US" w:eastAsia="zh-CN"/>
        </w:rPr>
        <w:t>5</w:t>
      </w:r>
      <w:r>
        <w:rPr>
          <w:rFonts w:hint="eastAsia"/>
          <w:b/>
          <w:color w:val="000000"/>
          <w:sz w:val="24"/>
          <w:szCs w:val="24"/>
        </w:rPr>
        <w:t xml:space="preserve">  </w:t>
      </w:r>
      <w:r>
        <w:rPr>
          <w:b/>
          <w:color w:val="000000"/>
          <w:sz w:val="24"/>
          <w:szCs w:val="24"/>
        </w:rPr>
        <w:t>监测费预算表</w:t>
      </w:r>
    </w:p>
    <w:tbl>
      <w:tblPr>
        <w:tblStyle w:val="2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981"/>
        <w:gridCol w:w="4877"/>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060" w:type="dxa"/>
            <w:gridSpan w:val="4"/>
            <w:noWrap w:val="0"/>
            <w:vAlign w:val="center"/>
          </w:tcPr>
          <w:p>
            <w:pPr>
              <w:spacing w:after="0" w:line="240" w:lineRule="auto"/>
              <w:jc w:val="center"/>
              <w:rPr>
                <w:rFonts w:ascii="宋体" w:hAnsi="宋体"/>
                <w:b/>
                <w:color w:val="000000"/>
                <w:sz w:val="21"/>
                <w:szCs w:val="21"/>
              </w:rPr>
            </w:pPr>
            <w:r>
              <w:rPr>
                <w:rFonts w:ascii="宋体" w:hAnsi="宋体"/>
                <w:b/>
                <w:color w:val="000000"/>
                <w:sz w:val="21"/>
                <w:szCs w:val="21"/>
              </w:rPr>
              <w:t>项目名称：</w:t>
            </w:r>
            <w:r>
              <w:rPr>
                <w:rFonts w:ascii="宋体" w:hAnsi="宋体"/>
                <w:b/>
                <w:bCs/>
                <w:color w:val="000000"/>
                <w:sz w:val="21"/>
                <w:szCs w:val="21"/>
              </w:rPr>
              <w:t>宁城县宝石山矿业有限公司龙宝山高岭土矿矿山地质环境保护与土地复垦方案</w:t>
            </w:r>
            <w:r>
              <w:rPr>
                <w:rFonts w:ascii="宋体" w:hAnsi="宋体"/>
                <w:b/>
                <w:color w:val="000000"/>
                <w:sz w:val="21"/>
                <w:szCs w:val="21"/>
              </w:rPr>
              <w:t xml:space="preserve">                    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661" w:type="dxa"/>
            <w:vMerge w:val="restart"/>
            <w:noWrap w:val="0"/>
            <w:vAlign w:val="center"/>
          </w:tcPr>
          <w:p>
            <w:pPr>
              <w:spacing w:after="0" w:line="240" w:lineRule="auto"/>
              <w:jc w:val="center"/>
              <w:rPr>
                <w:rFonts w:ascii="宋体" w:hAnsi="宋体"/>
                <w:b/>
                <w:color w:val="000000"/>
                <w:sz w:val="21"/>
                <w:szCs w:val="21"/>
              </w:rPr>
            </w:pPr>
            <w:r>
              <w:rPr>
                <w:rFonts w:ascii="宋体" w:hAnsi="宋体"/>
                <w:b/>
                <w:color w:val="000000"/>
                <w:sz w:val="21"/>
                <w:szCs w:val="21"/>
              </w:rPr>
              <w:t>序号</w:t>
            </w:r>
          </w:p>
        </w:tc>
        <w:tc>
          <w:tcPr>
            <w:tcW w:w="1981" w:type="dxa"/>
            <w:noWrap w:val="0"/>
            <w:vAlign w:val="center"/>
          </w:tcPr>
          <w:p>
            <w:pPr>
              <w:spacing w:after="0" w:line="240" w:lineRule="auto"/>
              <w:jc w:val="center"/>
              <w:rPr>
                <w:rFonts w:ascii="宋体" w:hAnsi="宋体"/>
                <w:b/>
                <w:color w:val="000000"/>
                <w:sz w:val="21"/>
                <w:szCs w:val="21"/>
              </w:rPr>
            </w:pPr>
            <w:r>
              <w:rPr>
                <w:rFonts w:ascii="宋体" w:hAnsi="宋体"/>
                <w:b/>
                <w:color w:val="000000"/>
                <w:sz w:val="21"/>
                <w:szCs w:val="21"/>
              </w:rPr>
              <w:t>费用名称</w:t>
            </w:r>
          </w:p>
        </w:tc>
        <w:tc>
          <w:tcPr>
            <w:tcW w:w="4877" w:type="dxa"/>
            <w:noWrap w:val="0"/>
            <w:vAlign w:val="center"/>
          </w:tcPr>
          <w:p>
            <w:pPr>
              <w:spacing w:after="0" w:line="240" w:lineRule="auto"/>
              <w:jc w:val="center"/>
              <w:rPr>
                <w:rFonts w:ascii="宋体" w:hAnsi="宋体"/>
                <w:b/>
                <w:color w:val="000000"/>
                <w:sz w:val="21"/>
                <w:szCs w:val="21"/>
              </w:rPr>
            </w:pPr>
            <w:r>
              <w:rPr>
                <w:rFonts w:ascii="宋体" w:hAnsi="宋体"/>
                <w:b/>
                <w:color w:val="000000"/>
                <w:sz w:val="21"/>
                <w:szCs w:val="21"/>
              </w:rPr>
              <w:t>计算式</w:t>
            </w:r>
          </w:p>
        </w:tc>
        <w:tc>
          <w:tcPr>
            <w:tcW w:w="1541" w:type="dxa"/>
            <w:noWrap w:val="0"/>
            <w:vAlign w:val="center"/>
          </w:tcPr>
          <w:p>
            <w:pPr>
              <w:spacing w:after="0" w:line="240" w:lineRule="auto"/>
              <w:jc w:val="center"/>
              <w:rPr>
                <w:rFonts w:ascii="宋体" w:hAnsi="宋体"/>
                <w:b/>
                <w:color w:val="000000"/>
                <w:sz w:val="21"/>
                <w:szCs w:val="21"/>
              </w:rPr>
            </w:pPr>
            <w:r>
              <w:rPr>
                <w:rFonts w:ascii="宋体" w:hAnsi="宋体"/>
                <w:b/>
                <w:color w:val="000000"/>
                <w:sz w:val="21"/>
                <w:szCs w:val="21"/>
              </w:rPr>
              <w:t>预算金额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61" w:type="dxa"/>
            <w:vMerge w:val="continue"/>
            <w:noWrap w:val="0"/>
            <w:vAlign w:val="center"/>
          </w:tcPr>
          <w:p>
            <w:pPr>
              <w:spacing w:after="0" w:line="240" w:lineRule="auto"/>
              <w:jc w:val="center"/>
              <w:rPr>
                <w:rFonts w:ascii="宋体" w:hAnsi="宋体"/>
                <w:b/>
                <w:color w:val="000000"/>
                <w:sz w:val="21"/>
                <w:szCs w:val="21"/>
              </w:rPr>
            </w:pPr>
          </w:p>
        </w:tc>
        <w:tc>
          <w:tcPr>
            <w:tcW w:w="1981" w:type="dxa"/>
            <w:noWrap w:val="0"/>
            <w:vAlign w:val="center"/>
          </w:tcPr>
          <w:p>
            <w:pPr>
              <w:spacing w:after="0" w:line="240" w:lineRule="auto"/>
              <w:jc w:val="center"/>
              <w:rPr>
                <w:rFonts w:ascii="宋体" w:hAnsi="宋体"/>
                <w:b/>
                <w:color w:val="000000"/>
                <w:sz w:val="21"/>
                <w:szCs w:val="21"/>
              </w:rPr>
            </w:pPr>
            <w:r>
              <w:rPr>
                <w:rFonts w:ascii="宋体" w:hAnsi="宋体"/>
                <w:b/>
                <w:color w:val="000000"/>
                <w:sz w:val="21"/>
                <w:szCs w:val="21"/>
              </w:rPr>
              <w:t>(1)</w:t>
            </w:r>
          </w:p>
        </w:tc>
        <w:tc>
          <w:tcPr>
            <w:tcW w:w="4877" w:type="dxa"/>
            <w:noWrap w:val="0"/>
            <w:vAlign w:val="center"/>
          </w:tcPr>
          <w:p>
            <w:pPr>
              <w:spacing w:after="0" w:line="240" w:lineRule="auto"/>
              <w:jc w:val="center"/>
              <w:rPr>
                <w:rFonts w:ascii="宋体" w:hAnsi="宋体"/>
                <w:b/>
                <w:color w:val="000000"/>
                <w:sz w:val="21"/>
                <w:szCs w:val="21"/>
              </w:rPr>
            </w:pPr>
            <w:r>
              <w:rPr>
                <w:rFonts w:ascii="宋体" w:hAnsi="宋体"/>
                <w:b/>
                <w:color w:val="000000"/>
                <w:sz w:val="21"/>
                <w:szCs w:val="21"/>
              </w:rPr>
              <w:t>(2)</w:t>
            </w:r>
          </w:p>
        </w:tc>
        <w:tc>
          <w:tcPr>
            <w:tcW w:w="1541" w:type="dxa"/>
            <w:noWrap w:val="0"/>
            <w:vAlign w:val="center"/>
          </w:tcPr>
          <w:p>
            <w:pPr>
              <w:spacing w:after="0" w:line="240" w:lineRule="auto"/>
              <w:jc w:val="center"/>
              <w:rPr>
                <w:rFonts w:ascii="宋体" w:hAnsi="宋体"/>
                <w:b/>
                <w:color w:val="000000"/>
                <w:sz w:val="21"/>
                <w:szCs w:val="21"/>
              </w:rPr>
            </w:pPr>
            <w:r>
              <w:rPr>
                <w:rFonts w:ascii="宋体" w:hAnsi="宋体"/>
                <w:b/>
                <w:color w:val="00000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661" w:type="dxa"/>
            <w:noWrap w:val="0"/>
            <w:vAlign w:val="center"/>
          </w:tcPr>
          <w:p>
            <w:pPr>
              <w:spacing w:after="0" w:line="240" w:lineRule="auto"/>
              <w:jc w:val="center"/>
              <w:rPr>
                <w:rFonts w:ascii="宋体" w:hAnsi="宋体"/>
                <w:color w:val="000000"/>
                <w:sz w:val="21"/>
                <w:szCs w:val="21"/>
              </w:rPr>
            </w:pPr>
            <w:r>
              <w:rPr>
                <w:rFonts w:ascii="宋体" w:hAnsi="宋体"/>
                <w:color w:val="000000"/>
                <w:sz w:val="21"/>
                <w:szCs w:val="21"/>
              </w:rPr>
              <w:t>一</w:t>
            </w:r>
          </w:p>
        </w:tc>
        <w:tc>
          <w:tcPr>
            <w:tcW w:w="1981" w:type="dxa"/>
            <w:noWrap w:val="0"/>
            <w:vAlign w:val="center"/>
          </w:tcPr>
          <w:p>
            <w:pPr>
              <w:spacing w:after="0" w:line="240" w:lineRule="auto"/>
              <w:jc w:val="center"/>
              <w:rPr>
                <w:rFonts w:ascii="宋体" w:hAnsi="宋体"/>
                <w:color w:val="000000"/>
                <w:sz w:val="21"/>
                <w:szCs w:val="21"/>
              </w:rPr>
            </w:pPr>
            <w:r>
              <w:rPr>
                <w:rFonts w:ascii="宋体" w:hAnsi="宋体"/>
                <w:color w:val="000000"/>
                <w:sz w:val="21"/>
                <w:szCs w:val="21"/>
              </w:rPr>
              <w:t>监测管护费</w:t>
            </w:r>
          </w:p>
        </w:tc>
        <w:tc>
          <w:tcPr>
            <w:tcW w:w="4877" w:type="dxa"/>
            <w:noWrap w:val="0"/>
            <w:vAlign w:val="center"/>
          </w:tcPr>
          <w:p>
            <w:pPr>
              <w:spacing w:after="0" w:line="240" w:lineRule="auto"/>
              <w:jc w:val="center"/>
              <w:rPr>
                <w:rFonts w:ascii="宋体" w:hAnsi="宋体"/>
                <w:color w:val="000000"/>
                <w:sz w:val="21"/>
                <w:szCs w:val="21"/>
              </w:rPr>
            </w:pPr>
          </w:p>
        </w:tc>
        <w:tc>
          <w:tcPr>
            <w:tcW w:w="1541" w:type="dxa"/>
            <w:noWrap w:val="0"/>
            <w:vAlign w:val="center"/>
          </w:tcPr>
          <w:p>
            <w:pPr>
              <w:spacing w:after="0" w:line="240" w:lineRule="auto"/>
              <w:jc w:val="center"/>
              <w:rPr>
                <w:rFonts w:hint="default" w:ascii="宋体" w:hAnsi="宋体" w:eastAsia="宋体"/>
                <w:b/>
                <w:color w:val="000000"/>
                <w:sz w:val="21"/>
                <w:szCs w:val="21"/>
                <w:lang w:val="en-US" w:eastAsia="zh-CN"/>
              </w:rPr>
            </w:pPr>
            <w:r>
              <w:rPr>
                <w:rFonts w:hint="eastAsia" w:ascii="宋体" w:hAnsi="宋体"/>
                <w:b/>
                <w:color w:val="000000"/>
                <w:sz w:val="21"/>
                <w:szCs w:val="21"/>
                <w:lang w:val="en-US" w:eastAsia="zh-CN"/>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661" w:type="dxa"/>
            <w:noWrap w:val="0"/>
            <w:vAlign w:val="center"/>
          </w:tcPr>
          <w:p>
            <w:pPr>
              <w:spacing w:after="0" w:line="240" w:lineRule="auto"/>
              <w:jc w:val="center"/>
              <w:rPr>
                <w:rFonts w:ascii="宋体" w:hAnsi="宋体"/>
                <w:color w:val="000000"/>
                <w:sz w:val="21"/>
                <w:szCs w:val="21"/>
              </w:rPr>
            </w:pPr>
            <w:r>
              <w:rPr>
                <w:rFonts w:ascii="宋体" w:hAnsi="宋体"/>
                <w:color w:val="000000"/>
                <w:sz w:val="21"/>
                <w:szCs w:val="21"/>
              </w:rPr>
              <w:t>1</w:t>
            </w:r>
          </w:p>
        </w:tc>
        <w:tc>
          <w:tcPr>
            <w:tcW w:w="1981" w:type="dxa"/>
            <w:noWrap w:val="0"/>
            <w:vAlign w:val="center"/>
          </w:tcPr>
          <w:p>
            <w:pPr>
              <w:spacing w:after="0" w:line="240" w:lineRule="auto"/>
              <w:jc w:val="center"/>
              <w:rPr>
                <w:rFonts w:ascii="宋体" w:hAnsi="宋体"/>
                <w:color w:val="000000"/>
                <w:sz w:val="21"/>
                <w:szCs w:val="21"/>
              </w:rPr>
            </w:pPr>
            <w:r>
              <w:rPr>
                <w:rFonts w:ascii="宋体" w:hAnsi="宋体"/>
                <w:color w:val="000000"/>
                <w:sz w:val="21"/>
                <w:szCs w:val="21"/>
              </w:rPr>
              <w:t>监测费、管护费</w:t>
            </w:r>
          </w:p>
        </w:tc>
        <w:tc>
          <w:tcPr>
            <w:tcW w:w="4877" w:type="dxa"/>
            <w:noWrap w:val="0"/>
            <w:vAlign w:val="center"/>
          </w:tcPr>
          <w:p>
            <w:pPr>
              <w:spacing w:after="0" w:line="240" w:lineRule="auto"/>
              <w:jc w:val="center"/>
              <w:rPr>
                <w:rFonts w:ascii="宋体" w:hAnsi="宋体"/>
                <w:color w:val="000000"/>
                <w:sz w:val="21"/>
                <w:szCs w:val="21"/>
              </w:rPr>
            </w:pPr>
            <w:r>
              <w:rPr>
                <w:rFonts w:ascii="宋体" w:hAnsi="宋体"/>
                <w:color w:val="000000"/>
                <w:sz w:val="21"/>
                <w:szCs w:val="21"/>
              </w:rPr>
              <w:t>工程施工费×</w:t>
            </w:r>
            <w:r>
              <w:rPr>
                <w:rFonts w:hint="eastAsia" w:ascii="宋体" w:hAnsi="宋体"/>
                <w:color w:val="000000"/>
                <w:sz w:val="21"/>
                <w:szCs w:val="21"/>
                <w:lang w:val="en-US" w:eastAsia="zh-CN"/>
              </w:rPr>
              <w:t>1</w:t>
            </w:r>
            <w:r>
              <w:rPr>
                <w:rFonts w:ascii="宋体" w:hAnsi="宋体"/>
                <w:color w:val="000000"/>
                <w:sz w:val="21"/>
                <w:szCs w:val="21"/>
              </w:rPr>
              <w:t xml:space="preserve">% </w:t>
            </w:r>
          </w:p>
        </w:tc>
        <w:tc>
          <w:tcPr>
            <w:tcW w:w="1541" w:type="dxa"/>
            <w:noWrap w:val="0"/>
            <w:vAlign w:val="center"/>
          </w:tcPr>
          <w:p>
            <w:pPr>
              <w:spacing w:after="0" w:line="240" w:lineRule="auto"/>
              <w:jc w:val="center"/>
              <w:rPr>
                <w:rFonts w:hint="default" w:ascii="宋体" w:hAnsi="宋体" w:eastAsia="宋体"/>
                <w:color w:val="000000"/>
                <w:sz w:val="21"/>
                <w:szCs w:val="21"/>
                <w:lang w:val="en-US" w:eastAsia="zh-CN"/>
              </w:rPr>
            </w:pPr>
            <w:r>
              <w:rPr>
                <w:rFonts w:hint="eastAsia" w:ascii="宋体" w:hAnsi="宋体"/>
                <w:color w:val="000000"/>
                <w:sz w:val="21"/>
                <w:szCs w:val="21"/>
                <w:lang w:val="en-US" w:eastAsia="zh-CN"/>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9060" w:type="dxa"/>
            <w:gridSpan w:val="4"/>
            <w:noWrap w:val="0"/>
            <w:vAlign w:val="center"/>
          </w:tcPr>
          <w:p>
            <w:pPr>
              <w:spacing w:after="0" w:line="240" w:lineRule="auto"/>
              <w:jc w:val="center"/>
              <w:rPr>
                <w:rFonts w:ascii="宋体" w:hAnsi="宋体"/>
                <w:color w:val="000000"/>
                <w:sz w:val="21"/>
                <w:szCs w:val="21"/>
              </w:rPr>
            </w:pPr>
            <w:r>
              <w:rPr>
                <w:rFonts w:ascii="宋体" w:hAnsi="宋体"/>
                <w:color w:val="000000"/>
                <w:sz w:val="21"/>
                <w:szCs w:val="21"/>
              </w:rPr>
              <w:t>注：监测为</w:t>
            </w:r>
            <w:r>
              <w:rPr>
                <w:rFonts w:hint="eastAsia" w:ascii="宋体" w:hAnsi="宋体"/>
                <w:color w:val="000000"/>
                <w:sz w:val="21"/>
                <w:szCs w:val="21"/>
                <w:lang w:val="en-US" w:eastAsia="zh-CN"/>
              </w:rPr>
              <w:t>1</w:t>
            </w:r>
            <w:r>
              <w:rPr>
                <w:rFonts w:ascii="宋体" w:hAnsi="宋体"/>
                <w:color w:val="000000"/>
                <w:sz w:val="21"/>
                <w:szCs w:val="21"/>
              </w:rPr>
              <w:t>年，每年</w:t>
            </w:r>
            <w:r>
              <w:rPr>
                <w:rFonts w:hint="eastAsia" w:ascii="宋体" w:hAnsi="宋体"/>
                <w:color w:val="000000"/>
                <w:sz w:val="21"/>
                <w:szCs w:val="21"/>
              </w:rPr>
              <w:t>12</w:t>
            </w:r>
            <w:r>
              <w:rPr>
                <w:rFonts w:ascii="宋体" w:hAnsi="宋体"/>
                <w:color w:val="000000"/>
                <w:sz w:val="21"/>
                <w:szCs w:val="21"/>
              </w:rPr>
              <w:t>次</w:t>
            </w:r>
          </w:p>
        </w:tc>
      </w:tr>
    </w:tbl>
    <w:p>
      <w:pPr>
        <w:spacing w:after="0" w:line="360" w:lineRule="auto"/>
        <w:ind w:firstLine="482" w:firstLineChars="200"/>
        <w:rPr>
          <w:rFonts w:hint="eastAsia" w:ascii="宋体" w:hAnsi="宋体"/>
          <w:b/>
          <w:color w:val="000000"/>
          <w:sz w:val="24"/>
          <w:szCs w:val="24"/>
        </w:rPr>
      </w:pPr>
      <w:r>
        <w:rPr>
          <w:rFonts w:hint="eastAsia" w:ascii="宋体" w:hAnsi="宋体"/>
          <w:b/>
          <w:color w:val="000000"/>
          <w:sz w:val="24"/>
          <w:szCs w:val="24"/>
        </w:rPr>
        <w:t xml:space="preserve">4、预备费 </w:t>
      </w:r>
    </w:p>
    <w:p>
      <w:pPr>
        <w:spacing w:after="0" w:line="360" w:lineRule="auto"/>
        <w:ind w:firstLine="480" w:firstLineChars="200"/>
        <w:rPr>
          <w:rFonts w:hint="eastAsia" w:ascii="宋体" w:hAnsi="宋体"/>
          <w:color w:val="000000"/>
          <w:sz w:val="24"/>
          <w:szCs w:val="24"/>
        </w:rPr>
      </w:pPr>
      <w:r>
        <w:rPr>
          <w:rFonts w:hint="eastAsia" w:ascii="宋体" w:hAnsi="宋体"/>
          <w:color w:val="000000"/>
          <w:sz w:val="24"/>
          <w:szCs w:val="24"/>
        </w:rPr>
        <w:t>矿山地质环境治理预备费包括基本预备费和风险金，费用估算参照取费标准，估算费用见表7-</w:t>
      </w:r>
      <w:r>
        <w:rPr>
          <w:rFonts w:hint="eastAsia" w:ascii="宋体" w:hAnsi="宋体"/>
          <w:color w:val="000000"/>
          <w:sz w:val="24"/>
          <w:szCs w:val="24"/>
          <w:lang w:val="en-US" w:eastAsia="zh-CN"/>
        </w:rPr>
        <w:t>6</w:t>
      </w:r>
      <w:r>
        <w:rPr>
          <w:rFonts w:hint="eastAsia" w:ascii="宋体" w:hAnsi="宋体"/>
          <w:color w:val="000000"/>
          <w:sz w:val="24"/>
          <w:szCs w:val="24"/>
        </w:rPr>
        <w:t>。</w:t>
      </w:r>
    </w:p>
    <w:p>
      <w:pPr>
        <w:spacing w:after="0" w:line="360" w:lineRule="auto"/>
        <w:jc w:val="center"/>
        <w:rPr>
          <w:rFonts w:hint="eastAsia" w:ascii="宋体" w:hAnsi="宋体"/>
          <w:b/>
          <w:color w:val="000000"/>
          <w:sz w:val="24"/>
          <w:szCs w:val="24"/>
        </w:rPr>
      </w:pPr>
      <w:r>
        <w:rPr>
          <w:rFonts w:ascii="宋体" w:hAnsi="宋体"/>
          <w:b/>
          <w:color w:val="000000"/>
          <w:sz w:val="24"/>
          <w:szCs w:val="24"/>
        </w:rPr>
        <w:t>表7-</w:t>
      </w:r>
      <w:r>
        <w:rPr>
          <w:rFonts w:hint="eastAsia" w:ascii="宋体" w:hAnsi="宋体"/>
          <w:b/>
          <w:color w:val="000000"/>
          <w:sz w:val="24"/>
          <w:szCs w:val="24"/>
          <w:lang w:val="en-US" w:eastAsia="zh-CN"/>
        </w:rPr>
        <w:t>6</w:t>
      </w:r>
      <w:r>
        <w:rPr>
          <w:rFonts w:hint="eastAsia" w:ascii="宋体" w:hAnsi="宋体"/>
          <w:b/>
          <w:color w:val="000000"/>
          <w:sz w:val="24"/>
          <w:szCs w:val="24"/>
        </w:rPr>
        <w:t xml:space="preserve"> </w:t>
      </w:r>
      <w:r>
        <w:rPr>
          <w:rFonts w:hint="eastAsia" w:ascii="宋体" w:hAnsi="宋体"/>
          <w:b/>
          <w:color w:val="000000"/>
          <w:sz w:val="24"/>
          <w:szCs w:val="24"/>
          <w:lang w:val="en-US" w:eastAsia="zh-CN"/>
        </w:rPr>
        <w:t xml:space="preserve"> </w:t>
      </w:r>
      <w:r>
        <w:rPr>
          <w:rFonts w:hint="eastAsia" w:ascii="宋体" w:hAnsi="宋体"/>
          <w:b/>
          <w:color w:val="000000"/>
          <w:sz w:val="24"/>
          <w:szCs w:val="24"/>
        </w:rPr>
        <w:t>预备费估算表</w:t>
      </w:r>
    </w:p>
    <w:tbl>
      <w:tblPr>
        <w:tblStyle w:val="24"/>
        <w:tblW w:w="5000" w:type="pct"/>
        <w:jc w:val="center"/>
        <w:tblLayout w:type="autofit"/>
        <w:tblCellMar>
          <w:top w:w="0" w:type="dxa"/>
          <w:left w:w="108" w:type="dxa"/>
          <w:bottom w:w="0" w:type="dxa"/>
          <w:right w:w="108" w:type="dxa"/>
        </w:tblCellMar>
      </w:tblPr>
      <w:tblGrid>
        <w:gridCol w:w="1283"/>
        <w:gridCol w:w="1929"/>
        <w:gridCol w:w="4186"/>
        <w:gridCol w:w="1124"/>
      </w:tblGrid>
      <w:tr>
        <w:tblPrEx>
          <w:tblCellMar>
            <w:top w:w="0" w:type="dxa"/>
            <w:left w:w="108" w:type="dxa"/>
            <w:bottom w:w="0" w:type="dxa"/>
            <w:right w:w="108" w:type="dxa"/>
          </w:tblCellMar>
        </w:tblPrEx>
        <w:trPr>
          <w:trHeight w:val="300" w:hRule="atLeast"/>
          <w:jc w:val="center"/>
        </w:trPr>
        <w:tc>
          <w:tcPr>
            <w:tcW w:w="753" w:type="pct"/>
            <w:vMerge w:val="restart"/>
            <w:tcBorders>
              <w:top w:val="single" w:color="auto" w:sz="4" w:space="0"/>
              <w:left w:val="single" w:color="auto" w:sz="4" w:space="0"/>
              <w:bottom w:val="single" w:color="000000" w:sz="4" w:space="0"/>
              <w:right w:val="single" w:color="auto" w:sz="4" w:space="0"/>
            </w:tcBorders>
            <w:noWrap/>
            <w:vAlign w:val="center"/>
          </w:tcPr>
          <w:p>
            <w:pPr>
              <w:spacing w:after="0" w:line="240" w:lineRule="auto"/>
              <w:jc w:val="center"/>
              <w:rPr>
                <w:rFonts w:ascii="宋体" w:hAnsi="宋体" w:cs="宋体"/>
                <w:color w:val="000000"/>
              </w:rPr>
            </w:pPr>
            <w:r>
              <w:rPr>
                <w:rFonts w:hint="eastAsia" w:ascii="宋体" w:hAnsi="宋体" w:cs="宋体"/>
                <w:color w:val="000000"/>
              </w:rPr>
              <w:t>预备费</w:t>
            </w:r>
          </w:p>
        </w:tc>
        <w:tc>
          <w:tcPr>
            <w:tcW w:w="1132" w:type="pct"/>
            <w:tcBorders>
              <w:top w:val="single" w:color="auto" w:sz="4" w:space="0"/>
              <w:left w:val="nil"/>
              <w:bottom w:val="single" w:color="auto" w:sz="4" w:space="0"/>
              <w:right w:val="single" w:color="auto" w:sz="4" w:space="0"/>
            </w:tcBorders>
            <w:noWrap/>
            <w:vAlign w:val="center"/>
          </w:tcPr>
          <w:p>
            <w:pPr>
              <w:spacing w:after="0" w:line="240" w:lineRule="auto"/>
              <w:jc w:val="center"/>
              <w:rPr>
                <w:rFonts w:ascii="宋体" w:hAnsi="宋体" w:cs="宋体"/>
                <w:color w:val="000000"/>
              </w:rPr>
            </w:pPr>
            <w:r>
              <w:rPr>
                <w:rFonts w:hint="eastAsia" w:ascii="宋体" w:hAnsi="宋体" w:cs="宋体"/>
                <w:color w:val="000000"/>
              </w:rPr>
              <w:t>基本预备费</w:t>
            </w:r>
          </w:p>
        </w:tc>
        <w:tc>
          <w:tcPr>
            <w:tcW w:w="2456" w:type="pct"/>
            <w:tcBorders>
              <w:top w:val="single" w:color="auto" w:sz="4" w:space="0"/>
              <w:left w:val="nil"/>
              <w:bottom w:val="single" w:color="auto" w:sz="4" w:space="0"/>
              <w:right w:val="single" w:color="auto" w:sz="4" w:space="0"/>
            </w:tcBorders>
            <w:noWrap/>
            <w:vAlign w:val="center"/>
          </w:tcPr>
          <w:p>
            <w:pPr>
              <w:spacing w:after="0" w:line="240" w:lineRule="auto"/>
              <w:jc w:val="center"/>
              <w:rPr>
                <w:rFonts w:ascii="宋体" w:hAnsi="宋体" w:cs="宋体"/>
                <w:color w:val="000000"/>
              </w:rPr>
            </w:pPr>
            <w:r>
              <w:rPr>
                <w:rFonts w:hint="eastAsia" w:ascii="宋体" w:hAnsi="宋体" w:cs="宋体"/>
                <w:color w:val="000000"/>
              </w:rPr>
              <w:t>（工程施工费+其它费）*6%</w:t>
            </w:r>
          </w:p>
        </w:tc>
        <w:tc>
          <w:tcPr>
            <w:tcW w:w="659" w:type="pct"/>
            <w:tcBorders>
              <w:top w:val="single" w:color="auto" w:sz="4" w:space="0"/>
              <w:left w:val="nil"/>
              <w:bottom w:val="single" w:color="auto" w:sz="4" w:space="0"/>
              <w:right w:val="single" w:color="auto" w:sz="4" w:space="0"/>
            </w:tcBorders>
            <w:noWrap/>
            <w:vAlign w:val="center"/>
          </w:tcPr>
          <w:p>
            <w:pPr>
              <w:spacing w:after="0" w:line="240" w:lineRule="auto"/>
              <w:jc w:val="center"/>
              <w:rPr>
                <w:rFonts w:hint="default" w:ascii="宋体" w:hAnsi="宋体" w:eastAsia="宋体" w:cs="宋体"/>
                <w:color w:val="000000"/>
                <w:lang w:val="en-US" w:eastAsia="zh-CN"/>
              </w:rPr>
            </w:pPr>
            <w:r>
              <w:rPr>
                <w:rFonts w:hint="eastAsia" w:ascii="宋体" w:hAnsi="宋体" w:cs="宋体"/>
                <w:color w:val="000000"/>
                <w:lang w:val="en-US" w:eastAsia="zh-CN"/>
              </w:rPr>
              <w:t>5.33</w:t>
            </w:r>
          </w:p>
        </w:tc>
      </w:tr>
      <w:tr>
        <w:tblPrEx>
          <w:tblCellMar>
            <w:top w:w="0" w:type="dxa"/>
            <w:left w:w="108" w:type="dxa"/>
            <w:bottom w:w="0" w:type="dxa"/>
            <w:right w:w="108" w:type="dxa"/>
          </w:tblCellMar>
        </w:tblPrEx>
        <w:trPr>
          <w:trHeight w:val="270" w:hRule="atLeast"/>
          <w:jc w:val="center"/>
        </w:trPr>
        <w:tc>
          <w:tcPr>
            <w:tcW w:w="753" w:type="pct"/>
            <w:vMerge w:val="continue"/>
            <w:tcBorders>
              <w:top w:val="single" w:color="auto" w:sz="4" w:space="0"/>
              <w:left w:val="single" w:color="auto" w:sz="4" w:space="0"/>
              <w:bottom w:val="single" w:color="000000" w:sz="4" w:space="0"/>
              <w:right w:val="single" w:color="auto" w:sz="4" w:space="0"/>
            </w:tcBorders>
            <w:noWrap w:val="0"/>
            <w:vAlign w:val="center"/>
          </w:tcPr>
          <w:p>
            <w:pPr>
              <w:spacing w:after="0" w:line="240" w:lineRule="auto"/>
              <w:jc w:val="center"/>
              <w:rPr>
                <w:rFonts w:ascii="宋体" w:hAnsi="宋体" w:cs="宋体"/>
                <w:color w:val="000000"/>
              </w:rPr>
            </w:pPr>
          </w:p>
        </w:tc>
        <w:tc>
          <w:tcPr>
            <w:tcW w:w="1132" w:type="pct"/>
            <w:tcBorders>
              <w:top w:val="nil"/>
              <w:left w:val="nil"/>
              <w:bottom w:val="single" w:color="auto" w:sz="4" w:space="0"/>
              <w:right w:val="single" w:color="auto" w:sz="4" w:space="0"/>
            </w:tcBorders>
            <w:noWrap/>
            <w:vAlign w:val="center"/>
          </w:tcPr>
          <w:p>
            <w:pPr>
              <w:spacing w:after="0" w:line="240" w:lineRule="auto"/>
              <w:jc w:val="center"/>
              <w:rPr>
                <w:rFonts w:ascii="宋体" w:hAnsi="宋体" w:cs="宋体"/>
                <w:color w:val="000000"/>
              </w:rPr>
            </w:pPr>
            <w:r>
              <w:rPr>
                <w:rFonts w:hint="eastAsia" w:ascii="宋体" w:hAnsi="宋体" w:cs="宋体"/>
                <w:color w:val="000000"/>
              </w:rPr>
              <w:t>风险金</w:t>
            </w:r>
          </w:p>
        </w:tc>
        <w:tc>
          <w:tcPr>
            <w:tcW w:w="2456" w:type="pct"/>
            <w:tcBorders>
              <w:top w:val="nil"/>
              <w:left w:val="nil"/>
              <w:bottom w:val="single" w:color="auto" w:sz="4" w:space="0"/>
              <w:right w:val="single" w:color="auto" w:sz="4" w:space="0"/>
            </w:tcBorders>
            <w:noWrap/>
            <w:vAlign w:val="center"/>
          </w:tcPr>
          <w:p>
            <w:pPr>
              <w:spacing w:after="0" w:line="240" w:lineRule="auto"/>
              <w:jc w:val="center"/>
              <w:rPr>
                <w:rFonts w:ascii="宋体" w:hAnsi="宋体" w:cs="宋体"/>
                <w:color w:val="000000"/>
              </w:rPr>
            </w:pPr>
            <w:r>
              <w:rPr>
                <w:rFonts w:hint="eastAsia" w:ascii="宋体" w:hAnsi="宋体" w:cs="宋体"/>
                <w:color w:val="000000"/>
              </w:rPr>
              <w:t>（工程施工费+其它费）*4%</w:t>
            </w:r>
          </w:p>
        </w:tc>
        <w:tc>
          <w:tcPr>
            <w:tcW w:w="659" w:type="pct"/>
            <w:tcBorders>
              <w:top w:val="nil"/>
              <w:left w:val="nil"/>
              <w:bottom w:val="single" w:color="auto" w:sz="4" w:space="0"/>
              <w:right w:val="single" w:color="auto" w:sz="4" w:space="0"/>
            </w:tcBorders>
            <w:noWrap/>
            <w:vAlign w:val="center"/>
          </w:tcPr>
          <w:p>
            <w:pPr>
              <w:spacing w:after="0" w:line="240" w:lineRule="auto"/>
              <w:jc w:val="center"/>
              <w:rPr>
                <w:rFonts w:hint="default" w:ascii="宋体" w:hAnsi="宋体" w:eastAsia="宋体" w:cs="宋体"/>
                <w:color w:val="000000"/>
                <w:lang w:val="en-US" w:eastAsia="zh-CN"/>
              </w:rPr>
            </w:pPr>
            <w:r>
              <w:rPr>
                <w:rFonts w:hint="eastAsia" w:ascii="宋体" w:hAnsi="宋体" w:cs="宋体"/>
                <w:color w:val="000000"/>
                <w:lang w:val="en-US" w:eastAsia="zh-CN"/>
              </w:rPr>
              <w:t>3.05</w:t>
            </w:r>
          </w:p>
        </w:tc>
      </w:tr>
      <w:tr>
        <w:tblPrEx>
          <w:tblCellMar>
            <w:top w:w="0" w:type="dxa"/>
            <w:left w:w="108" w:type="dxa"/>
            <w:bottom w:w="0" w:type="dxa"/>
            <w:right w:w="108" w:type="dxa"/>
          </w:tblCellMar>
        </w:tblPrEx>
        <w:trPr>
          <w:trHeight w:val="115" w:hRule="atLeast"/>
          <w:jc w:val="center"/>
        </w:trPr>
        <w:tc>
          <w:tcPr>
            <w:tcW w:w="753" w:type="pct"/>
            <w:tcBorders>
              <w:top w:val="nil"/>
              <w:left w:val="single" w:color="auto" w:sz="4" w:space="0"/>
              <w:bottom w:val="single" w:color="auto" w:sz="4" w:space="0"/>
              <w:right w:val="single" w:color="auto" w:sz="4" w:space="0"/>
            </w:tcBorders>
            <w:noWrap/>
            <w:vAlign w:val="center"/>
          </w:tcPr>
          <w:p>
            <w:pPr>
              <w:spacing w:after="0" w:line="240" w:lineRule="auto"/>
              <w:jc w:val="center"/>
              <w:rPr>
                <w:rFonts w:ascii="宋体" w:hAnsi="宋体" w:cs="宋体"/>
                <w:color w:val="000000"/>
              </w:rPr>
            </w:pPr>
            <w:r>
              <w:rPr>
                <w:rFonts w:hint="eastAsia" w:ascii="宋体" w:hAnsi="宋体" w:cs="宋体"/>
                <w:color w:val="000000"/>
              </w:rPr>
              <w:t>合计</w:t>
            </w:r>
          </w:p>
        </w:tc>
        <w:tc>
          <w:tcPr>
            <w:tcW w:w="1132" w:type="pct"/>
            <w:tcBorders>
              <w:top w:val="nil"/>
              <w:left w:val="nil"/>
              <w:bottom w:val="single" w:color="auto" w:sz="4" w:space="0"/>
              <w:right w:val="single" w:color="auto" w:sz="4" w:space="0"/>
            </w:tcBorders>
            <w:noWrap/>
            <w:vAlign w:val="center"/>
          </w:tcPr>
          <w:p>
            <w:pPr>
              <w:spacing w:after="0" w:line="240" w:lineRule="auto"/>
              <w:jc w:val="center"/>
              <w:rPr>
                <w:rFonts w:ascii="宋体" w:hAnsi="宋体" w:cs="宋体"/>
                <w:color w:val="000000"/>
              </w:rPr>
            </w:pPr>
          </w:p>
        </w:tc>
        <w:tc>
          <w:tcPr>
            <w:tcW w:w="2456" w:type="pct"/>
            <w:tcBorders>
              <w:top w:val="nil"/>
              <w:left w:val="nil"/>
              <w:bottom w:val="single" w:color="auto" w:sz="4" w:space="0"/>
              <w:right w:val="single" w:color="auto" w:sz="4" w:space="0"/>
            </w:tcBorders>
            <w:noWrap/>
            <w:vAlign w:val="center"/>
          </w:tcPr>
          <w:p>
            <w:pPr>
              <w:spacing w:after="0" w:line="240" w:lineRule="auto"/>
              <w:jc w:val="center"/>
              <w:rPr>
                <w:rFonts w:ascii="宋体" w:hAnsi="宋体" w:cs="宋体"/>
                <w:color w:val="000000"/>
              </w:rPr>
            </w:pPr>
          </w:p>
        </w:tc>
        <w:tc>
          <w:tcPr>
            <w:tcW w:w="659" w:type="pct"/>
            <w:tcBorders>
              <w:top w:val="nil"/>
              <w:left w:val="nil"/>
              <w:bottom w:val="single" w:color="auto" w:sz="4" w:space="0"/>
              <w:right w:val="single" w:color="auto" w:sz="4" w:space="0"/>
            </w:tcBorders>
            <w:noWrap/>
            <w:vAlign w:val="center"/>
          </w:tcPr>
          <w:p>
            <w:pPr>
              <w:spacing w:after="0" w:line="240" w:lineRule="auto"/>
              <w:jc w:val="center"/>
              <w:rPr>
                <w:rFonts w:hint="default" w:ascii="宋体" w:hAnsi="宋体" w:eastAsia="宋体" w:cs="宋体"/>
                <w:color w:val="000000"/>
                <w:lang w:val="en-US" w:eastAsia="zh-CN"/>
              </w:rPr>
            </w:pPr>
            <w:r>
              <w:rPr>
                <w:rFonts w:hint="eastAsia" w:ascii="宋体" w:hAnsi="宋体" w:cs="宋体"/>
                <w:color w:val="000000"/>
                <w:lang w:val="en-US" w:eastAsia="zh-CN"/>
              </w:rPr>
              <w:t>8.36</w:t>
            </w:r>
          </w:p>
        </w:tc>
      </w:tr>
    </w:tbl>
    <w:p>
      <w:pPr>
        <w:spacing w:line="360" w:lineRule="auto"/>
        <w:ind w:firstLine="472" w:firstLineChars="196"/>
        <w:rPr>
          <w:rFonts w:hint="eastAsia" w:ascii="宋体" w:hAnsi="宋体" w:eastAsia="宋体" w:cs="Times New Roman"/>
          <w:b/>
          <w:sz w:val="24"/>
        </w:rPr>
      </w:pPr>
      <w:r>
        <w:rPr>
          <w:rFonts w:hint="eastAsia" w:ascii="宋体" w:hAnsi="宋体" w:eastAsia="宋体" w:cs="Times New Roman"/>
          <w:b/>
          <w:sz w:val="24"/>
          <w:lang w:val="en-US" w:eastAsia="zh-CN"/>
        </w:rPr>
        <w:t>5</w:t>
      </w:r>
      <w:r>
        <w:rPr>
          <w:rFonts w:hint="eastAsia" w:ascii="宋体" w:hAnsi="宋体" w:eastAsia="宋体" w:cs="Times New Roman"/>
          <w:b/>
          <w:sz w:val="24"/>
        </w:rPr>
        <w:t>、工程施工费</w:t>
      </w:r>
    </w:p>
    <w:p>
      <w:pPr>
        <w:spacing w:line="360" w:lineRule="auto"/>
        <w:ind w:firstLine="470" w:firstLineChars="196"/>
        <w:rPr>
          <w:rFonts w:hint="eastAsia" w:ascii="宋体" w:hAnsi="宋体"/>
          <w:sz w:val="24"/>
        </w:rPr>
      </w:pPr>
      <w:r>
        <w:rPr>
          <w:rFonts w:hint="eastAsia" w:ascii="宋体" w:hAnsi="宋体"/>
          <w:sz w:val="24"/>
        </w:rPr>
        <w:t>工程施工费的综合单价按照本次设定的取费标准，根据《内蒙古自治区矿山地质环境治理工程预算定额标准（试行）》，工程施工费估算结果见表</w:t>
      </w:r>
      <w:r>
        <w:rPr>
          <w:rFonts w:ascii="宋体" w:hAnsi="宋体"/>
          <w:sz w:val="24"/>
        </w:rPr>
        <w:t>7</w:t>
      </w:r>
      <w:r>
        <w:rPr>
          <w:rFonts w:hint="eastAsia" w:ascii="宋体" w:hAnsi="宋体"/>
          <w:sz w:val="24"/>
        </w:rPr>
        <w:t>-</w:t>
      </w:r>
      <w:r>
        <w:rPr>
          <w:rFonts w:hint="eastAsia" w:ascii="宋体" w:hAnsi="宋体"/>
          <w:sz w:val="24"/>
          <w:lang w:val="en-US" w:eastAsia="zh-CN"/>
        </w:rPr>
        <w:t>7</w:t>
      </w:r>
      <w:r>
        <w:rPr>
          <w:rFonts w:hint="eastAsia" w:ascii="宋体" w:hAnsi="宋体"/>
          <w:sz w:val="24"/>
        </w:rPr>
        <w:t>，定额单价表见表</w:t>
      </w:r>
      <w:r>
        <w:rPr>
          <w:rFonts w:ascii="宋体" w:hAnsi="宋体"/>
          <w:sz w:val="24"/>
        </w:rPr>
        <w:t>7</w:t>
      </w:r>
      <w:r>
        <w:rPr>
          <w:rFonts w:hint="eastAsia" w:ascii="宋体" w:hAnsi="宋体"/>
          <w:sz w:val="24"/>
        </w:rPr>
        <w:t>-</w:t>
      </w:r>
      <w:r>
        <w:rPr>
          <w:rFonts w:hint="eastAsia" w:ascii="宋体" w:hAnsi="宋体"/>
          <w:sz w:val="24"/>
          <w:lang w:val="en-US" w:eastAsia="zh-CN"/>
        </w:rPr>
        <w:t>8</w:t>
      </w:r>
      <w:r>
        <w:rPr>
          <w:rFonts w:hint="eastAsia" w:ascii="宋体" w:hAnsi="宋体"/>
          <w:sz w:val="24"/>
        </w:rPr>
        <w:t>。</w:t>
      </w:r>
    </w:p>
    <w:p>
      <w:pPr>
        <w:jc w:val="center"/>
        <w:rPr>
          <w:rFonts w:ascii="宋体" w:hAnsi="宋体"/>
          <w:b/>
          <w:sz w:val="24"/>
        </w:rPr>
      </w:pPr>
      <w:r>
        <w:rPr>
          <w:rFonts w:ascii="宋体" w:hAnsi="宋体"/>
          <w:b/>
          <w:sz w:val="24"/>
        </w:rPr>
        <w:t>表7</w:t>
      </w:r>
      <w:r>
        <w:rPr>
          <w:rFonts w:hint="eastAsia" w:ascii="宋体" w:hAnsi="宋体"/>
          <w:b/>
          <w:sz w:val="24"/>
        </w:rPr>
        <w:t>-</w:t>
      </w:r>
      <w:r>
        <w:rPr>
          <w:rFonts w:hint="eastAsia" w:ascii="宋体" w:hAnsi="宋体"/>
          <w:b/>
          <w:sz w:val="24"/>
          <w:lang w:val="en-US" w:eastAsia="zh-CN"/>
        </w:rPr>
        <w:t>7</w:t>
      </w:r>
      <w:r>
        <w:rPr>
          <w:rFonts w:ascii="宋体" w:hAnsi="宋体"/>
          <w:b/>
          <w:sz w:val="24"/>
        </w:rPr>
        <w:t xml:space="preserve">  工程施工费预算表</w:t>
      </w:r>
    </w:p>
    <w:tbl>
      <w:tblPr>
        <w:tblStyle w:val="24"/>
        <w:tblW w:w="5000" w:type="pct"/>
        <w:tblInd w:w="0" w:type="dxa"/>
        <w:tblLayout w:type="autofit"/>
        <w:tblCellMar>
          <w:top w:w="0" w:type="dxa"/>
          <w:left w:w="108" w:type="dxa"/>
          <w:bottom w:w="0" w:type="dxa"/>
          <w:right w:w="108" w:type="dxa"/>
        </w:tblCellMar>
      </w:tblPr>
      <w:tblGrid>
        <w:gridCol w:w="712"/>
        <w:gridCol w:w="1183"/>
        <w:gridCol w:w="1660"/>
        <w:gridCol w:w="948"/>
        <w:gridCol w:w="712"/>
        <w:gridCol w:w="1888"/>
        <w:gridCol w:w="1419"/>
      </w:tblGrid>
      <w:tr>
        <w:tblPrEx>
          <w:tblCellMar>
            <w:top w:w="0" w:type="dxa"/>
            <w:left w:w="108" w:type="dxa"/>
            <w:bottom w:w="0" w:type="dxa"/>
            <w:right w:w="108" w:type="dxa"/>
          </w:tblCellMar>
        </w:tblPrEx>
        <w:trPr>
          <w:wBefore w:w="0" w:type="dxa"/>
          <w:wAfter w:w="0" w:type="dxa"/>
          <w:trHeight w:val="405" w:hRule="atLeast"/>
        </w:trPr>
        <w:tc>
          <w:tcPr>
            <w:tcW w:w="418" w:type="pct"/>
            <w:vMerge w:val="restart"/>
            <w:tcBorders>
              <w:top w:val="single" w:color="auto" w:sz="4" w:space="0"/>
              <w:left w:val="single" w:color="auto" w:sz="4" w:space="0"/>
              <w:bottom w:val="single" w:color="000000" w:sz="4" w:space="0"/>
              <w:right w:val="single" w:color="auto" w:sz="4" w:space="0"/>
            </w:tcBorders>
            <w:noWrap/>
            <w:vAlign w:val="center"/>
          </w:tcPr>
          <w:p>
            <w:pPr>
              <w:jc w:val="center"/>
            </w:pPr>
            <w:r>
              <w:rPr>
                <w:rFonts w:hint="eastAsia"/>
              </w:rPr>
              <w:t>序号</w:t>
            </w:r>
          </w:p>
        </w:tc>
        <w:tc>
          <w:tcPr>
            <w:tcW w:w="694" w:type="pct"/>
            <w:tcBorders>
              <w:top w:val="single" w:color="auto" w:sz="4" w:space="0"/>
              <w:left w:val="nil"/>
              <w:bottom w:val="single" w:color="auto" w:sz="4" w:space="0"/>
              <w:right w:val="single" w:color="auto" w:sz="4" w:space="0"/>
            </w:tcBorders>
            <w:noWrap w:val="0"/>
            <w:vAlign w:val="center"/>
          </w:tcPr>
          <w:p>
            <w:pPr>
              <w:jc w:val="center"/>
            </w:pPr>
            <w:r>
              <w:rPr>
                <w:rFonts w:hint="eastAsia"/>
              </w:rPr>
              <w:t>定额编号</w:t>
            </w:r>
          </w:p>
        </w:tc>
        <w:tc>
          <w:tcPr>
            <w:tcW w:w="974" w:type="pct"/>
            <w:tcBorders>
              <w:top w:val="single" w:color="auto" w:sz="4" w:space="0"/>
              <w:left w:val="nil"/>
              <w:bottom w:val="single" w:color="auto" w:sz="4" w:space="0"/>
              <w:right w:val="single" w:color="auto" w:sz="4" w:space="0"/>
            </w:tcBorders>
            <w:noWrap w:val="0"/>
            <w:vAlign w:val="center"/>
          </w:tcPr>
          <w:p>
            <w:pPr>
              <w:jc w:val="center"/>
            </w:pPr>
            <w:r>
              <w:rPr>
                <w:rFonts w:hint="eastAsia"/>
              </w:rPr>
              <w:t>单项名称</w:t>
            </w:r>
          </w:p>
        </w:tc>
        <w:tc>
          <w:tcPr>
            <w:tcW w:w="556" w:type="pct"/>
            <w:tcBorders>
              <w:top w:val="single" w:color="auto" w:sz="4" w:space="0"/>
              <w:left w:val="nil"/>
              <w:bottom w:val="single" w:color="auto" w:sz="4" w:space="0"/>
              <w:right w:val="single" w:color="auto" w:sz="4" w:space="0"/>
            </w:tcBorders>
            <w:noWrap w:val="0"/>
            <w:vAlign w:val="center"/>
          </w:tcPr>
          <w:p>
            <w:pPr>
              <w:jc w:val="center"/>
            </w:pPr>
            <w:r>
              <w:rPr>
                <w:rFonts w:hint="eastAsia"/>
              </w:rPr>
              <w:t>工程量</w:t>
            </w:r>
          </w:p>
        </w:tc>
        <w:tc>
          <w:tcPr>
            <w:tcW w:w="418" w:type="pct"/>
            <w:tcBorders>
              <w:top w:val="single" w:color="auto" w:sz="4" w:space="0"/>
              <w:left w:val="nil"/>
              <w:bottom w:val="single" w:color="auto" w:sz="4" w:space="0"/>
              <w:right w:val="single" w:color="auto" w:sz="4" w:space="0"/>
            </w:tcBorders>
            <w:noWrap w:val="0"/>
            <w:vAlign w:val="center"/>
          </w:tcPr>
          <w:p>
            <w:pPr>
              <w:jc w:val="center"/>
            </w:pPr>
            <w:r>
              <w:rPr>
                <w:rFonts w:hint="eastAsia"/>
              </w:rPr>
              <w:t>单位</w:t>
            </w:r>
          </w:p>
        </w:tc>
        <w:tc>
          <w:tcPr>
            <w:tcW w:w="1108" w:type="pct"/>
            <w:tcBorders>
              <w:top w:val="single" w:color="auto" w:sz="4" w:space="0"/>
              <w:left w:val="nil"/>
              <w:bottom w:val="single" w:color="auto" w:sz="4" w:space="0"/>
              <w:right w:val="single" w:color="auto" w:sz="4" w:space="0"/>
            </w:tcBorders>
            <w:noWrap w:val="0"/>
            <w:vAlign w:val="center"/>
          </w:tcPr>
          <w:p>
            <w:pPr>
              <w:jc w:val="center"/>
            </w:pPr>
            <w:r>
              <w:rPr>
                <w:rFonts w:hint="eastAsia"/>
              </w:rPr>
              <w:t>综合单价（元）</w:t>
            </w:r>
          </w:p>
        </w:tc>
        <w:tc>
          <w:tcPr>
            <w:tcW w:w="832" w:type="pct"/>
            <w:tcBorders>
              <w:top w:val="single" w:color="auto" w:sz="4" w:space="0"/>
              <w:left w:val="nil"/>
              <w:bottom w:val="single" w:color="auto" w:sz="4" w:space="0"/>
              <w:right w:val="single" w:color="auto" w:sz="4" w:space="0"/>
            </w:tcBorders>
            <w:noWrap w:val="0"/>
            <w:vAlign w:val="center"/>
          </w:tcPr>
          <w:p>
            <w:pPr>
              <w:jc w:val="center"/>
            </w:pPr>
            <w:r>
              <w:rPr>
                <w:rFonts w:hint="eastAsia"/>
              </w:rPr>
              <w:t>合计（元）</w:t>
            </w:r>
          </w:p>
        </w:tc>
      </w:tr>
      <w:tr>
        <w:tblPrEx>
          <w:tblCellMar>
            <w:top w:w="0" w:type="dxa"/>
            <w:left w:w="108" w:type="dxa"/>
            <w:bottom w:w="0" w:type="dxa"/>
            <w:right w:w="108" w:type="dxa"/>
          </w:tblCellMar>
        </w:tblPrEx>
        <w:trPr>
          <w:wBefore w:w="0" w:type="dxa"/>
          <w:wAfter w:w="0" w:type="dxa"/>
          <w:trHeight w:val="359" w:hRule="atLeast"/>
        </w:trPr>
        <w:tc>
          <w:tcPr>
            <w:tcW w:w="418" w:type="pct"/>
            <w:vMerge w:val="continue"/>
            <w:tcBorders>
              <w:top w:val="single" w:color="auto" w:sz="4" w:space="0"/>
              <w:left w:val="single" w:color="auto" w:sz="4" w:space="0"/>
              <w:bottom w:val="single" w:color="000000" w:sz="4" w:space="0"/>
              <w:right w:val="single" w:color="auto" w:sz="4" w:space="0"/>
            </w:tcBorders>
            <w:noWrap w:val="0"/>
            <w:vAlign w:val="center"/>
          </w:tcPr>
          <w:p>
            <w:pPr>
              <w:jc w:val="center"/>
            </w:pPr>
          </w:p>
        </w:tc>
        <w:tc>
          <w:tcPr>
            <w:tcW w:w="694" w:type="pct"/>
            <w:tcBorders>
              <w:top w:val="nil"/>
              <w:left w:val="nil"/>
              <w:bottom w:val="single" w:color="auto" w:sz="4" w:space="0"/>
              <w:right w:val="single" w:color="auto" w:sz="4" w:space="0"/>
            </w:tcBorders>
            <w:noWrap/>
            <w:vAlign w:val="center"/>
          </w:tcPr>
          <w:p>
            <w:pPr>
              <w:jc w:val="center"/>
            </w:pPr>
            <w:r>
              <w:rPr>
                <w:rFonts w:hint="eastAsia"/>
              </w:rPr>
              <w:t>(1)</w:t>
            </w:r>
          </w:p>
        </w:tc>
        <w:tc>
          <w:tcPr>
            <w:tcW w:w="974" w:type="pct"/>
            <w:tcBorders>
              <w:top w:val="nil"/>
              <w:left w:val="nil"/>
              <w:bottom w:val="single" w:color="auto" w:sz="4" w:space="0"/>
              <w:right w:val="single" w:color="auto" w:sz="4" w:space="0"/>
            </w:tcBorders>
            <w:noWrap/>
            <w:vAlign w:val="center"/>
          </w:tcPr>
          <w:p>
            <w:pPr>
              <w:jc w:val="center"/>
            </w:pPr>
            <w:r>
              <w:rPr>
                <w:rFonts w:hint="eastAsia"/>
              </w:rPr>
              <w:t>(2)</w:t>
            </w:r>
          </w:p>
        </w:tc>
        <w:tc>
          <w:tcPr>
            <w:tcW w:w="556" w:type="pct"/>
            <w:tcBorders>
              <w:top w:val="nil"/>
              <w:left w:val="nil"/>
              <w:bottom w:val="single" w:color="auto" w:sz="4" w:space="0"/>
              <w:right w:val="single" w:color="auto" w:sz="4" w:space="0"/>
            </w:tcBorders>
            <w:noWrap/>
            <w:vAlign w:val="center"/>
          </w:tcPr>
          <w:p>
            <w:pPr>
              <w:jc w:val="center"/>
            </w:pPr>
            <w:r>
              <w:rPr>
                <w:rFonts w:hint="eastAsia"/>
              </w:rPr>
              <w:t>(4)</w:t>
            </w:r>
          </w:p>
        </w:tc>
        <w:tc>
          <w:tcPr>
            <w:tcW w:w="418" w:type="pct"/>
            <w:tcBorders>
              <w:top w:val="nil"/>
              <w:left w:val="nil"/>
              <w:bottom w:val="single" w:color="auto" w:sz="4" w:space="0"/>
              <w:right w:val="single" w:color="auto" w:sz="4" w:space="0"/>
            </w:tcBorders>
            <w:noWrap/>
            <w:vAlign w:val="center"/>
          </w:tcPr>
          <w:p>
            <w:pPr>
              <w:jc w:val="center"/>
            </w:pPr>
            <w:r>
              <w:rPr>
                <w:rFonts w:hint="eastAsia"/>
              </w:rPr>
              <w:t>(3)</w:t>
            </w:r>
          </w:p>
        </w:tc>
        <w:tc>
          <w:tcPr>
            <w:tcW w:w="1108" w:type="pct"/>
            <w:tcBorders>
              <w:top w:val="nil"/>
              <w:left w:val="nil"/>
              <w:bottom w:val="single" w:color="auto" w:sz="4" w:space="0"/>
              <w:right w:val="single" w:color="auto" w:sz="4" w:space="0"/>
            </w:tcBorders>
            <w:noWrap/>
            <w:vAlign w:val="center"/>
          </w:tcPr>
          <w:p>
            <w:pPr>
              <w:jc w:val="center"/>
            </w:pPr>
            <w:r>
              <w:rPr>
                <w:rFonts w:hint="eastAsia"/>
              </w:rPr>
              <w:t>(5)</w:t>
            </w:r>
          </w:p>
        </w:tc>
        <w:tc>
          <w:tcPr>
            <w:tcW w:w="832" w:type="pct"/>
            <w:tcBorders>
              <w:top w:val="nil"/>
              <w:left w:val="nil"/>
              <w:bottom w:val="single" w:color="auto" w:sz="4" w:space="0"/>
              <w:right w:val="single" w:color="auto" w:sz="4" w:space="0"/>
            </w:tcBorders>
            <w:noWrap/>
            <w:vAlign w:val="center"/>
          </w:tcPr>
          <w:p>
            <w:pPr>
              <w:jc w:val="center"/>
            </w:pPr>
            <w:r>
              <w:rPr>
                <w:rFonts w:hint="eastAsia"/>
              </w:rPr>
              <w:t>(6)</w:t>
            </w:r>
          </w:p>
        </w:tc>
      </w:tr>
      <w:tr>
        <w:tblPrEx>
          <w:tblCellMar>
            <w:top w:w="0" w:type="dxa"/>
            <w:left w:w="108" w:type="dxa"/>
            <w:bottom w:w="0" w:type="dxa"/>
            <w:right w:w="108" w:type="dxa"/>
          </w:tblCellMar>
        </w:tblPrEx>
        <w:trPr>
          <w:wBefore w:w="0" w:type="dxa"/>
          <w:wAfter w:w="0" w:type="dxa"/>
          <w:trHeight w:val="345" w:hRule="atLeast"/>
        </w:trPr>
        <w:tc>
          <w:tcPr>
            <w:tcW w:w="418" w:type="pct"/>
            <w:tcBorders>
              <w:top w:val="nil"/>
              <w:left w:val="single" w:color="auto" w:sz="4" w:space="0"/>
              <w:bottom w:val="single" w:color="auto" w:sz="4" w:space="0"/>
              <w:right w:val="single" w:color="auto" w:sz="4" w:space="0"/>
            </w:tcBorders>
            <w:noWrap/>
            <w:vAlign w:val="center"/>
          </w:tcPr>
          <w:p>
            <w:pPr>
              <w:jc w:val="center"/>
            </w:pPr>
            <w:r>
              <w:rPr>
                <w:rFonts w:hint="eastAsia"/>
              </w:rPr>
              <w:t>一</w:t>
            </w:r>
          </w:p>
        </w:tc>
        <w:tc>
          <w:tcPr>
            <w:tcW w:w="694" w:type="pct"/>
            <w:tcBorders>
              <w:top w:val="nil"/>
              <w:left w:val="nil"/>
              <w:bottom w:val="single" w:color="auto" w:sz="4" w:space="0"/>
              <w:right w:val="single" w:color="auto" w:sz="4" w:space="0"/>
            </w:tcBorders>
            <w:noWrap/>
            <w:vAlign w:val="center"/>
          </w:tcPr>
          <w:p>
            <w:pPr>
              <w:jc w:val="center"/>
            </w:pPr>
            <w:r>
              <w:rPr>
                <w:rFonts w:hint="eastAsia"/>
              </w:rPr>
              <w:t>　</w:t>
            </w:r>
          </w:p>
        </w:tc>
        <w:tc>
          <w:tcPr>
            <w:tcW w:w="974" w:type="pct"/>
            <w:tcBorders>
              <w:top w:val="nil"/>
              <w:left w:val="nil"/>
              <w:bottom w:val="single" w:color="auto" w:sz="4" w:space="0"/>
              <w:right w:val="single" w:color="auto" w:sz="4" w:space="0"/>
            </w:tcBorders>
            <w:noWrap/>
            <w:vAlign w:val="center"/>
          </w:tcPr>
          <w:p>
            <w:pPr>
              <w:jc w:val="center"/>
            </w:pPr>
            <w:r>
              <w:rPr>
                <w:rFonts w:hint="eastAsia"/>
              </w:rPr>
              <w:t>土方工程</w:t>
            </w:r>
          </w:p>
        </w:tc>
        <w:tc>
          <w:tcPr>
            <w:tcW w:w="556" w:type="pct"/>
            <w:tcBorders>
              <w:top w:val="nil"/>
              <w:left w:val="nil"/>
              <w:bottom w:val="single" w:color="auto" w:sz="4" w:space="0"/>
              <w:right w:val="single" w:color="auto" w:sz="4" w:space="0"/>
            </w:tcBorders>
            <w:noWrap/>
            <w:vAlign w:val="center"/>
          </w:tcPr>
          <w:p>
            <w:pPr>
              <w:jc w:val="center"/>
            </w:pPr>
            <w:r>
              <w:rPr>
                <w:rFonts w:hint="eastAsia"/>
              </w:rPr>
              <w:t>　</w:t>
            </w:r>
          </w:p>
        </w:tc>
        <w:tc>
          <w:tcPr>
            <w:tcW w:w="418" w:type="pct"/>
            <w:tcBorders>
              <w:top w:val="nil"/>
              <w:left w:val="nil"/>
              <w:bottom w:val="single" w:color="auto" w:sz="4" w:space="0"/>
              <w:right w:val="single" w:color="auto" w:sz="4" w:space="0"/>
            </w:tcBorders>
            <w:noWrap/>
            <w:vAlign w:val="center"/>
          </w:tcPr>
          <w:p>
            <w:pPr>
              <w:jc w:val="center"/>
            </w:pPr>
            <w:r>
              <w:rPr>
                <w:rFonts w:hint="eastAsia"/>
              </w:rPr>
              <w:t>　</w:t>
            </w:r>
          </w:p>
        </w:tc>
        <w:tc>
          <w:tcPr>
            <w:tcW w:w="1108" w:type="pct"/>
            <w:tcBorders>
              <w:top w:val="nil"/>
              <w:left w:val="nil"/>
              <w:bottom w:val="single" w:color="auto" w:sz="4" w:space="0"/>
              <w:right w:val="single" w:color="auto" w:sz="4" w:space="0"/>
            </w:tcBorders>
            <w:noWrap/>
            <w:vAlign w:val="center"/>
          </w:tcPr>
          <w:p>
            <w:pPr>
              <w:jc w:val="center"/>
            </w:pPr>
            <w:r>
              <w:rPr>
                <w:rFonts w:hint="eastAsia"/>
              </w:rPr>
              <w:t>　</w:t>
            </w:r>
          </w:p>
        </w:tc>
        <w:tc>
          <w:tcPr>
            <w:tcW w:w="832" w:type="pct"/>
            <w:tcBorders>
              <w:top w:val="nil"/>
              <w:left w:val="nil"/>
              <w:bottom w:val="single" w:color="auto" w:sz="4" w:space="0"/>
              <w:right w:val="single" w:color="auto" w:sz="4" w:space="0"/>
            </w:tcBorders>
            <w:noWrap/>
            <w:vAlign w:val="center"/>
          </w:tcPr>
          <w:p>
            <w:pPr>
              <w:jc w:val="center"/>
            </w:pPr>
          </w:p>
        </w:tc>
      </w:tr>
      <w:tr>
        <w:tblPrEx>
          <w:tblCellMar>
            <w:top w:w="0" w:type="dxa"/>
            <w:left w:w="108" w:type="dxa"/>
            <w:bottom w:w="0" w:type="dxa"/>
            <w:right w:w="108" w:type="dxa"/>
          </w:tblCellMar>
        </w:tblPrEx>
        <w:trPr>
          <w:wBefore w:w="0" w:type="dxa"/>
          <w:wAfter w:w="0" w:type="dxa"/>
          <w:trHeight w:val="375" w:hRule="atLeast"/>
        </w:trPr>
        <w:tc>
          <w:tcPr>
            <w:tcW w:w="418" w:type="pct"/>
            <w:tcBorders>
              <w:top w:val="nil"/>
              <w:left w:val="single" w:color="auto" w:sz="4" w:space="0"/>
              <w:bottom w:val="single" w:color="auto" w:sz="4" w:space="0"/>
              <w:right w:val="single" w:color="auto" w:sz="4" w:space="0"/>
            </w:tcBorders>
            <w:noWrap/>
            <w:vAlign w:val="center"/>
          </w:tcPr>
          <w:p>
            <w:pPr>
              <w:jc w:val="center"/>
            </w:pPr>
            <w:r>
              <w:rPr>
                <w:rFonts w:hint="eastAsia"/>
              </w:rPr>
              <w:t>二</w:t>
            </w:r>
          </w:p>
        </w:tc>
        <w:tc>
          <w:tcPr>
            <w:tcW w:w="694" w:type="pct"/>
            <w:tcBorders>
              <w:top w:val="nil"/>
              <w:left w:val="nil"/>
              <w:bottom w:val="single" w:color="auto" w:sz="4" w:space="0"/>
              <w:right w:val="single" w:color="auto" w:sz="4" w:space="0"/>
            </w:tcBorders>
            <w:noWrap/>
            <w:vAlign w:val="center"/>
          </w:tcPr>
          <w:p>
            <w:pPr>
              <w:jc w:val="center"/>
            </w:pPr>
            <w:r>
              <w:rPr>
                <w:rFonts w:hint="eastAsia"/>
              </w:rPr>
              <w:t>　</w:t>
            </w:r>
          </w:p>
        </w:tc>
        <w:tc>
          <w:tcPr>
            <w:tcW w:w="974" w:type="pct"/>
            <w:tcBorders>
              <w:top w:val="nil"/>
              <w:left w:val="nil"/>
              <w:bottom w:val="single" w:color="auto" w:sz="4" w:space="0"/>
              <w:right w:val="single" w:color="auto" w:sz="4" w:space="0"/>
            </w:tcBorders>
            <w:noWrap/>
            <w:vAlign w:val="center"/>
          </w:tcPr>
          <w:p>
            <w:pPr>
              <w:jc w:val="center"/>
            </w:pPr>
            <w:r>
              <w:rPr>
                <w:rFonts w:hint="eastAsia"/>
              </w:rPr>
              <w:t>石方工程</w:t>
            </w:r>
          </w:p>
        </w:tc>
        <w:tc>
          <w:tcPr>
            <w:tcW w:w="556" w:type="pct"/>
            <w:tcBorders>
              <w:top w:val="nil"/>
              <w:left w:val="nil"/>
              <w:bottom w:val="single" w:color="auto" w:sz="4" w:space="0"/>
              <w:right w:val="single" w:color="auto" w:sz="4" w:space="0"/>
            </w:tcBorders>
            <w:noWrap w:val="0"/>
            <w:vAlign w:val="center"/>
          </w:tcPr>
          <w:p>
            <w:pPr>
              <w:jc w:val="center"/>
            </w:pPr>
            <w:r>
              <w:rPr>
                <w:rFonts w:hint="eastAsia"/>
              </w:rPr>
              <w:t>　</w:t>
            </w:r>
          </w:p>
        </w:tc>
        <w:tc>
          <w:tcPr>
            <w:tcW w:w="418" w:type="pct"/>
            <w:tcBorders>
              <w:top w:val="nil"/>
              <w:left w:val="nil"/>
              <w:bottom w:val="single" w:color="auto" w:sz="4" w:space="0"/>
              <w:right w:val="single" w:color="auto" w:sz="4" w:space="0"/>
            </w:tcBorders>
            <w:noWrap/>
            <w:vAlign w:val="center"/>
          </w:tcPr>
          <w:p>
            <w:pPr>
              <w:jc w:val="center"/>
            </w:pPr>
            <w:r>
              <w:rPr>
                <w:rFonts w:hint="eastAsia"/>
              </w:rPr>
              <w:t>　</w:t>
            </w:r>
          </w:p>
        </w:tc>
        <w:tc>
          <w:tcPr>
            <w:tcW w:w="1108" w:type="pct"/>
            <w:tcBorders>
              <w:top w:val="nil"/>
              <w:left w:val="nil"/>
              <w:bottom w:val="single" w:color="auto" w:sz="4" w:space="0"/>
              <w:right w:val="single" w:color="auto" w:sz="4" w:space="0"/>
            </w:tcBorders>
            <w:noWrap w:val="0"/>
            <w:vAlign w:val="center"/>
          </w:tcPr>
          <w:p>
            <w:pPr>
              <w:jc w:val="center"/>
            </w:pPr>
            <w:r>
              <w:rPr>
                <w:rFonts w:hint="eastAsia"/>
              </w:rPr>
              <w:t>　</w:t>
            </w:r>
          </w:p>
        </w:tc>
        <w:tc>
          <w:tcPr>
            <w:tcW w:w="832" w:type="pct"/>
            <w:tcBorders>
              <w:top w:val="nil"/>
              <w:left w:val="nil"/>
              <w:bottom w:val="single" w:color="auto" w:sz="4" w:space="0"/>
              <w:right w:val="single" w:color="auto" w:sz="4" w:space="0"/>
            </w:tcBorders>
            <w:noWrap/>
            <w:vAlign w:val="center"/>
          </w:tcPr>
          <w:p>
            <w:pPr>
              <w:jc w:val="center"/>
            </w:pPr>
            <w:r>
              <w:t>72.49</w:t>
            </w:r>
          </w:p>
        </w:tc>
      </w:tr>
      <w:tr>
        <w:tblPrEx>
          <w:tblCellMar>
            <w:top w:w="0" w:type="dxa"/>
            <w:left w:w="108" w:type="dxa"/>
            <w:bottom w:w="0" w:type="dxa"/>
            <w:right w:w="108" w:type="dxa"/>
          </w:tblCellMar>
        </w:tblPrEx>
        <w:trPr>
          <w:wBefore w:w="0" w:type="dxa"/>
          <w:wAfter w:w="0" w:type="dxa"/>
          <w:trHeight w:val="302" w:hRule="atLeast"/>
        </w:trPr>
        <w:tc>
          <w:tcPr>
            <w:tcW w:w="418" w:type="pct"/>
            <w:tcBorders>
              <w:top w:val="nil"/>
              <w:left w:val="single" w:color="auto" w:sz="4" w:space="0"/>
              <w:bottom w:val="single" w:color="auto" w:sz="4" w:space="0"/>
              <w:right w:val="single" w:color="auto" w:sz="4" w:space="0"/>
            </w:tcBorders>
            <w:noWrap/>
            <w:vAlign w:val="center"/>
          </w:tcPr>
          <w:p>
            <w:pPr>
              <w:jc w:val="center"/>
            </w:pPr>
            <w:r>
              <w:rPr>
                <w:rFonts w:hint="eastAsia"/>
              </w:rPr>
              <w:t xml:space="preserve">1 </w:t>
            </w:r>
          </w:p>
        </w:tc>
        <w:tc>
          <w:tcPr>
            <w:tcW w:w="694" w:type="pct"/>
            <w:tcBorders>
              <w:top w:val="nil"/>
              <w:left w:val="nil"/>
              <w:bottom w:val="single" w:color="auto" w:sz="4" w:space="0"/>
              <w:right w:val="single" w:color="auto" w:sz="4" w:space="0"/>
            </w:tcBorders>
            <w:noWrap/>
            <w:vAlign w:val="center"/>
          </w:tcPr>
          <w:p>
            <w:pPr>
              <w:jc w:val="center"/>
            </w:pPr>
            <w:r>
              <w:rPr>
                <w:rFonts w:hint="eastAsia"/>
              </w:rPr>
              <w:t>2024</w:t>
            </w:r>
            <w:r>
              <w:t>9</w:t>
            </w:r>
          </w:p>
        </w:tc>
        <w:tc>
          <w:tcPr>
            <w:tcW w:w="974" w:type="pct"/>
            <w:tcBorders>
              <w:top w:val="nil"/>
              <w:left w:val="nil"/>
              <w:bottom w:val="single" w:color="auto" w:sz="4" w:space="0"/>
              <w:right w:val="single" w:color="auto" w:sz="4" w:space="0"/>
            </w:tcBorders>
            <w:noWrap/>
            <w:vAlign w:val="center"/>
          </w:tcPr>
          <w:p>
            <w:pPr>
              <w:jc w:val="center"/>
            </w:pPr>
            <w:r>
              <w:rPr>
                <w:rFonts w:hint="eastAsia"/>
              </w:rPr>
              <w:t>垫坡</w:t>
            </w:r>
          </w:p>
        </w:tc>
        <w:tc>
          <w:tcPr>
            <w:tcW w:w="556" w:type="pct"/>
            <w:tcBorders>
              <w:top w:val="nil"/>
              <w:left w:val="nil"/>
              <w:bottom w:val="single" w:color="auto" w:sz="4" w:space="0"/>
              <w:right w:val="single" w:color="auto" w:sz="4" w:space="0"/>
            </w:tcBorders>
            <w:noWrap w:val="0"/>
            <w:vAlign w:val="center"/>
          </w:tcPr>
          <w:p>
            <w:pPr>
              <w:jc w:val="center"/>
            </w:pPr>
            <w:r>
              <w:t>7310</w:t>
            </w:r>
          </w:p>
        </w:tc>
        <w:tc>
          <w:tcPr>
            <w:tcW w:w="418" w:type="pct"/>
            <w:tcBorders>
              <w:top w:val="nil"/>
              <w:left w:val="nil"/>
              <w:bottom w:val="single" w:color="auto" w:sz="4" w:space="0"/>
              <w:right w:val="single" w:color="auto" w:sz="4" w:space="0"/>
            </w:tcBorders>
            <w:noWrap w:val="0"/>
            <w:vAlign w:val="center"/>
          </w:tcPr>
          <w:p>
            <w:pPr>
              <w:jc w:val="center"/>
            </w:pPr>
            <w:r>
              <w:rPr>
                <w:rFonts w:hint="eastAsia"/>
              </w:rPr>
              <w:t>m</w:t>
            </w:r>
            <w:r>
              <w:rPr>
                <w:rFonts w:hint="eastAsia"/>
                <w:vertAlign w:val="superscript"/>
              </w:rPr>
              <w:t>3</w:t>
            </w:r>
          </w:p>
        </w:tc>
        <w:tc>
          <w:tcPr>
            <w:tcW w:w="1108" w:type="pct"/>
            <w:tcBorders>
              <w:top w:val="nil"/>
              <w:left w:val="nil"/>
              <w:bottom w:val="single" w:color="auto" w:sz="4" w:space="0"/>
              <w:right w:val="single" w:color="auto" w:sz="4" w:space="0"/>
            </w:tcBorders>
            <w:noWrap w:val="0"/>
            <w:vAlign w:val="center"/>
          </w:tcPr>
          <w:p>
            <w:pPr>
              <w:jc w:val="center"/>
            </w:pPr>
            <w:r>
              <w:t>17.7048</w:t>
            </w:r>
          </w:p>
        </w:tc>
        <w:tc>
          <w:tcPr>
            <w:tcW w:w="832" w:type="pct"/>
            <w:tcBorders>
              <w:top w:val="nil"/>
              <w:left w:val="nil"/>
              <w:bottom w:val="single" w:color="auto" w:sz="4" w:space="0"/>
              <w:right w:val="single" w:color="auto" w:sz="4" w:space="0"/>
            </w:tcBorders>
            <w:noWrap w:val="0"/>
            <w:vAlign w:val="center"/>
          </w:tcPr>
          <w:p>
            <w:pPr>
              <w:jc w:val="center"/>
            </w:pPr>
            <w:r>
              <w:t>12.94</w:t>
            </w:r>
          </w:p>
        </w:tc>
      </w:tr>
      <w:tr>
        <w:tblPrEx>
          <w:tblCellMar>
            <w:top w:w="0" w:type="dxa"/>
            <w:left w:w="108" w:type="dxa"/>
            <w:bottom w:w="0" w:type="dxa"/>
            <w:right w:w="108" w:type="dxa"/>
          </w:tblCellMar>
        </w:tblPrEx>
        <w:trPr>
          <w:wBefore w:w="0" w:type="dxa"/>
          <w:wAfter w:w="0" w:type="dxa"/>
          <w:trHeight w:val="257" w:hRule="atLeast"/>
        </w:trPr>
        <w:tc>
          <w:tcPr>
            <w:tcW w:w="418" w:type="pct"/>
            <w:tcBorders>
              <w:top w:val="nil"/>
              <w:left w:val="single" w:color="auto" w:sz="4" w:space="0"/>
              <w:bottom w:val="single" w:color="auto" w:sz="4" w:space="0"/>
              <w:right w:val="single" w:color="auto" w:sz="4" w:space="0"/>
            </w:tcBorders>
            <w:noWrap/>
            <w:vAlign w:val="center"/>
          </w:tcPr>
          <w:p>
            <w:pPr>
              <w:jc w:val="center"/>
              <w:rPr>
                <w:rFonts w:hint="eastAsia"/>
              </w:rPr>
            </w:pPr>
            <w:r>
              <w:rPr>
                <w:rFonts w:hint="eastAsia"/>
              </w:rPr>
              <w:t>2</w:t>
            </w:r>
          </w:p>
        </w:tc>
        <w:tc>
          <w:tcPr>
            <w:tcW w:w="694" w:type="pct"/>
            <w:tcBorders>
              <w:top w:val="nil"/>
              <w:left w:val="nil"/>
              <w:bottom w:val="single" w:color="auto" w:sz="4" w:space="0"/>
              <w:right w:val="single" w:color="auto" w:sz="4" w:space="0"/>
            </w:tcBorders>
            <w:noWrap/>
            <w:vAlign w:val="center"/>
          </w:tcPr>
          <w:p>
            <w:pPr>
              <w:jc w:val="center"/>
              <w:rPr>
                <w:rFonts w:hint="eastAsia"/>
              </w:rPr>
            </w:pPr>
            <w:r>
              <w:rPr>
                <w:rFonts w:hint="eastAsia"/>
              </w:rPr>
              <w:t>2024</w:t>
            </w:r>
            <w:r>
              <w:t>9</w:t>
            </w:r>
          </w:p>
        </w:tc>
        <w:tc>
          <w:tcPr>
            <w:tcW w:w="974" w:type="pct"/>
            <w:tcBorders>
              <w:top w:val="nil"/>
              <w:left w:val="nil"/>
              <w:bottom w:val="single" w:color="auto" w:sz="4" w:space="0"/>
              <w:right w:val="single" w:color="auto" w:sz="4" w:space="0"/>
            </w:tcBorders>
            <w:noWrap/>
            <w:vAlign w:val="center"/>
          </w:tcPr>
          <w:p>
            <w:pPr>
              <w:jc w:val="center"/>
              <w:rPr>
                <w:rFonts w:hint="eastAsia"/>
              </w:rPr>
            </w:pPr>
            <w:r>
              <w:rPr>
                <w:rFonts w:hint="eastAsia"/>
              </w:rPr>
              <w:t>回填</w:t>
            </w:r>
          </w:p>
        </w:tc>
        <w:tc>
          <w:tcPr>
            <w:tcW w:w="556" w:type="pct"/>
            <w:tcBorders>
              <w:top w:val="nil"/>
              <w:left w:val="nil"/>
              <w:bottom w:val="single" w:color="auto" w:sz="4" w:space="0"/>
              <w:right w:val="single" w:color="auto" w:sz="4" w:space="0"/>
            </w:tcBorders>
            <w:noWrap w:val="0"/>
            <w:vAlign w:val="center"/>
          </w:tcPr>
          <w:p>
            <w:pPr>
              <w:jc w:val="center"/>
              <w:rPr>
                <w:rFonts w:hint="eastAsia"/>
              </w:rPr>
            </w:pPr>
            <w:r>
              <w:rPr>
                <w:rFonts w:hint="eastAsia"/>
              </w:rPr>
              <w:t>3</w:t>
            </w:r>
            <w:r>
              <w:t>3636</w:t>
            </w:r>
          </w:p>
        </w:tc>
        <w:tc>
          <w:tcPr>
            <w:tcW w:w="418" w:type="pct"/>
            <w:tcBorders>
              <w:top w:val="nil"/>
              <w:left w:val="nil"/>
              <w:bottom w:val="single" w:color="auto" w:sz="4" w:space="0"/>
              <w:right w:val="single" w:color="auto" w:sz="4" w:space="0"/>
            </w:tcBorders>
            <w:noWrap w:val="0"/>
            <w:vAlign w:val="center"/>
          </w:tcPr>
          <w:p>
            <w:pPr>
              <w:jc w:val="center"/>
              <w:rPr>
                <w:rFonts w:hint="eastAsia"/>
              </w:rPr>
            </w:pPr>
            <w:r>
              <w:rPr>
                <w:rFonts w:hint="eastAsia"/>
              </w:rPr>
              <w:t>m</w:t>
            </w:r>
            <w:r>
              <w:rPr>
                <w:rFonts w:hint="eastAsia"/>
                <w:vertAlign w:val="superscript"/>
              </w:rPr>
              <w:t>3</w:t>
            </w:r>
          </w:p>
        </w:tc>
        <w:tc>
          <w:tcPr>
            <w:tcW w:w="1108" w:type="pct"/>
            <w:tcBorders>
              <w:top w:val="nil"/>
              <w:left w:val="nil"/>
              <w:bottom w:val="single" w:color="auto" w:sz="4" w:space="0"/>
              <w:right w:val="single" w:color="auto" w:sz="4" w:space="0"/>
            </w:tcBorders>
            <w:noWrap w:val="0"/>
            <w:vAlign w:val="center"/>
          </w:tcPr>
          <w:p>
            <w:pPr>
              <w:jc w:val="center"/>
              <w:rPr>
                <w:rFonts w:hint="eastAsia"/>
              </w:rPr>
            </w:pPr>
            <w:r>
              <w:rPr>
                <w:rFonts w:hint="eastAsia"/>
              </w:rPr>
              <w:t>1</w:t>
            </w:r>
            <w:r>
              <w:t>7.7048</w:t>
            </w:r>
          </w:p>
        </w:tc>
        <w:tc>
          <w:tcPr>
            <w:tcW w:w="832" w:type="pct"/>
            <w:tcBorders>
              <w:top w:val="nil"/>
              <w:left w:val="nil"/>
              <w:bottom w:val="single" w:color="auto" w:sz="4" w:space="0"/>
              <w:right w:val="single" w:color="auto" w:sz="4" w:space="0"/>
            </w:tcBorders>
            <w:noWrap w:val="0"/>
            <w:vAlign w:val="center"/>
          </w:tcPr>
          <w:p>
            <w:pPr>
              <w:jc w:val="center"/>
              <w:rPr>
                <w:rFonts w:hint="eastAsia"/>
              </w:rPr>
            </w:pPr>
            <w:r>
              <w:rPr>
                <w:rFonts w:hint="eastAsia"/>
              </w:rPr>
              <w:t>5</w:t>
            </w:r>
            <w:r>
              <w:t>9.55</w:t>
            </w:r>
          </w:p>
        </w:tc>
      </w:tr>
      <w:tr>
        <w:tblPrEx>
          <w:tblCellMar>
            <w:top w:w="0" w:type="dxa"/>
            <w:left w:w="108" w:type="dxa"/>
            <w:bottom w:w="0" w:type="dxa"/>
            <w:right w:w="108" w:type="dxa"/>
          </w:tblCellMar>
        </w:tblPrEx>
        <w:trPr>
          <w:wBefore w:w="0" w:type="dxa"/>
          <w:wAfter w:w="0" w:type="dxa"/>
          <w:trHeight w:val="270" w:hRule="atLeast"/>
        </w:trPr>
        <w:tc>
          <w:tcPr>
            <w:tcW w:w="418" w:type="pct"/>
            <w:tcBorders>
              <w:top w:val="nil"/>
              <w:left w:val="single" w:color="auto" w:sz="4" w:space="0"/>
              <w:bottom w:val="single" w:color="auto" w:sz="4" w:space="0"/>
              <w:right w:val="single" w:color="auto" w:sz="4" w:space="0"/>
            </w:tcBorders>
            <w:noWrap/>
            <w:vAlign w:val="center"/>
          </w:tcPr>
          <w:p>
            <w:pPr>
              <w:jc w:val="center"/>
            </w:pPr>
            <w:r>
              <w:rPr>
                <w:rFonts w:hint="eastAsia"/>
              </w:rPr>
              <w:t>三</w:t>
            </w:r>
          </w:p>
        </w:tc>
        <w:tc>
          <w:tcPr>
            <w:tcW w:w="694" w:type="pct"/>
            <w:tcBorders>
              <w:top w:val="nil"/>
              <w:left w:val="nil"/>
              <w:bottom w:val="single" w:color="auto" w:sz="4" w:space="0"/>
              <w:right w:val="single" w:color="auto" w:sz="4" w:space="0"/>
            </w:tcBorders>
            <w:noWrap/>
            <w:vAlign w:val="center"/>
          </w:tcPr>
          <w:p>
            <w:pPr>
              <w:jc w:val="center"/>
            </w:pPr>
            <w:r>
              <w:rPr>
                <w:rFonts w:hint="eastAsia"/>
              </w:rPr>
              <w:t>　</w:t>
            </w:r>
          </w:p>
        </w:tc>
        <w:tc>
          <w:tcPr>
            <w:tcW w:w="974" w:type="pct"/>
            <w:tcBorders>
              <w:top w:val="nil"/>
              <w:left w:val="nil"/>
              <w:bottom w:val="single" w:color="auto" w:sz="4" w:space="0"/>
              <w:right w:val="single" w:color="auto" w:sz="4" w:space="0"/>
            </w:tcBorders>
            <w:noWrap/>
            <w:vAlign w:val="center"/>
          </w:tcPr>
          <w:p>
            <w:pPr>
              <w:jc w:val="center"/>
            </w:pPr>
            <w:r>
              <w:rPr>
                <w:rFonts w:hint="eastAsia"/>
              </w:rPr>
              <w:t>砌体工程</w:t>
            </w:r>
          </w:p>
        </w:tc>
        <w:tc>
          <w:tcPr>
            <w:tcW w:w="556" w:type="pct"/>
            <w:tcBorders>
              <w:top w:val="nil"/>
              <w:left w:val="nil"/>
              <w:bottom w:val="single" w:color="auto" w:sz="4" w:space="0"/>
              <w:right w:val="single" w:color="auto" w:sz="4" w:space="0"/>
            </w:tcBorders>
            <w:noWrap/>
            <w:vAlign w:val="center"/>
          </w:tcPr>
          <w:p>
            <w:pPr>
              <w:jc w:val="center"/>
            </w:pPr>
            <w:r>
              <w:rPr>
                <w:rFonts w:hint="eastAsia"/>
              </w:rPr>
              <w:t>　</w:t>
            </w:r>
          </w:p>
        </w:tc>
        <w:tc>
          <w:tcPr>
            <w:tcW w:w="418" w:type="pct"/>
            <w:tcBorders>
              <w:top w:val="nil"/>
              <w:left w:val="nil"/>
              <w:bottom w:val="single" w:color="auto" w:sz="4" w:space="0"/>
              <w:right w:val="single" w:color="auto" w:sz="4" w:space="0"/>
            </w:tcBorders>
            <w:noWrap/>
            <w:vAlign w:val="center"/>
          </w:tcPr>
          <w:p>
            <w:pPr>
              <w:jc w:val="center"/>
            </w:pPr>
            <w:r>
              <w:rPr>
                <w:rFonts w:hint="eastAsia"/>
              </w:rPr>
              <w:t>　</w:t>
            </w:r>
          </w:p>
        </w:tc>
        <w:tc>
          <w:tcPr>
            <w:tcW w:w="1108" w:type="pct"/>
            <w:tcBorders>
              <w:top w:val="nil"/>
              <w:left w:val="nil"/>
              <w:bottom w:val="single" w:color="auto" w:sz="4" w:space="0"/>
              <w:right w:val="single" w:color="auto" w:sz="4" w:space="0"/>
            </w:tcBorders>
            <w:noWrap w:val="0"/>
            <w:vAlign w:val="center"/>
          </w:tcPr>
          <w:p>
            <w:pPr>
              <w:jc w:val="center"/>
            </w:pPr>
            <w:r>
              <w:rPr>
                <w:rFonts w:hint="eastAsia"/>
              </w:rPr>
              <w:t>　</w:t>
            </w:r>
          </w:p>
        </w:tc>
        <w:tc>
          <w:tcPr>
            <w:tcW w:w="832" w:type="pct"/>
            <w:tcBorders>
              <w:top w:val="nil"/>
              <w:left w:val="nil"/>
              <w:bottom w:val="single" w:color="auto" w:sz="4" w:space="0"/>
              <w:right w:val="single" w:color="auto" w:sz="4" w:space="0"/>
            </w:tcBorders>
            <w:noWrap/>
            <w:vAlign w:val="center"/>
          </w:tcPr>
          <w:p>
            <w:pPr>
              <w:jc w:val="center"/>
            </w:pPr>
            <w:r>
              <w:rPr>
                <w:rFonts w:hint="eastAsia"/>
              </w:rPr>
              <w:t xml:space="preserve">0.00 </w:t>
            </w:r>
          </w:p>
        </w:tc>
      </w:tr>
      <w:tr>
        <w:tblPrEx>
          <w:tblCellMar>
            <w:top w:w="0" w:type="dxa"/>
            <w:left w:w="108" w:type="dxa"/>
            <w:bottom w:w="0" w:type="dxa"/>
            <w:right w:w="108" w:type="dxa"/>
          </w:tblCellMar>
        </w:tblPrEx>
        <w:trPr>
          <w:wBefore w:w="0" w:type="dxa"/>
          <w:wAfter w:w="0" w:type="dxa"/>
          <w:trHeight w:val="285" w:hRule="atLeast"/>
        </w:trPr>
        <w:tc>
          <w:tcPr>
            <w:tcW w:w="418" w:type="pct"/>
            <w:tcBorders>
              <w:top w:val="nil"/>
              <w:left w:val="single" w:color="auto" w:sz="4" w:space="0"/>
              <w:bottom w:val="single" w:color="auto" w:sz="4" w:space="0"/>
              <w:right w:val="single" w:color="auto" w:sz="4" w:space="0"/>
            </w:tcBorders>
            <w:noWrap/>
            <w:vAlign w:val="center"/>
          </w:tcPr>
          <w:p>
            <w:pPr>
              <w:jc w:val="center"/>
            </w:pPr>
            <w:r>
              <w:rPr>
                <w:rFonts w:hint="eastAsia"/>
              </w:rPr>
              <w:t>四</w:t>
            </w:r>
          </w:p>
        </w:tc>
        <w:tc>
          <w:tcPr>
            <w:tcW w:w="694" w:type="pct"/>
            <w:tcBorders>
              <w:top w:val="nil"/>
              <w:left w:val="nil"/>
              <w:bottom w:val="single" w:color="auto" w:sz="4" w:space="0"/>
              <w:right w:val="single" w:color="auto" w:sz="4" w:space="0"/>
            </w:tcBorders>
            <w:noWrap/>
            <w:vAlign w:val="center"/>
          </w:tcPr>
          <w:p>
            <w:pPr>
              <w:jc w:val="center"/>
            </w:pPr>
            <w:r>
              <w:rPr>
                <w:rFonts w:hint="eastAsia"/>
              </w:rPr>
              <w:t>　</w:t>
            </w:r>
          </w:p>
        </w:tc>
        <w:tc>
          <w:tcPr>
            <w:tcW w:w="974" w:type="pct"/>
            <w:tcBorders>
              <w:top w:val="nil"/>
              <w:left w:val="nil"/>
              <w:bottom w:val="single" w:color="auto" w:sz="4" w:space="0"/>
              <w:right w:val="single" w:color="auto" w:sz="4" w:space="0"/>
            </w:tcBorders>
            <w:noWrap/>
            <w:vAlign w:val="center"/>
          </w:tcPr>
          <w:p>
            <w:pPr>
              <w:jc w:val="center"/>
            </w:pPr>
            <w:r>
              <w:rPr>
                <w:rFonts w:hint="eastAsia"/>
              </w:rPr>
              <w:t>混凝土工程</w:t>
            </w:r>
          </w:p>
        </w:tc>
        <w:tc>
          <w:tcPr>
            <w:tcW w:w="556" w:type="pct"/>
            <w:tcBorders>
              <w:top w:val="single" w:color="auto" w:sz="4" w:space="0"/>
              <w:left w:val="nil"/>
              <w:bottom w:val="single" w:color="auto" w:sz="4" w:space="0"/>
              <w:right w:val="single" w:color="auto" w:sz="4" w:space="0"/>
            </w:tcBorders>
            <w:noWrap/>
            <w:vAlign w:val="center"/>
          </w:tcPr>
          <w:p>
            <w:pPr>
              <w:jc w:val="center"/>
            </w:pPr>
            <w:r>
              <w:rPr>
                <w:rFonts w:hint="eastAsia"/>
              </w:rPr>
              <w:t>　</w:t>
            </w:r>
          </w:p>
        </w:tc>
        <w:tc>
          <w:tcPr>
            <w:tcW w:w="418" w:type="pct"/>
            <w:tcBorders>
              <w:top w:val="nil"/>
              <w:left w:val="nil"/>
              <w:bottom w:val="single" w:color="auto" w:sz="4" w:space="0"/>
              <w:right w:val="single" w:color="auto" w:sz="4" w:space="0"/>
            </w:tcBorders>
            <w:noWrap w:val="0"/>
            <w:vAlign w:val="center"/>
          </w:tcPr>
          <w:p>
            <w:pPr>
              <w:jc w:val="center"/>
            </w:pPr>
            <w:r>
              <w:rPr>
                <w:rFonts w:hint="eastAsia"/>
              </w:rPr>
              <w:t>　</w:t>
            </w:r>
          </w:p>
        </w:tc>
        <w:tc>
          <w:tcPr>
            <w:tcW w:w="1108" w:type="pct"/>
            <w:tcBorders>
              <w:top w:val="nil"/>
              <w:left w:val="nil"/>
              <w:bottom w:val="single" w:color="auto" w:sz="4" w:space="0"/>
              <w:right w:val="single" w:color="auto" w:sz="4" w:space="0"/>
            </w:tcBorders>
            <w:noWrap w:val="0"/>
            <w:vAlign w:val="center"/>
          </w:tcPr>
          <w:p>
            <w:pPr>
              <w:jc w:val="center"/>
            </w:pPr>
            <w:r>
              <w:rPr>
                <w:rFonts w:hint="eastAsia"/>
              </w:rPr>
              <w:t>　</w:t>
            </w:r>
          </w:p>
        </w:tc>
        <w:tc>
          <w:tcPr>
            <w:tcW w:w="832" w:type="pct"/>
            <w:tcBorders>
              <w:top w:val="nil"/>
              <w:left w:val="nil"/>
              <w:bottom w:val="single" w:color="auto" w:sz="4" w:space="0"/>
              <w:right w:val="single" w:color="auto" w:sz="4" w:space="0"/>
            </w:tcBorders>
            <w:noWrap/>
            <w:vAlign w:val="center"/>
          </w:tcPr>
          <w:p>
            <w:pPr>
              <w:jc w:val="center"/>
            </w:pPr>
            <w:r>
              <w:rPr>
                <w:rFonts w:hint="eastAsia"/>
              </w:rPr>
              <w:t xml:space="preserve">0.00 </w:t>
            </w:r>
          </w:p>
        </w:tc>
      </w:tr>
      <w:tr>
        <w:tblPrEx>
          <w:tblCellMar>
            <w:top w:w="0" w:type="dxa"/>
            <w:left w:w="108" w:type="dxa"/>
            <w:bottom w:w="0" w:type="dxa"/>
            <w:right w:w="108" w:type="dxa"/>
          </w:tblCellMar>
        </w:tblPrEx>
        <w:trPr>
          <w:wBefore w:w="0" w:type="dxa"/>
          <w:wAfter w:w="0" w:type="dxa"/>
          <w:trHeight w:val="270" w:hRule="atLeast"/>
        </w:trPr>
        <w:tc>
          <w:tcPr>
            <w:tcW w:w="418" w:type="pct"/>
            <w:tcBorders>
              <w:top w:val="nil"/>
              <w:left w:val="single" w:color="auto" w:sz="4" w:space="0"/>
              <w:bottom w:val="single" w:color="auto" w:sz="4" w:space="0"/>
              <w:right w:val="single" w:color="auto" w:sz="4" w:space="0"/>
            </w:tcBorders>
            <w:noWrap/>
            <w:vAlign w:val="center"/>
          </w:tcPr>
          <w:p>
            <w:pPr>
              <w:jc w:val="center"/>
            </w:pPr>
            <w:r>
              <w:rPr>
                <w:rFonts w:hint="eastAsia"/>
              </w:rPr>
              <w:t>五</w:t>
            </w:r>
          </w:p>
        </w:tc>
        <w:tc>
          <w:tcPr>
            <w:tcW w:w="694" w:type="pct"/>
            <w:tcBorders>
              <w:top w:val="nil"/>
              <w:left w:val="nil"/>
              <w:bottom w:val="single" w:color="auto" w:sz="4" w:space="0"/>
              <w:right w:val="single" w:color="auto" w:sz="4" w:space="0"/>
            </w:tcBorders>
            <w:noWrap/>
            <w:vAlign w:val="center"/>
          </w:tcPr>
          <w:p>
            <w:pPr>
              <w:jc w:val="center"/>
            </w:pPr>
            <w:r>
              <w:rPr>
                <w:rFonts w:hint="eastAsia"/>
              </w:rPr>
              <w:t>　</w:t>
            </w:r>
          </w:p>
        </w:tc>
        <w:tc>
          <w:tcPr>
            <w:tcW w:w="974" w:type="pct"/>
            <w:tcBorders>
              <w:top w:val="nil"/>
              <w:left w:val="nil"/>
              <w:bottom w:val="single" w:color="auto" w:sz="4" w:space="0"/>
              <w:right w:val="single" w:color="auto" w:sz="4" w:space="0"/>
            </w:tcBorders>
            <w:noWrap/>
            <w:vAlign w:val="center"/>
          </w:tcPr>
          <w:p>
            <w:pPr>
              <w:jc w:val="center"/>
            </w:pPr>
            <w:r>
              <w:rPr>
                <w:rFonts w:hint="eastAsia"/>
              </w:rPr>
              <w:t>植被恢复工程</w:t>
            </w:r>
          </w:p>
        </w:tc>
        <w:tc>
          <w:tcPr>
            <w:tcW w:w="556" w:type="pct"/>
            <w:tcBorders>
              <w:top w:val="nil"/>
              <w:left w:val="nil"/>
              <w:bottom w:val="single" w:color="auto" w:sz="4" w:space="0"/>
              <w:right w:val="single" w:color="auto" w:sz="4" w:space="0"/>
            </w:tcBorders>
            <w:noWrap/>
            <w:vAlign w:val="center"/>
          </w:tcPr>
          <w:p>
            <w:pPr>
              <w:jc w:val="center"/>
            </w:pPr>
            <w:r>
              <w:rPr>
                <w:rFonts w:hint="eastAsia"/>
              </w:rPr>
              <w:t>　</w:t>
            </w:r>
          </w:p>
        </w:tc>
        <w:tc>
          <w:tcPr>
            <w:tcW w:w="418" w:type="pct"/>
            <w:tcBorders>
              <w:top w:val="nil"/>
              <w:left w:val="nil"/>
              <w:bottom w:val="single" w:color="auto" w:sz="4" w:space="0"/>
              <w:right w:val="single" w:color="auto" w:sz="4" w:space="0"/>
            </w:tcBorders>
            <w:noWrap/>
            <w:vAlign w:val="center"/>
          </w:tcPr>
          <w:p>
            <w:pPr>
              <w:jc w:val="center"/>
            </w:pPr>
            <w:r>
              <w:rPr>
                <w:rFonts w:hint="eastAsia"/>
              </w:rPr>
              <w:t>　</w:t>
            </w:r>
          </w:p>
        </w:tc>
        <w:tc>
          <w:tcPr>
            <w:tcW w:w="1108" w:type="pct"/>
            <w:tcBorders>
              <w:top w:val="nil"/>
              <w:left w:val="nil"/>
              <w:bottom w:val="single" w:color="auto" w:sz="4" w:space="0"/>
              <w:right w:val="single" w:color="auto" w:sz="4" w:space="0"/>
            </w:tcBorders>
            <w:noWrap w:val="0"/>
            <w:vAlign w:val="center"/>
          </w:tcPr>
          <w:p>
            <w:pPr>
              <w:jc w:val="center"/>
            </w:pPr>
            <w:r>
              <w:rPr>
                <w:rFonts w:hint="eastAsia"/>
              </w:rPr>
              <w:t>　</w:t>
            </w:r>
          </w:p>
        </w:tc>
        <w:tc>
          <w:tcPr>
            <w:tcW w:w="832" w:type="pct"/>
            <w:tcBorders>
              <w:top w:val="nil"/>
              <w:left w:val="nil"/>
              <w:bottom w:val="single" w:color="auto" w:sz="4" w:space="0"/>
              <w:right w:val="single" w:color="auto" w:sz="4" w:space="0"/>
            </w:tcBorders>
            <w:noWrap/>
            <w:vAlign w:val="center"/>
          </w:tcPr>
          <w:p>
            <w:pPr>
              <w:jc w:val="center"/>
            </w:pPr>
            <w:r>
              <w:rPr>
                <w:rFonts w:hint="eastAsia"/>
              </w:rPr>
              <w:t>0.</w:t>
            </w:r>
            <w:r>
              <w:t>00</w:t>
            </w:r>
          </w:p>
        </w:tc>
      </w:tr>
      <w:tr>
        <w:tblPrEx>
          <w:tblCellMar>
            <w:top w:w="0" w:type="dxa"/>
            <w:left w:w="108" w:type="dxa"/>
            <w:bottom w:w="0" w:type="dxa"/>
            <w:right w:w="108" w:type="dxa"/>
          </w:tblCellMar>
        </w:tblPrEx>
        <w:trPr>
          <w:wBefore w:w="0" w:type="dxa"/>
          <w:wAfter w:w="0" w:type="dxa"/>
          <w:trHeight w:val="285" w:hRule="atLeast"/>
        </w:trPr>
        <w:tc>
          <w:tcPr>
            <w:tcW w:w="418" w:type="pct"/>
            <w:tcBorders>
              <w:top w:val="nil"/>
              <w:left w:val="single" w:color="auto" w:sz="4" w:space="0"/>
              <w:bottom w:val="single" w:color="auto" w:sz="4" w:space="0"/>
              <w:right w:val="single" w:color="auto" w:sz="4" w:space="0"/>
            </w:tcBorders>
            <w:noWrap/>
            <w:vAlign w:val="center"/>
          </w:tcPr>
          <w:p>
            <w:pPr>
              <w:jc w:val="center"/>
            </w:pPr>
            <w:r>
              <w:rPr>
                <w:rFonts w:hint="eastAsia"/>
              </w:rPr>
              <w:t>六</w:t>
            </w:r>
          </w:p>
        </w:tc>
        <w:tc>
          <w:tcPr>
            <w:tcW w:w="694" w:type="pct"/>
            <w:tcBorders>
              <w:top w:val="nil"/>
              <w:left w:val="nil"/>
              <w:bottom w:val="single" w:color="auto" w:sz="4" w:space="0"/>
              <w:right w:val="single" w:color="auto" w:sz="4" w:space="0"/>
            </w:tcBorders>
            <w:noWrap/>
            <w:vAlign w:val="center"/>
          </w:tcPr>
          <w:p>
            <w:pPr>
              <w:jc w:val="center"/>
            </w:pPr>
            <w:r>
              <w:rPr>
                <w:rFonts w:hint="eastAsia"/>
              </w:rPr>
              <w:t>　</w:t>
            </w:r>
          </w:p>
        </w:tc>
        <w:tc>
          <w:tcPr>
            <w:tcW w:w="974" w:type="pct"/>
            <w:tcBorders>
              <w:top w:val="nil"/>
              <w:left w:val="nil"/>
              <w:bottom w:val="single" w:color="auto" w:sz="4" w:space="0"/>
              <w:right w:val="single" w:color="auto" w:sz="4" w:space="0"/>
            </w:tcBorders>
            <w:noWrap/>
            <w:vAlign w:val="center"/>
          </w:tcPr>
          <w:p>
            <w:pPr>
              <w:jc w:val="center"/>
            </w:pPr>
            <w:r>
              <w:rPr>
                <w:rFonts w:hint="eastAsia"/>
              </w:rPr>
              <w:t>辅助工程</w:t>
            </w:r>
          </w:p>
        </w:tc>
        <w:tc>
          <w:tcPr>
            <w:tcW w:w="556" w:type="pct"/>
            <w:tcBorders>
              <w:top w:val="single" w:color="auto" w:sz="4" w:space="0"/>
              <w:left w:val="nil"/>
              <w:bottom w:val="single" w:color="auto" w:sz="4" w:space="0"/>
              <w:right w:val="single" w:color="auto" w:sz="4" w:space="0"/>
            </w:tcBorders>
            <w:noWrap/>
            <w:vAlign w:val="center"/>
          </w:tcPr>
          <w:p>
            <w:pPr>
              <w:jc w:val="center"/>
            </w:pPr>
            <w:r>
              <w:rPr>
                <w:rFonts w:hint="eastAsia"/>
              </w:rPr>
              <w:t>　</w:t>
            </w:r>
          </w:p>
        </w:tc>
        <w:tc>
          <w:tcPr>
            <w:tcW w:w="418" w:type="pct"/>
            <w:tcBorders>
              <w:top w:val="nil"/>
              <w:left w:val="nil"/>
              <w:bottom w:val="single" w:color="auto" w:sz="4" w:space="0"/>
              <w:right w:val="single" w:color="auto" w:sz="4" w:space="0"/>
            </w:tcBorders>
            <w:noWrap/>
            <w:vAlign w:val="center"/>
          </w:tcPr>
          <w:p>
            <w:pPr>
              <w:jc w:val="center"/>
            </w:pPr>
            <w:r>
              <w:rPr>
                <w:rFonts w:hint="eastAsia"/>
              </w:rPr>
              <w:t>　</w:t>
            </w:r>
          </w:p>
        </w:tc>
        <w:tc>
          <w:tcPr>
            <w:tcW w:w="1108" w:type="pct"/>
            <w:tcBorders>
              <w:top w:val="nil"/>
              <w:left w:val="nil"/>
              <w:bottom w:val="single" w:color="auto" w:sz="4" w:space="0"/>
              <w:right w:val="single" w:color="auto" w:sz="4" w:space="0"/>
            </w:tcBorders>
            <w:noWrap w:val="0"/>
            <w:vAlign w:val="center"/>
          </w:tcPr>
          <w:p>
            <w:pPr>
              <w:jc w:val="center"/>
            </w:pPr>
            <w:r>
              <w:rPr>
                <w:rFonts w:hint="eastAsia"/>
              </w:rPr>
              <w:t>　</w:t>
            </w:r>
          </w:p>
        </w:tc>
        <w:tc>
          <w:tcPr>
            <w:tcW w:w="832" w:type="pct"/>
            <w:tcBorders>
              <w:top w:val="nil"/>
              <w:left w:val="nil"/>
              <w:bottom w:val="single" w:color="auto" w:sz="4" w:space="0"/>
              <w:right w:val="single" w:color="auto" w:sz="4" w:space="0"/>
            </w:tcBorders>
            <w:noWrap w:val="0"/>
            <w:vAlign w:val="center"/>
          </w:tcPr>
          <w:p>
            <w:pPr>
              <w:jc w:val="center"/>
            </w:pPr>
            <w:r>
              <w:rPr>
                <w:rFonts w:hint="eastAsia"/>
              </w:rPr>
              <w:t xml:space="preserve">0.00 </w:t>
            </w:r>
          </w:p>
        </w:tc>
      </w:tr>
      <w:tr>
        <w:tblPrEx>
          <w:tblCellMar>
            <w:top w:w="0" w:type="dxa"/>
            <w:left w:w="108" w:type="dxa"/>
            <w:bottom w:w="0" w:type="dxa"/>
            <w:right w:w="108" w:type="dxa"/>
          </w:tblCellMar>
        </w:tblPrEx>
        <w:trPr>
          <w:wBefore w:w="0" w:type="dxa"/>
          <w:wAfter w:w="0" w:type="dxa"/>
          <w:trHeight w:val="285" w:hRule="atLeast"/>
        </w:trPr>
        <w:tc>
          <w:tcPr>
            <w:tcW w:w="2086" w:type="pct"/>
            <w:gridSpan w:val="3"/>
            <w:tcBorders>
              <w:top w:val="single" w:color="auto" w:sz="4" w:space="0"/>
              <w:left w:val="single" w:color="auto" w:sz="4" w:space="0"/>
              <w:bottom w:val="single" w:color="auto" w:sz="4" w:space="0"/>
              <w:right w:val="single" w:color="000000" w:sz="4" w:space="0"/>
            </w:tcBorders>
            <w:noWrap/>
            <w:vAlign w:val="center"/>
          </w:tcPr>
          <w:p>
            <w:pPr>
              <w:jc w:val="center"/>
            </w:pPr>
            <w:r>
              <w:rPr>
                <w:rFonts w:hint="eastAsia"/>
              </w:rPr>
              <w:t>总  计</w:t>
            </w:r>
          </w:p>
        </w:tc>
        <w:tc>
          <w:tcPr>
            <w:tcW w:w="556" w:type="pct"/>
            <w:tcBorders>
              <w:top w:val="nil"/>
              <w:left w:val="nil"/>
              <w:bottom w:val="single" w:color="auto" w:sz="4" w:space="0"/>
              <w:right w:val="single" w:color="auto" w:sz="4" w:space="0"/>
            </w:tcBorders>
            <w:noWrap/>
            <w:vAlign w:val="center"/>
          </w:tcPr>
          <w:p>
            <w:pPr>
              <w:jc w:val="center"/>
            </w:pPr>
            <w:r>
              <w:t>　</w:t>
            </w:r>
          </w:p>
        </w:tc>
        <w:tc>
          <w:tcPr>
            <w:tcW w:w="418" w:type="pct"/>
            <w:tcBorders>
              <w:top w:val="nil"/>
              <w:left w:val="nil"/>
              <w:bottom w:val="single" w:color="auto" w:sz="4" w:space="0"/>
              <w:right w:val="single" w:color="auto" w:sz="4" w:space="0"/>
            </w:tcBorders>
            <w:noWrap/>
            <w:vAlign w:val="center"/>
          </w:tcPr>
          <w:p>
            <w:pPr>
              <w:jc w:val="center"/>
            </w:pPr>
            <w:r>
              <w:t>　</w:t>
            </w:r>
          </w:p>
        </w:tc>
        <w:tc>
          <w:tcPr>
            <w:tcW w:w="1108" w:type="pct"/>
            <w:tcBorders>
              <w:top w:val="nil"/>
              <w:left w:val="nil"/>
              <w:bottom w:val="single" w:color="auto" w:sz="4" w:space="0"/>
              <w:right w:val="single" w:color="auto" w:sz="4" w:space="0"/>
            </w:tcBorders>
            <w:noWrap/>
            <w:vAlign w:val="center"/>
          </w:tcPr>
          <w:p>
            <w:pPr>
              <w:jc w:val="center"/>
            </w:pPr>
            <w:r>
              <w:t>　</w:t>
            </w:r>
          </w:p>
        </w:tc>
        <w:tc>
          <w:tcPr>
            <w:tcW w:w="832" w:type="pct"/>
            <w:tcBorders>
              <w:top w:val="nil"/>
              <w:left w:val="nil"/>
              <w:bottom w:val="single" w:color="auto" w:sz="4" w:space="0"/>
              <w:right w:val="single" w:color="auto" w:sz="4" w:space="0"/>
            </w:tcBorders>
            <w:noWrap w:val="0"/>
            <w:vAlign w:val="center"/>
          </w:tcPr>
          <w:p>
            <w:pPr>
              <w:jc w:val="center"/>
            </w:pPr>
            <w:r>
              <w:t>72.49</w:t>
            </w:r>
          </w:p>
        </w:tc>
      </w:tr>
    </w:tbl>
    <w:p>
      <w:pPr>
        <w:jc w:val="center"/>
        <w:rPr>
          <w:rFonts w:ascii="宋体" w:hAnsi="宋体"/>
          <w:b/>
          <w:sz w:val="24"/>
        </w:rPr>
      </w:pPr>
    </w:p>
    <w:p>
      <w:pPr>
        <w:spacing w:line="360" w:lineRule="auto"/>
        <w:ind w:firstLine="472" w:firstLineChars="196"/>
        <w:rPr>
          <w:rFonts w:hint="eastAsia" w:ascii="宋体" w:hAnsi="宋体" w:eastAsia="宋体" w:cs="Times New Roman"/>
          <w:b/>
          <w:sz w:val="24"/>
        </w:rPr>
      </w:pPr>
      <w:r>
        <w:rPr>
          <w:rFonts w:hint="eastAsia" w:ascii="宋体" w:hAnsi="宋体" w:eastAsia="宋体" w:cs="Times New Roman"/>
          <w:b/>
          <w:sz w:val="24"/>
          <w:lang w:val="en-US" w:eastAsia="zh-CN"/>
        </w:rPr>
        <w:t>6、单价定</w:t>
      </w:r>
      <w:r>
        <w:rPr>
          <w:rFonts w:hint="eastAsia" w:ascii="宋体" w:hAnsi="宋体" w:eastAsia="宋体" w:cs="Times New Roman"/>
          <w:b/>
          <w:sz w:val="24"/>
        </w:rPr>
        <w:t>额</w:t>
      </w:r>
    </w:p>
    <w:p>
      <w:pPr>
        <w:spacing w:line="360" w:lineRule="auto"/>
        <w:ind w:firstLine="470" w:firstLineChars="196"/>
        <w:rPr>
          <w:rFonts w:hint="eastAsia" w:ascii="宋体" w:hAnsi="宋体" w:eastAsia="宋体" w:cs="Times New Roman"/>
          <w:sz w:val="24"/>
        </w:rPr>
      </w:pPr>
      <w:r>
        <w:rPr>
          <w:rFonts w:hint="eastAsia" w:ascii="宋体" w:hAnsi="宋体" w:eastAsia="宋体" w:cs="Times New Roman"/>
          <w:sz w:val="24"/>
        </w:rPr>
        <w:t>定额单价表见表7-</w:t>
      </w:r>
      <w:r>
        <w:rPr>
          <w:rFonts w:hint="eastAsia" w:ascii="宋体" w:hAnsi="宋体" w:eastAsia="宋体" w:cs="Times New Roman"/>
          <w:sz w:val="24"/>
          <w:lang w:val="en-US" w:eastAsia="zh-CN"/>
        </w:rPr>
        <w:t>8</w:t>
      </w:r>
    </w:p>
    <w:p>
      <w:pPr>
        <w:jc w:val="center"/>
        <w:rPr>
          <w:rFonts w:hint="eastAsia" w:ascii="宋体" w:hAnsi="宋体"/>
          <w:b/>
          <w:sz w:val="24"/>
        </w:rPr>
      </w:pPr>
      <w:r>
        <w:rPr>
          <w:rFonts w:ascii="宋体" w:hAnsi="宋体"/>
          <w:b/>
          <w:sz w:val="24"/>
        </w:rPr>
        <w:t>表7</w:t>
      </w:r>
      <w:r>
        <w:rPr>
          <w:rFonts w:hint="eastAsia" w:ascii="宋体" w:hAnsi="宋体"/>
          <w:b/>
          <w:sz w:val="24"/>
        </w:rPr>
        <w:t>-8</w:t>
      </w:r>
      <w:r>
        <w:rPr>
          <w:rFonts w:ascii="宋体" w:hAnsi="宋体"/>
          <w:b/>
          <w:sz w:val="24"/>
        </w:rPr>
        <w:t xml:space="preserve">  </w:t>
      </w:r>
      <w:r>
        <w:rPr>
          <w:rFonts w:hint="eastAsia" w:ascii="宋体" w:hAnsi="宋体"/>
          <w:b/>
          <w:sz w:val="24"/>
        </w:rPr>
        <w:t>定额单价</w:t>
      </w:r>
      <w:r>
        <w:rPr>
          <w:rFonts w:ascii="宋体" w:hAnsi="宋体"/>
          <w:b/>
          <w:sz w:val="24"/>
        </w:rPr>
        <w:t>表</w:t>
      </w:r>
    </w:p>
    <w:bookmarkEnd w:id="30"/>
    <w:bookmarkEnd w:id="31"/>
    <w:tbl>
      <w:tblPr>
        <w:tblStyle w:val="24"/>
        <w:tblW w:w="5000" w:type="pct"/>
        <w:tblInd w:w="0" w:type="dxa"/>
        <w:tblLayout w:type="autofit"/>
        <w:tblCellMar>
          <w:top w:w="0" w:type="dxa"/>
          <w:left w:w="108" w:type="dxa"/>
          <w:bottom w:w="0" w:type="dxa"/>
          <w:right w:w="108" w:type="dxa"/>
        </w:tblCellMar>
      </w:tblPr>
      <w:tblGrid>
        <w:gridCol w:w="1026"/>
        <w:gridCol w:w="2192"/>
        <w:gridCol w:w="770"/>
        <w:gridCol w:w="963"/>
        <w:gridCol w:w="1536"/>
        <w:gridCol w:w="2035"/>
      </w:tblGrid>
      <w:tr>
        <w:tblPrEx>
          <w:tblCellMar>
            <w:top w:w="0" w:type="dxa"/>
            <w:left w:w="108" w:type="dxa"/>
            <w:bottom w:w="0" w:type="dxa"/>
            <w:right w:w="108" w:type="dxa"/>
          </w:tblCellMar>
        </w:tblPrEx>
        <w:trPr>
          <w:wBefore w:w="0" w:type="dxa"/>
          <w:wAfter w:w="0" w:type="dxa"/>
          <w:trHeight w:val="300" w:hRule="atLeast"/>
        </w:trPr>
        <w:tc>
          <w:tcPr>
            <w:tcW w:w="3806" w:type="pct"/>
            <w:gridSpan w:val="5"/>
            <w:tcBorders>
              <w:top w:val="single" w:color="auto" w:sz="4" w:space="0"/>
              <w:left w:val="single" w:color="auto" w:sz="4" w:space="0"/>
              <w:bottom w:val="single" w:color="auto" w:sz="4" w:space="0"/>
              <w:right w:val="single" w:color="000000" w:sz="4" w:space="0"/>
            </w:tcBorders>
            <w:noWrap w:val="0"/>
            <w:vAlign w:val="center"/>
          </w:tcPr>
          <w:p>
            <w:pPr>
              <w:widowControl/>
              <w:jc w:val="center"/>
              <w:rPr>
                <w:b/>
                <w:bCs/>
                <w:kern w:val="0"/>
                <w:szCs w:val="21"/>
              </w:rPr>
            </w:pPr>
            <w:r>
              <w:rPr>
                <w:b/>
                <w:bCs/>
                <w:kern w:val="0"/>
                <w:szCs w:val="21"/>
              </w:rPr>
              <w:t>1.2m³</w:t>
            </w:r>
            <w:r>
              <w:rPr>
                <w:rFonts w:hint="eastAsia" w:ascii="宋体" w:hAnsi="宋体"/>
                <w:b/>
                <w:bCs/>
                <w:kern w:val="0"/>
                <w:szCs w:val="21"/>
              </w:rPr>
              <w:t>挖掘机装石渣自卸汽车运输运距</w:t>
            </w:r>
            <w:r>
              <w:rPr>
                <w:b/>
                <w:bCs/>
                <w:kern w:val="0"/>
                <w:szCs w:val="21"/>
              </w:rPr>
              <w:t>0-0.5km</w:t>
            </w:r>
            <w:r>
              <w:rPr>
                <w:rFonts w:hint="eastAsia" w:ascii="宋体" w:hAnsi="宋体"/>
                <w:b/>
                <w:bCs/>
                <w:kern w:val="0"/>
                <w:szCs w:val="21"/>
              </w:rPr>
              <w:t>（回填）</w:t>
            </w:r>
          </w:p>
        </w:tc>
        <w:tc>
          <w:tcPr>
            <w:tcW w:w="1194" w:type="pct"/>
            <w:tcBorders>
              <w:top w:val="single" w:color="auto" w:sz="4" w:space="0"/>
              <w:left w:val="nil"/>
              <w:bottom w:val="single" w:color="auto" w:sz="4" w:space="0"/>
              <w:right w:val="single" w:color="auto" w:sz="4" w:space="0"/>
            </w:tcBorders>
            <w:noWrap w:val="0"/>
            <w:vAlign w:val="center"/>
          </w:tcPr>
          <w:p>
            <w:pPr>
              <w:widowControl/>
              <w:jc w:val="center"/>
              <w:rPr>
                <w:b/>
                <w:bCs/>
                <w:kern w:val="0"/>
                <w:szCs w:val="21"/>
              </w:rPr>
            </w:pPr>
            <w:r>
              <w:rPr>
                <w:b/>
                <w:bCs/>
                <w:kern w:val="0"/>
                <w:szCs w:val="21"/>
              </w:rPr>
              <w:t>　</w:t>
            </w:r>
          </w:p>
        </w:tc>
      </w:tr>
      <w:tr>
        <w:tblPrEx>
          <w:tblCellMar>
            <w:top w:w="0" w:type="dxa"/>
            <w:left w:w="108" w:type="dxa"/>
            <w:bottom w:w="0" w:type="dxa"/>
            <w:right w:w="108" w:type="dxa"/>
          </w:tblCellMar>
        </w:tblPrEx>
        <w:trPr>
          <w:wBefore w:w="0" w:type="dxa"/>
          <w:wAfter w:w="0" w:type="dxa"/>
          <w:trHeight w:val="630" w:hRule="atLeast"/>
        </w:trPr>
        <w:tc>
          <w:tcPr>
            <w:tcW w:w="3806" w:type="pct"/>
            <w:gridSpan w:val="5"/>
            <w:tcBorders>
              <w:top w:val="single" w:color="auto" w:sz="4" w:space="0"/>
              <w:left w:val="single" w:color="auto" w:sz="4" w:space="0"/>
              <w:bottom w:val="single" w:color="auto" w:sz="4" w:space="0"/>
              <w:right w:val="single" w:color="auto" w:sz="4" w:space="0"/>
            </w:tcBorders>
            <w:noWrap w:val="0"/>
            <w:vAlign w:val="center"/>
          </w:tcPr>
          <w:p>
            <w:pPr>
              <w:widowControl/>
              <w:jc w:val="left"/>
              <w:rPr>
                <w:b/>
                <w:bCs/>
                <w:kern w:val="0"/>
                <w:szCs w:val="21"/>
              </w:rPr>
            </w:pPr>
            <w:r>
              <w:rPr>
                <w:rFonts w:hint="eastAsia" w:ascii="宋体" w:hAnsi="宋体"/>
                <w:b/>
                <w:bCs/>
                <w:kern w:val="0"/>
                <w:szCs w:val="21"/>
              </w:rPr>
              <w:t>定额编号：</w:t>
            </w:r>
            <w:r>
              <w:rPr>
                <w:b/>
                <w:bCs/>
                <w:kern w:val="0"/>
                <w:szCs w:val="21"/>
              </w:rPr>
              <w:t>20294</w:t>
            </w:r>
            <w:r>
              <w:rPr>
                <w:b/>
                <w:bCs/>
                <w:kern w:val="0"/>
                <w:szCs w:val="21"/>
              </w:rPr>
              <w:br w:type="textWrapping"/>
            </w:r>
            <w:r>
              <w:rPr>
                <w:rFonts w:hint="eastAsia" w:ascii="宋体" w:hAnsi="宋体"/>
                <w:b/>
                <w:bCs/>
                <w:kern w:val="0"/>
                <w:szCs w:val="21"/>
              </w:rPr>
              <w:t>工作内容：装、运、卸、空回</w:t>
            </w:r>
          </w:p>
        </w:tc>
        <w:tc>
          <w:tcPr>
            <w:tcW w:w="1194" w:type="pct"/>
            <w:tcBorders>
              <w:top w:val="nil"/>
              <w:left w:val="nil"/>
              <w:bottom w:val="single" w:color="auto" w:sz="4" w:space="0"/>
              <w:right w:val="single" w:color="auto" w:sz="4" w:space="0"/>
            </w:tcBorders>
            <w:noWrap w:val="0"/>
            <w:vAlign w:val="center"/>
          </w:tcPr>
          <w:p>
            <w:pPr>
              <w:widowControl/>
              <w:jc w:val="center"/>
              <w:rPr>
                <w:b/>
                <w:bCs/>
                <w:kern w:val="0"/>
                <w:szCs w:val="21"/>
              </w:rPr>
            </w:pPr>
            <w:r>
              <w:rPr>
                <w:rFonts w:hint="eastAsia" w:ascii="宋体" w:hAnsi="宋体"/>
                <w:b/>
                <w:bCs/>
                <w:kern w:val="0"/>
                <w:szCs w:val="21"/>
              </w:rPr>
              <w:t>单位：元</w:t>
            </w:r>
            <w:r>
              <w:rPr>
                <w:b/>
                <w:bCs/>
                <w:kern w:val="0"/>
                <w:szCs w:val="21"/>
              </w:rPr>
              <w:t>/100m</w:t>
            </w:r>
            <w:r>
              <w:rPr>
                <w:b/>
                <w:bCs/>
                <w:kern w:val="0"/>
                <w:szCs w:val="21"/>
                <w:vertAlign w:val="superscript"/>
              </w:rPr>
              <w:t>3</w:t>
            </w:r>
          </w:p>
        </w:tc>
      </w:tr>
      <w:tr>
        <w:tblPrEx>
          <w:tblCellMar>
            <w:top w:w="0" w:type="dxa"/>
            <w:left w:w="108" w:type="dxa"/>
            <w:bottom w:w="0" w:type="dxa"/>
            <w:right w:w="108" w:type="dxa"/>
          </w:tblCellMar>
        </w:tblPrEx>
        <w:trPr>
          <w:wBefore w:w="0" w:type="dxa"/>
          <w:wAfter w:w="0" w:type="dxa"/>
          <w:trHeight w:val="300" w:hRule="atLeast"/>
        </w:trPr>
        <w:tc>
          <w:tcPr>
            <w:tcW w:w="602" w:type="pct"/>
            <w:tcBorders>
              <w:top w:val="nil"/>
              <w:left w:val="single" w:color="auto" w:sz="4" w:space="0"/>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序号</w:t>
            </w:r>
          </w:p>
        </w:tc>
        <w:tc>
          <w:tcPr>
            <w:tcW w:w="1286"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项目名称</w:t>
            </w:r>
          </w:p>
        </w:tc>
        <w:tc>
          <w:tcPr>
            <w:tcW w:w="452"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单位</w:t>
            </w:r>
          </w:p>
        </w:tc>
        <w:tc>
          <w:tcPr>
            <w:tcW w:w="565"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数量</w:t>
            </w:r>
          </w:p>
        </w:tc>
        <w:tc>
          <w:tcPr>
            <w:tcW w:w="901" w:type="pct"/>
            <w:tcBorders>
              <w:top w:val="nil"/>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单价（元）</w:t>
            </w:r>
          </w:p>
        </w:tc>
        <w:tc>
          <w:tcPr>
            <w:tcW w:w="1194" w:type="pct"/>
            <w:tcBorders>
              <w:top w:val="nil"/>
              <w:left w:val="nil"/>
              <w:bottom w:val="single" w:color="auto" w:sz="4" w:space="0"/>
              <w:right w:val="single" w:color="auto" w:sz="4" w:space="0"/>
            </w:tcBorders>
            <w:noWrap w:val="0"/>
            <w:vAlign w:val="center"/>
          </w:tcPr>
          <w:p>
            <w:pPr>
              <w:widowControl/>
              <w:jc w:val="center"/>
              <w:rPr>
                <w:rFonts w:hint="eastAsia"/>
                <w:kern w:val="0"/>
                <w:szCs w:val="21"/>
              </w:rPr>
            </w:pPr>
            <w:r>
              <w:rPr>
                <w:rFonts w:hint="eastAsia" w:ascii="宋体" w:hAnsi="宋体"/>
                <w:kern w:val="0"/>
                <w:szCs w:val="21"/>
              </w:rPr>
              <w:t>小计</w:t>
            </w:r>
          </w:p>
        </w:tc>
      </w:tr>
      <w:tr>
        <w:tblPrEx>
          <w:tblCellMar>
            <w:top w:w="0" w:type="dxa"/>
            <w:left w:w="108" w:type="dxa"/>
            <w:bottom w:w="0" w:type="dxa"/>
            <w:right w:w="108" w:type="dxa"/>
          </w:tblCellMar>
        </w:tblPrEx>
        <w:trPr>
          <w:wBefore w:w="0" w:type="dxa"/>
          <w:wAfter w:w="0" w:type="dxa"/>
          <w:trHeight w:val="300" w:hRule="atLeast"/>
        </w:trPr>
        <w:tc>
          <w:tcPr>
            <w:tcW w:w="602" w:type="pct"/>
            <w:tcBorders>
              <w:top w:val="nil"/>
              <w:left w:val="single" w:color="auto" w:sz="4" w:space="0"/>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一</w:t>
            </w:r>
          </w:p>
        </w:tc>
        <w:tc>
          <w:tcPr>
            <w:tcW w:w="1286"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直接费</w:t>
            </w:r>
          </w:p>
        </w:tc>
        <w:tc>
          <w:tcPr>
            <w:tcW w:w="452"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565"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901"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1194"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1393.05 </w:t>
            </w:r>
          </w:p>
        </w:tc>
      </w:tr>
      <w:tr>
        <w:tblPrEx>
          <w:tblCellMar>
            <w:top w:w="0" w:type="dxa"/>
            <w:left w:w="108" w:type="dxa"/>
            <w:bottom w:w="0" w:type="dxa"/>
            <w:right w:w="108" w:type="dxa"/>
          </w:tblCellMar>
        </w:tblPrEx>
        <w:trPr>
          <w:wBefore w:w="0" w:type="dxa"/>
          <w:wAfter w:w="0" w:type="dxa"/>
          <w:trHeight w:val="300" w:hRule="atLeast"/>
        </w:trPr>
        <w:tc>
          <w:tcPr>
            <w:tcW w:w="602" w:type="pct"/>
            <w:tcBorders>
              <w:top w:val="nil"/>
              <w:left w:val="single" w:color="auto" w:sz="4" w:space="0"/>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（一）</w:t>
            </w:r>
          </w:p>
        </w:tc>
        <w:tc>
          <w:tcPr>
            <w:tcW w:w="1286"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直接工程费</w:t>
            </w:r>
          </w:p>
        </w:tc>
        <w:tc>
          <w:tcPr>
            <w:tcW w:w="452"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565"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901"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1194"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1344.64 </w:t>
            </w:r>
          </w:p>
        </w:tc>
      </w:tr>
      <w:tr>
        <w:tblPrEx>
          <w:tblCellMar>
            <w:top w:w="0" w:type="dxa"/>
            <w:left w:w="108" w:type="dxa"/>
            <w:bottom w:w="0" w:type="dxa"/>
            <w:right w:w="108" w:type="dxa"/>
          </w:tblCellMar>
        </w:tblPrEx>
        <w:trPr>
          <w:wBefore w:w="0" w:type="dxa"/>
          <w:wAfter w:w="0" w:type="dxa"/>
          <w:trHeight w:val="300" w:hRule="atLeast"/>
        </w:trPr>
        <w:tc>
          <w:tcPr>
            <w:tcW w:w="602" w:type="pct"/>
            <w:tcBorders>
              <w:top w:val="nil"/>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 xml:space="preserve">1 </w:t>
            </w:r>
          </w:p>
        </w:tc>
        <w:tc>
          <w:tcPr>
            <w:tcW w:w="1286"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人工费</w:t>
            </w:r>
          </w:p>
        </w:tc>
        <w:tc>
          <w:tcPr>
            <w:tcW w:w="452"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565"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901"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1194"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132.10 </w:t>
            </w:r>
          </w:p>
        </w:tc>
      </w:tr>
      <w:tr>
        <w:tblPrEx>
          <w:tblCellMar>
            <w:top w:w="0" w:type="dxa"/>
            <w:left w:w="108" w:type="dxa"/>
            <w:bottom w:w="0" w:type="dxa"/>
            <w:right w:w="108" w:type="dxa"/>
          </w:tblCellMar>
        </w:tblPrEx>
        <w:trPr>
          <w:wBefore w:w="0" w:type="dxa"/>
          <w:wAfter w:w="0" w:type="dxa"/>
          <w:trHeight w:val="300" w:hRule="atLeast"/>
        </w:trPr>
        <w:tc>
          <w:tcPr>
            <w:tcW w:w="602" w:type="pct"/>
            <w:tcBorders>
              <w:top w:val="nil"/>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1286"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甲类工</w:t>
            </w:r>
          </w:p>
        </w:tc>
        <w:tc>
          <w:tcPr>
            <w:tcW w:w="452"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工日</w:t>
            </w:r>
          </w:p>
        </w:tc>
        <w:tc>
          <w:tcPr>
            <w:tcW w:w="565"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0.10 </w:t>
            </w:r>
          </w:p>
        </w:tc>
        <w:tc>
          <w:tcPr>
            <w:tcW w:w="901"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86.21 </w:t>
            </w:r>
          </w:p>
        </w:tc>
        <w:tc>
          <w:tcPr>
            <w:tcW w:w="1194"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8.62 </w:t>
            </w:r>
          </w:p>
        </w:tc>
      </w:tr>
      <w:tr>
        <w:tblPrEx>
          <w:tblCellMar>
            <w:top w:w="0" w:type="dxa"/>
            <w:left w:w="108" w:type="dxa"/>
            <w:bottom w:w="0" w:type="dxa"/>
            <w:right w:w="108" w:type="dxa"/>
          </w:tblCellMar>
        </w:tblPrEx>
        <w:trPr>
          <w:wBefore w:w="0" w:type="dxa"/>
          <w:wAfter w:w="0" w:type="dxa"/>
          <w:trHeight w:val="300" w:hRule="atLeast"/>
        </w:trPr>
        <w:tc>
          <w:tcPr>
            <w:tcW w:w="602" w:type="pct"/>
            <w:tcBorders>
              <w:top w:val="nil"/>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1286"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乙类工</w:t>
            </w:r>
          </w:p>
        </w:tc>
        <w:tc>
          <w:tcPr>
            <w:tcW w:w="452"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工日</w:t>
            </w:r>
          </w:p>
        </w:tc>
        <w:tc>
          <w:tcPr>
            <w:tcW w:w="565"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1.90 </w:t>
            </w:r>
          </w:p>
        </w:tc>
        <w:tc>
          <w:tcPr>
            <w:tcW w:w="901"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63.16 </w:t>
            </w:r>
          </w:p>
        </w:tc>
        <w:tc>
          <w:tcPr>
            <w:tcW w:w="1194"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120.00 </w:t>
            </w:r>
          </w:p>
        </w:tc>
      </w:tr>
      <w:tr>
        <w:tblPrEx>
          <w:tblCellMar>
            <w:top w:w="0" w:type="dxa"/>
            <w:left w:w="108" w:type="dxa"/>
            <w:bottom w:w="0" w:type="dxa"/>
            <w:right w:w="108" w:type="dxa"/>
          </w:tblCellMar>
        </w:tblPrEx>
        <w:trPr>
          <w:wBefore w:w="0" w:type="dxa"/>
          <w:wAfter w:w="0" w:type="dxa"/>
          <w:trHeight w:val="300" w:hRule="atLeast"/>
        </w:trPr>
        <w:tc>
          <w:tcPr>
            <w:tcW w:w="602" w:type="pct"/>
            <w:tcBorders>
              <w:top w:val="nil"/>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1286" w:type="pct"/>
            <w:tcBorders>
              <w:top w:val="nil"/>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其他费用</w:t>
            </w:r>
          </w:p>
        </w:tc>
        <w:tc>
          <w:tcPr>
            <w:tcW w:w="452" w:type="pct"/>
            <w:tcBorders>
              <w:top w:val="nil"/>
              <w:left w:val="nil"/>
              <w:bottom w:val="single" w:color="auto" w:sz="4" w:space="0"/>
              <w:right w:val="single" w:color="auto" w:sz="4" w:space="0"/>
            </w:tcBorders>
            <w:noWrap w:val="0"/>
            <w:vAlign w:val="center"/>
          </w:tcPr>
          <w:p>
            <w:pPr>
              <w:widowControl/>
              <w:jc w:val="center"/>
              <w:rPr>
                <w:rFonts w:hint="eastAsia"/>
                <w:kern w:val="0"/>
                <w:szCs w:val="21"/>
              </w:rPr>
            </w:pPr>
            <w:r>
              <w:rPr>
                <w:kern w:val="0"/>
                <w:szCs w:val="21"/>
              </w:rPr>
              <w:t>%</w:t>
            </w:r>
          </w:p>
        </w:tc>
        <w:tc>
          <w:tcPr>
            <w:tcW w:w="565"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2.70 </w:t>
            </w:r>
          </w:p>
        </w:tc>
        <w:tc>
          <w:tcPr>
            <w:tcW w:w="901"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128.63 </w:t>
            </w:r>
          </w:p>
        </w:tc>
        <w:tc>
          <w:tcPr>
            <w:tcW w:w="1194"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3.47 </w:t>
            </w:r>
          </w:p>
        </w:tc>
      </w:tr>
      <w:tr>
        <w:tblPrEx>
          <w:tblCellMar>
            <w:top w:w="0" w:type="dxa"/>
            <w:left w:w="108" w:type="dxa"/>
            <w:bottom w:w="0" w:type="dxa"/>
            <w:right w:w="108" w:type="dxa"/>
          </w:tblCellMar>
        </w:tblPrEx>
        <w:trPr>
          <w:wBefore w:w="0" w:type="dxa"/>
          <w:wAfter w:w="0" w:type="dxa"/>
          <w:trHeight w:val="300" w:hRule="atLeast"/>
        </w:trPr>
        <w:tc>
          <w:tcPr>
            <w:tcW w:w="602" w:type="pct"/>
            <w:tcBorders>
              <w:top w:val="nil"/>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 xml:space="preserve">2 </w:t>
            </w:r>
          </w:p>
        </w:tc>
        <w:tc>
          <w:tcPr>
            <w:tcW w:w="1286"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材料费</w:t>
            </w:r>
          </w:p>
        </w:tc>
        <w:tc>
          <w:tcPr>
            <w:tcW w:w="452"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565"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901"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1194"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r>
      <w:tr>
        <w:tblPrEx>
          <w:tblCellMar>
            <w:top w:w="0" w:type="dxa"/>
            <w:left w:w="108" w:type="dxa"/>
            <w:bottom w:w="0" w:type="dxa"/>
            <w:right w:w="108" w:type="dxa"/>
          </w:tblCellMar>
        </w:tblPrEx>
        <w:trPr>
          <w:wBefore w:w="0" w:type="dxa"/>
          <w:wAfter w:w="0" w:type="dxa"/>
          <w:trHeight w:val="300" w:hRule="atLeast"/>
        </w:trPr>
        <w:tc>
          <w:tcPr>
            <w:tcW w:w="602" w:type="pct"/>
            <w:tcBorders>
              <w:top w:val="nil"/>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 xml:space="preserve">3 </w:t>
            </w:r>
          </w:p>
        </w:tc>
        <w:tc>
          <w:tcPr>
            <w:tcW w:w="1286"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机械费</w:t>
            </w:r>
          </w:p>
        </w:tc>
        <w:tc>
          <w:tcPr>
            <w:tcW w:w="452"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565"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901"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1194"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1212.54 </w:t>
            </w:r>
          </w:p>
        </w:tc>
      </w:tr>
      <w:tr>
        <w:tblPrEx>
          <w:tblCellMar>
            <w:top w:w="0" w:type="dxa"/>
            <w:left w:w="108" w:type="dxa"/>
            <w:bottom w:w="0" w:type="dxa"/>
            <w:right w:w="108" w:type="dxa"/>
          </w:tblCellMar>
        </w:tblPrEx>
        <w:trPr>
          <w:wBefore w:w="0" w:type="dxa"/>
          <w:wAfter w:w="0" w:type="dxa"/>
          <w:trHeight w:val="540" w:hRule="atLeast"/>
        </w:trPr>
        <w:tc>
          <w:tcPr>
            <w:tcW w:w="602" w:type="pct"/>
            <w:tcBorders>
              <w:top w:val="nil"/>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1286"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挖掘机油动</w:t>
            </w:r>
            <w:r>
              <w:rPr>
                <w:kern w:val="0"/>
                <w:szCs w:val="21"/>
              </w:rPr>
              <w:t>1.2m³</w:t>
            </w:r>
          </w:p>
        </w:tc>
        <w:tc>
          <w:tcPr>
            <w:tcW w:w="452"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台班</w:t>
            </w:r>
          </w:p>
        </w:tc>
        <w:tc>
          <w:tcPr>
            <w:tcW w:w="565"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0.38 </w:t>
            </w:r>
          </w:p>
        </w:tc>
        <w:tc>
          <w:tcPr>
            <w:tcW w:w="901"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947.27 </w:t>
            </w:r>
          </w:p>
        </w:tc>
        <w:tc>
          <w:tcPr>
            <w:tcW w:w="1194"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359.96 </w:t>
            </w:r>
          </w:p>
        </w:tc>
      </w:tr>
      <w:tr>
        <w:tblPrEx>
          <w:tblCellMar>
            <w:top w:w="0" w:type="dxa"/>
            <w:left w:w="108" w:type="dxa"/>
            <w:bottom w:w="0" w:type="dxa"/>
            <w:right w:w="108" w:type="dxa"/>
          </w:tblCellMar>
        </w:tblPrEx>
        <w:trPr>
          <w:wBefore w:w="0" w:type="dxa"/>
          <w:wAfter w:w="0" w:type="dxa"/>
          <w:trHeight w:val="585" w:hRule="atLeast"/>
        </w:trPr>
        <w:tc>
          <w:tcPr>
            <w:tcW w:w="602" w:type="pct"/>
            <w:tcBorders>
              <w:top w:val="nil"/>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1286"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推土机</w:t>
            </w:r>
            <w:r>
              <w:rPr>
                <w:kern w:val="0"/>
                <w:szCs w:val="21"/>
              </w:rPr>
              <w:t>59kw</w:t>
            </w:r>
          </w:p>
        </w:tc>
        <w:tc>
          <w:tcPr>
            <w:tcW w:w="452"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台班</w:t>
            </w:r>
          </w:p>
        </w:tc>
        <w:tc>
          <w:tcPr>
            <w:tcW w:w="565"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0.19 </w:t>
            </w:r>
          </w:p>
        </w:tc>
        <w:tc>
          <w:tcPr>
            <w:tcW w:w="901"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445.88 </w:t>
            </w:r>
          </w:p>
        </w:tc>
        <w:tc>
          <w:tcPr>
            <w:tcW w:w="1194"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84.72 </w:t>
            </w:r>
          </w:p>
        </w:tc>
      </w:tr>
      <w:tr>
        <w:tblPrEx>
          <w:tblCellMar>
            <w:top w:w="0" w:type="dxa"/>
            <w:left w:w="108" w:type="dxa"/>
            <w:bottom w:w="0" w:type="dxa"/>
            <w:right w:w="108" w:type="dxa"/>
          </w:tblCellMar>
        </w:tblPrEx>
        <w:trPr>
          <w:wBefore w:w="0" w:type="dxa"/>
          <w:wAfter w:w="0" w:type="dxa"/>
          <w:trHeight w:val="300" w:hRule="atLeast"/>
        </w:trPr>
        <w:tc>
          <w:tcPr>
            <w:tcW w:w="602" w:type="pct"/>
            <w:tcBorders>
              <w:top w:val="nil"/>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1286"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自卸汽车</w:t>
            </w:r>
            <w:r>
              <w:rPr>
                <w:kern w:val="0"/>
                <w:szCs w:val="21"/>
              </w:rPr>
              <w:t>5t</w:t>
            </w:r>
          </w:p>
        </w:tc>
        <w:tc>
          <w:tcPr>
            <w:tcW w:w="452"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台班</w:t>
            </w:r>
          </w:p>
        </w:tc>
        <w:tc>
          <w:tcPr>
            <w:tcW w:w="565"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1.89 </w:t>
            </w:r>
          </w:p>
        </w:tc>
        <w:tc>
          <w:tcPr>
            <w:tcW w:w="901"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389.41 </w:t>
            </w:r>
          </w:p>
        </w:tc>
        <w:tc>
          <w:tcPr>
            <w:tcW w:w="1194"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735.98 </w:t>
            </w:r>
          </w:p>
        </w:tc>
      </w:tr>
      <w:tr>
        <w:tblPrEx>
          <w:tblCellMar>
            <w:top w:w="0" w:type="dxa"/>
            <w:left w:w="108" w:type="dxa"/>
            <w:bottom w:w="0" w:type="dxa"/>
            <w:right w:w="108" w:type="dxa"/>
          </w:tblCellMar>
        </w:tblPrEx>
        <w:trPr>
          <w:wBefore w:w="0" w:type="dxa"/>
          <w:wAfter w:w="0" w:type="dxa"/>
          <w:trHeight w:val="300" w:hRule="atLeast"/>
        </w:trPr>
        <w:tc>
          <w:tcPr>
            <w:tcW w:w="602" w:type="pct"/>
            <w:tcBorders>
              <w:top w:val="nil"/>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1286" w:type="pct"/>
            <w:tcBorders>
              <w:top w:val="nil"/>
              <w:left w:val="nil"/>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其他费用</w:t>
            </w:r>
          </w:p>
        </w:tc>
        <w:tc>
          <w:tcPr>
            <w:tcW w:w="452" w:type="pct"/>
            <w:tcBorders>
              <w:top w:val="nil"/>
              <w:left w:val="nil"/>
              <w:bottom w:val="single" w:color="auto" w:sz="4" w:space="0"/>
              <w:right w:val="single" w:color="auto" w:sz="4" w:space="0"/>
            </w:tcBorders>
            <w:noWrap w:val="0"/>
            <w:vAlign w:val="center"/>
          </w:tcPr>
          <w:p>
            <w:pPr>
              <w:widowControl/>
              <w:jc w:val="center"/>
              <w:rPr>
                <w:rFonts w:hint="eastAsia"/>
                <w:kern w:val="0"/>
                <w:szCs w:val="21"/>
              </w:rPr>
            </w:pPr>
            <w:r>
              <w:rPr>
                <w:kern w:val="0"/>
                <w:szCs w:val="21"/>
              </w:rPr>
              <w:t>%</w:t>
            </w:r>
          </w:p>
        </w:tc>
        <w:tc>
          <w:tcPr>
            <w:tcW w:w="565"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2.70 </w:t>
            </w:r>
          </w:p>
        </w:tc>
        <w:tc>
          <w:tcPr>
            <w:tcW w:w="901"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1180.66 </w:t>
            </w:r>
          </w:p>
        </w:tc>
        <w:tc>
          <w:tcPr>
            <w:tcW w:w="1194"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31.88 </w:t>
            </w:r>
          </w:p>
        </w:tc>
      </w:tr>
      <w:tr>
        <w:tblPrEx>
          <w:tblCellMar>
            <w:top w:w="0" w:type="dxa"/>
            <w:left w:w="108" w:type="dxa"/>
            <w:bottom w:w="0" w:type="dxa"/>
            <w:right w:w="108" w:type="dxa"/>
          </w:tblCellMar>
        </w:tblPrEx>
        <w:trPr>
          <w:wBefore w:w="0" w:type="dxa"/>
          <w:wAfter w:w="0" w:type="dxa"/>
          <w:trHeight w:val="300" w:hRule="atLeast"/>
        </w:trPr>
        <w:tc>
          <w:tcPr>
            <w:tcW w:w="602" w:type="pct"/>
            <w:tcBorders>
              <w:top w:val="nil"/>
              <w:left w:val="single" w:color="auto" w:sz="4" w:space="0"/>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（二）</w:t>
            </w:r>
          </w:p>
        </w:tc>
        <w:tc>
          <w:tcPr>
            <w:tcW w:w="1286"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措施费</w:t>
            </w:r>
          </w:p>
        </w:tc>
        <w:tc>
          <w:tcPr>
            <w:tcW w:w="452"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w:t>
            </w:r>
          </w:p>
        </w:tc>
        <w:tc>
          <w:tcPr>
            <w:tcW w:w="565"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3.60 </w:t>
            </w:r>
          </w:p>
        </w:tc>
        <w:tc>
          <w:tcPr>
            <w:tcW w:w="901"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1344.64 </w:t>
            </w:r>
          </w:p>
        </w:tc>
        <w:tc>
          <w:tcPr>
            <w:tcW w:w="1194"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48.41 </w:t>
            </w:r>
          </w:p>
        </w:tc>
      </w:tr>
      <w:tr>
        <w:tblPrEx>
          <w:tblCellMar>
            <w:top w:w="0" w:type="dxa"/>
            <w:left w:w="108" w:type="dxa"/>
            <w:bottom w:w="0" w:type="dxa"/>
            <w:right w:w="108" w:type="dxa"/>
          </w:tblCellMar>
        </w:tblPrEx>
        <w:trPr>
          <w:wBefore w:w="0" w:type="dxa"/>
          <w:wAfter w:w="0" w:type="dxa"/>
          <w:trHeight w:val="300" w:hRule="atLeast"/>
        </w:trPr>
        <w:tc>
          <w:tcPr>
            <w:tcW w:w="602" w:type="pct"/>
            <w:tcBorders>
              <w:top w:val="nil"/>
              <w:left w:val="single" w:color="auto" w:sz="4" w:space="0"/>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二</w:t>
            </w:r>
          </w:p>
        </w:tc>
        <w:tc>
          <w:tcPr>
            <w:tcW w:w="1286"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间接费</w:t>
            </w:r>
          </w:p>
        </w:tc>
        <w:tc>
          <w:tcPr>
            <w:tcW w:w="452"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w:t>
            </w:r>
          </w:p>
        </w:tc>
        <w:tc>
          <w:tcPr>
            <w:tcW w:w="565"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6.00 </w:t>
            </w:r>
          </w:p>
        </w:tc>
        <w:tc>
          <w:tcPr>
            <w:tcW w:w="901"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1393.05 </w:t>
            </w:r>
          </w:p>
        </w:tc>
        <w:tc>
          <w:tcPr>
            <w:tcW w:w="1194"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83.58 </w:t>
            </w:r>
          </w:p>
        </w:tc>
      </w:tr>
      <w:tr>
        <w:tblPrEx>
          <w:tblCellMar>
            <w:top w:w="0" w:type="dxa"/>
            <w:left w:w="108" w:type="dxa"/>
            <w:bottom w:w="0" w:type="dxa"/>
            <w:right w:w="108" w:type="dxa"/>
          </w:tblCellMar>
        </w:tblPrEx>
        <w:trPr>
          <w:wBefore w:w="0" w:type="dxa"/>
          <w:wAfter w:w="0" w:type="dxa"/>
          <w:trHeight w:val="300" w:hRule="atLeast"/>
        </w:trPr>
        <w:tc>
          <w:tcPr>
            <w:tcW w:w="602" w:type="pct"/>
            <w:tcBorders>
              <w:top w:val="nil"/>
              <w:left w:val="single" w:color="auto" w:sz="4" w:space="0"/>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三</w:t>
            </w:r>
          </w:p>
        </w:tc>
        <w:tc>
          <w:tcPr>
            <w:tcW w:w="1286"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利润</w:t>
            </w:r>
          </w:p>
        </w:tc>
        <w:tc>
          <w:tcPr>
            <w:tcW w:w="452"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w:t>
            </w:r>
          </w:p>
        </w:tc>
        <w:tc>
          <w:tcPr>
            <w:tcW w:w="565"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3.00 </w:t>
            </w:r>
          </w:p>
        </w:tc>
        <w:tc>
          <w:tcPr>
            <w:tcW w:w="901"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1476.63 </w:t>
            </w:r>
          </w:p>
        </w:tc>
        <w:tc>
          <w:tcPr>
            <w:tcW w:w="1194"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44.30 </w:t>
            </w:r>
          </w:p>
        </w:tc>
      </w:tr>
      <w:tr>
        <w:tblPrEx>
          <w:tblCellMar>
            <w:top w:w="0" w:type="dxa"/>
            <w:left w:w="108" w:type="dxa"/>
            <w:bottom w:w="0" w:type="dxa"/>
            <w:right w:w="108" w:type="dxa"/>
          </w:tblCellMar>
        </w:tblPrEx>
        <w:trPr>
          <w:wBefore w:w="0" w:type="dxa"/>
          <w:wAfter w:w="0" w:type="dxa"/>
          <w:trHeight w:val="300" w:hRule="atLeast"/>
        </w:trPr>
        <w:tc>
          <w:tcPr>
            <w:tcW w:w="602" w:type="pct"/>
            <w:tcBorders>
              <w:top w:val="nil"/>
              <w:left w:val="single" w:color="auto" w:sz="4" w:space="0"/>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四</w:t>
            </w:r>
          </w:p>
        </w:tc>
        <w:tc>
          <w:tcPr>
            <w:tcW w:w="1286"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材料价差</w:t>
            </w:r>
          </w:p>
        </w:tc>
        <w:tc>
          <w:tcPr>
            <w:tcW w:w="452"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565"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901"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1194"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199.67 </w:t>
            </w:r>
          </w:p>
        </w:tc>
      </w:tr>
      <w:tr>
        <w:tblPrEx>
          <w:tblCellMar>
            <w:top w:w="0" w:type="dxa"/>
            <w:left w:w="108" w:type="dxa"/>
            <w:bottom w:w="0" w:type="dxa"/>
            <w:right w:w="108" w:type="dxa"/>
          </w:tblCellMar>
        </w:tblPrEx>
        <w:trPr>
          <w:wBefore w:w="0" w:type="dxa"/>
          <w:wAfter w:w="0" w:type="dxa"/>
          <w:trHeight w:val="300" w:hRule="atLeast"/>
        </w:trPr>
        <w:tc>
          <w:tcPr>
            <w:tcW w:w="602" w:type="pct"/>
            <w:tcBorders>
              <w:top w:val="nil"/>
              <w:left w:val="single" w:color="auto" w:sz="4" w:space="0"/>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1286"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柴油</w:t>
            </w:r>
          </w:p>
        </w:tc>
        <w:tc>
          <w:tcPr>
            <w:tcW w:w="452"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kg</w:t>
            </w:r>
          </w:p>
        </w:tc>
        <w:tc>
          <w:tcPr>
            <w:tcW w:w="565"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114.75 </w:t>
            </w:r>
          </w:p>
        </w:tc>
        <w:tc>
          <w:tcPr>
            <w:tcW w:w="901"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1.74 </w:t>
            </w:r>
          </w:p>
        </w:tc>
        <w:tc>
          <w:tcPr>
            <w:tcW w:w="1194"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199.67 </w:t>
            </w:r>
          </w:p>
        </w:tc>
      </w:tr>
      <w:tr>
        <w:tblPrEx>
          <w:tblCellMar>
            <w:top w:w="0" w:type="dxa"/>
            <w:left w:w="108" w:type="dxa"/>
            <w:bottom w:w="0" w:type="dxa"/>
            <w:right w:w="108" w:type="dxa"/>
          </w:tblCellMar>
        </w:tblPrEx>
        <w:trPr>
          <w:wBefore w:w="0" w:type="dxa"/>
          <w:wAfter w:w="0" w:type="dxa"/>
          <w:trHeight w:val="300" w:hRule="atLeast"/>
        </w:trPr>
        <w:tc>
          <w:tcPr>
            <w:tcW w:w="602" w:type="pct"/>
            <w:tcBorders>
              <w:top w:val="nil"/>
              <w:left w:val="single" w:color="auto" w:sz="4" w:space="0"/>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五</w:t>
            </w:r>
          </w:p>
        </w:tc>
        <w:tc>
          <w:tcPr>
            <w:tcW w:w="1286" w:type="pct"/>
            <w:tcBorders>
              <w:top w:val="nil"/>
              <w:left w:val="nil"/>
              <w:bottom w:val="single" w:color="auto" w:sz="4" w:space="0"/>
              <w:right w:val="single" w:color="auto" w:sz="4" w:space="0"/>
            </w:tcBorders>
            <w:noWrap w:val="0"/>
            <w:vAlign w:val="center"/>
          </w:tcPr>
          <w:p>
            <w:pPr>
              <w:widowControl/>
              <w:jc w:val="center"/>
              <w:rPr>
                <w:kern w:val="0"/>
                <w:szCs w:val="21"/>
              </w:rPr>
            </w:pPr>
            <w:r>
              <w:rPr>
                <w:rFonts w:hint="eastAsia" w:ascii="宋体" w:hAnsi="宋体"/>
                <w:kern w:val="0"/>
                <w:szCs w:val="21"/>
              </w:rPr>
              <w:t>未计价材料</w:t>
            </w:r>
          </w:p>
        </w:tc>
        <w:tc>
          <w:tcPr>
            <w:tcW w:w="452"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565"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901"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c>
          <w:tcPr>
            <w:tcW w:w="1194"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w:t>
            </w:r>
          </w:p>
        </w:tc>
      </w:tr>
      <w:tr>
        <w:tblPrEx>
          <w:tblCellMar>
            <w:top w:w="0" w:type="dxa"/>
            <w:left w:w="108" w:type="dxa"/>
            <w:bottom w:w="0" w:type="dxa"/>
            <w:right w:w="108" w:type="dxa"/>
          </w:tblCellMar>
        </w:tblPrEx>
        <w:trPr>
          <w:wBefore w:w="0" w:type="dxa"/>
          <w:wAfter w:w="0" w:type="dxa"/>
          <w:trHeight w:val="300" w:hRule="atLeast"/>
        </w:trPr>
        <w:tc>
          <w:tcPr>
            <w:tcW w:w="602" w:type="pc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六</w:t>
            </w:r>
          </w:p>
        </w:tc>
        <w:tc>
          <w:tcPr>
            <w:tcW w:w="1286" w:type="pct"/>
            <w:tcBorders>
              <w:top w:val="nil"/>
              <w:left w:val="nil"/>
              <w:bottom w:val="single" w:color="auto" w:sz="4" w:space="0"/>
              <w:right w:val="single" w:color="auto" w:sz="4" w:space="0"/>
            </w:tcBorders>
            <w:noWrap w:val="0"/>
            <w:vAlign w:val="center"/>
          </w:tcPr>
          <w:p>
            <w:pPr>
              <w:widowControl/>
              <w:jc w:val="center"/>
              <w:rPr>
                <w:rFonts w:hint="eastAsia"/>
                <w:kern w:val="0"/>
                <w:szCs w:val="21"/>
              </w:rPr>
            </w:pPr>
            <w:r>
              <w:rPr>
                <w:rFonts w:hint="eastAsia" w:ascii="宋体" w:hAnsi="宋体"/>
                <w:kern w:val="0"/>
                <w:szCs w:val="21"/>
              </w:rPr>
              <w:t>税</w:t>
            </w:r>
            <w:r>
              <w:rPr>
                <w:kern w:val="0"/>
                <w:szCs w:val="21"/>
              </w:rPr>
              <w:t xml:space="preserve">  </w:t>
            </w:r>
            <w:r>
              <w:rPr>
                <w:rFonts w:hint="eastAsia" w:ascii="宋体" w:hAnsi="宋体"/>
                <w:kern w:val="0"/>
                <w:szCs w:val="21"/>
              </w:rPr>
              <w:t>金</w:t>
            </w:r>
          </w:p>
        </w:tc>
        <w:tc>
          <w:tcPr>
            <w:tcW w:w="452"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w:t>
            </w:r>
          </w:p>
        </w:tc>
        <w:tc>
          <w:tcPr>
            <w:tcW w:w="565"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3.28 </w:t>
            </w:r>
          </w:p>
        </w:tc>
        <w:tc>
          <w:tcPr>
            <w:tcW w:w="901"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1520.93 </w:t>
            </w:r>
          </w:p>
        </w:tc>
        <w:tc>
          <w:tcPr>
            <w:tcW w:w="1194" w:type="pct"/>
            <w:tcBorders>
              <w:top w:val="nil"/>
              <w:left w:val="nil"/>
              <w:bottom w:val="single" w:color="auto" w:sz="4" w:space="0"/>
              <w:right w:val="single" w:color="auto" w:sz="4" w:space="0"/>
            </w:tcBorders>
            <w:noWrap w:val="0"/>
            <w:vAlign w:val="center"/>
          </w:tcPr>
          <w:p>
            <w:pPr>
              <w:widowControl/>
              <w:jc w:val="center"/>
              <w:rPr>
                <w:kern w:val="0"/>
                <w:szCs w:val="21"/>
              </w:rPr>
            </w:pPr>
            <w:r>
              <w:rPr>
                <w:kern w:val="0"/>
                <w:szCs w:val="21"/>
              </w:rPr>
              <w:t xml:space="preserve">49.89 </w:t>
            </w:r>
          </w:p>
        </w:tc>
      </w:tr>
      <w:tr>
        <w:tblPrEx>
          <w:tblCellMar>
            <w:top w:w="0" w:type="dxa"/>
            <w:left w:w="108" w:type="dxa"/>
            <w:bottom w:w="0" w:type="dxa"/>
            <w:right w:w="108" w:type="dxa"/>
          </w:tblCellMar>
        </w:tblPrEx>
        <w:trPr>
          <w:wBefore w:w="0" w:type="dxa"/>
          <w:wAfter w:w="0" w:type="dxa"/>
          <w:trHeight w:val="300" w:hRule="atLeast"/>
        </w:trPr>
        <w:tc>
          <w:tcPr>
            <w:tcW w:w="1888" w:type="pct"/>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b/>
                <w:bCs/>
                <w:kern w:val="0"/>
                <w:szCs w:val="21"/>
              </w:rPr>
            </w:pPr>
            <w:r>
              <w:rPr>
                <w:rFonts w:hint="eastAsia" w:ascii="宋体" w:hAnsi="宋体"/>
                <w:b/>
                <w:bCs/>
                <w:kern w:val="0"/>
                <w:szCs w:val="21"/>
              </w:rPr>
              <w:t>合</w:t>
            </w:r>
            <w:r>
              <w:rPr>
                <w:b/>
                <w:bCs/>
                <w:kern w:val="0"/>
                <w:szCs w:val="21"/>
              </w:rPr>
              <w:t xml:space="preserve">      </w:t>
            </w:r>
            <w:r>
              <w:rPr>
                <w:rFonts w:hint="eastAsia" w:ascii="宋体" w:hAnsi="宋体"/>
                <w:b/>
                <w:bCs/>
                <w:kern w:val="0"/>
                <w:szCs w:val="21"/>
              </w:rPr>
              <w:t>计</w:t>
            </w:r>
          </w:p>
        </w:tc>
        <w:tc>
          <w:tcPr>
            <w:tcW w:w="452" w:type="pct"/>
            <w:tcBorders>
              <w:top w:val="nil"/>
              <w:left w:val="nil"/>
              <w:bottom w:val="single" w:color="auto" w:sz="4" w:space="0"/>
              <w:right w:val="single" w:color="auto" w:sz="4" w:space="0"/>
            </w:tcBorders>
            <w:noWrap w:val="0"/>
            <w:vAlign w:val="center"/>
          </w:tcPr>
          <w:p>
            <w:pPr>
              <w:widowControl/>
              <w:jc w:val="center"/>
              <w:rPr>
                <w:b/>
                <w:bCs/>
                <w:kern w:val="0"/>
                <w:szCs w:val="21"/>
              </w:rPr>
            </w:pPr>
            <w:r>
              <w:rPr>
                <w:b/>
                <w:bCs/>
                <w:kern w:val="0"/>
                <w:szCs w:val="21"/>
              </w:rPr>
              <w:t>　</w:t>
            </w:r>
          </w:p>
        </w:tc>
        <w:tc>
          <w:tcPr>
            <w:tcW w:w="565" w:type="pct"/>
            <w:tcBorders>
              <w:top w:val="nil"/>
              <w:left w:val="nil"/>
              <w:bottom w:val="single" w:color="auto" w:sz="4" w:space="0"/>
              <w:right w:val="single" w:color="auto" w:sz="4" w:space="0"/>
            </w:tcBorders>
            <w:noWrap w:val="0"/>
            <w:vAlign w:val="center"/>
          </w:tcPr>
          <w:p>
            <w:pPr>
              <w:widowControl/>
              <w:jc w:val="center"/>
              <w:rPr>
                <w:b/>
                <w:bCs/>
                <w:kern w:val="0"/>
                <w:szCs w:val="21"/>
              </w:rPr>
            </w:pPr>
            <w:r>
              <w:rPr>
                <w:b/>
                <w:bCs/>
                <w:kern w:val="0"/>
                <w:szCs w:val="21"/>
              </w:rPr>
              <w:t>　</w:t>
            </w:r>
          </w:p>
        </w:tc>
        <w:tc>
          <w:tcPr>
            <w:tcW w:w="901" w:type="pct"/>
            <w:tcBorders>
              <w:top w:val="nil"/>
              <w:left w:val="nil"/>
              <w:bottom w:val="single" w:color="auto" w:sz="4" w:space="0"/>
              <w:right w:val="single" w:color="auto" w:sz="4" w:space="0"/>
            </w:tcBorders>
            <w:noWrap w:val="0"/>
            <w:vAlign w:val="center"/>
          </w:tcPr>
          <w:p>
            <w:pPr>
              <w:widowControl/>
              <w:jc w:val="center"/>
              <w:rPr>
                <w:b/>
                <w:bCs/>
                <w:kern w:val="0"/>
                <w:szCs w:val="21"/>
              </w:rPr>
            </w:pPr>
            <w:r>
              <w:rPr>
                <w:b/>
                <w:bCs/>
                <w:kern w:val="0"/>
                <w:szCs w:val="21"/>
              </w:rPr>
              <w:t>　</w:t>
            </w:r>
          </w:p>
        </w:tc>
        <w:tc>
          <w:tcPr>
            <w:tcW w:w="1194" w:type="pct"/>
            <w:tcBorders>
              <w:top w:val="nil"/>
              <w:left w:val="nil"/>
              <w:bottom w:val="single" w:color="auto" w:sz="4" w:space="0"/>
              <w:right w:val="single" w:color="auto" w:sz="4" w:space="0"/>
            </w:tcBorders>
            <w:noWrap w:val="0"/>
            <w:vAlign w:val="center"/>
          </w:tcPr>
          <w:p>
            <w:pPr>
              <w:widowControl/>
              <w:jc w:val="center"/>
              <w:rPr>
                <w:b/>
                <w:bCs/>
                <w:kern w:val="0"/>
                <w:szCs w:val="21"/>
              </w:rPr>
            </w:pPr>
            <w:r>
              <w:rPr>
                <w:b/>
                <w:bCs/>
                <w:kern w:val="0"/>
                <w:szCs w:val="21"/>
              </w:rPr>
              <w:t xml:space="preserve">1770.48 </w:t>
            </w:r>
          </w:p>
        </w:tc>
      </w:tr>
    </w:tbl>
    <w:p>
      <w:pPr>
        <w:spacing w:line="360" w:lineRule="auto"/>
        <w:ind w:firstLine="470" w:firstLineChars="196"/>
        <w:rPr>
          <w:rFonts w:ascii="宋体" w:hAnsi="宋体"/>
          <w:sz w:val="24"/>
        </w:rPr>
      </w:pPr>
    </w:p>
    <w:p>
      <w:pPr>
        <w:spacing w:line="360" w:lineRule="auto"/>
        <w:ind w:firstLine="470" w:firstLineChars="196"/>
        <w:rPr>
          <w:rFonts w:hint="eastAsia" w:ascii="宋体" w:hAnsi="宋体"/>
          <w:sz w:val="24"/>
        </w:rPr>
      </w:pP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Style w:val="27"/>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&#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z4r+UdIBAACkAwAADgAAAAAAAAABACAAAAAi&#10;AQAAZHJzL2Uyb0RvYy54bWxQSwUGAAAAAAYABgBZAQAAZgUAAAAA&#10;">
              <v:fill on="f" focussize="0,0"/>
              <v:stroke on="f" weight="1.25pt"/>
              <v:imagedata o:title=""/>
              <o:lock v:ext="edit" aspectratio="f"/>
              <v:textbox inset="0mm,0mm,0mm,0mm" style="mso-fit-shape-to-text:t;">
                <w:txbxContent>
                  <w:p/>
                </w:txbxContent>
              </v:textbox>
            </v:shape>
          </w:pict>
        </mc:Fallback>
      </mc:AlternateContent>
    </w:r>
  </w:p>
  <w:p>
    <w:pPr>
      <w:pStyle w:val="1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right" w:y="1"/>
      <w:rPr>
        <w:rStyle w:val="27"/>
      </w:rPr>
    </w:pPr>
  </w:p>
  <w:p>
    <w:pPr>
      <w:pStyle w:val="16"/>
      <w:ind w:right="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ind w:right="360"/>
                            <w:jc w:val="center"/>
                          </w:pPr>
                          <w:r>
                            <w:fldChar w:fldCharType="begin"/>
                          </w:r>
                          <w:r>
                            <w:rPr>
                              <w:rStyle w:val="27"/>
                            </w:rPr>
                            <w:instrText xml:space="preserve"> PAGE </w:instrText>
                          </w:r>
                          <w:r>
                            <w:fldChar w:fldCharType="separate"/>
                          </w:r>
                          <w:r>
                            <w:rPr>
                              <w:rStyle w:val="27"/>
                              <w:lang/>
                            </w:rPr>
                            <w:t>25</w:t>
                          </w:r>
                          <w: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&#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dZJ0QEAAKQDAAAOAAAAAAAAAAEAIAAAACIB&#10;AABkcnMvZTJvRG9jLnhtbFBLBQYAAAAABgAGAFkBAABlBQAAAAA=&#10;">
              <v:fill on="f" focussize="0,0"/>
              <v:stroke on="f" weight="1.25pt"/>
              <v:imagedata o:title=""/>
              <o:lock v:ext="edit" aspectratio="f"/>
              <v:textbox inset="0mm,0mm,0mm,0mm" style="mso-fit-shape-to-text:t;">
                <w:txbxContent>
                  <w:p>
                    <w:pPr>
                      <w:pStyle w:val="16"/>
                      <w:ind w:right="360"/>
                      <w:jc w:val="center"/>
                    </w:pPr>
                    <w:r>
                      <w:fldChar w:fldCharType="begin"/>
                    </w:r>
                    <w:r>
                      <w:rPr>
                        <w:rStyle w:val="27"/>
                      </w:rPr>
                      <w:instrText xml:space="preserve"> PAGE </w:instrText>
                    </w:r>
                    <w:r>
                      <w:fldChar w:fldCharType="separate"/>
                    </w:r>
                    <w:r>
                      <w:rPr>
                        <w:rStyle w:val="27"/>
                        <w:lang/>
                      </w:rPr>
                      <w:t>25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5NzFjYTg1ZjRiNzg1NmI0OTQzOTMxM2VjODU2ZDQifQ=="/>
  </w:docVars>
  <w:rsids>
    <w:rsidRoot w:val="000C394C"/>
    <w:rsid w:val="00000525"/>
    <w:rsid w:val="0000077B"/>
    <w:rsid w:val="0000090D"/>
    <w:rsid w:val="00000E86"/>
    <w:rsid w:val="00000F6D"/>
    <w:rsid w:val="00001C41"/>
    <w:rsid w:val="00002107"/>
    <w:rsid w:val="00002367"/>
    <w:rsid w:val="00002CC7"/>
    <w:rsid w:val="0000316C"/>
    <w:rsid w:val="000055C6"/>
    <w:rsid w:val="00005F10"/>
    <w:rsid w:val="0000686E"/>
    <w:rsid w:val="0000715C"/>
    <w:rsid w:val="0001063E"/>
    <w:rsid w:val="00010AE2"/>
    <w:rsid w:val="000114EF"/>
    <w:rsid w:val="0001151C"/>
    <w:rsid w:val="00011D2C"/>
    <w:rsid w:val="000123EF"/>
    <w:rsid w:val="00012AB7"/>
    <w:rsid w:val="00013CF9"/>
    <w:rsid w:val="00013D4E"/>
    <w:rsid w:val="0001466F"/>
    <w:rsid w:val="00016102"/>
    <w:rsid w:val="00017082"/>
    <w:rsid w:val="000171F3"/>
    <w:rsid w:val="00017A50"/>
    <w:rsid w:val="00020647"/>
    <w:rsid w:val="00020C45"/>
    <w:rsid w:val="00020D27"/>
    <w:rsid w:val="00022EAA"/>
    <w:rsid w:val="000234AB"/>
    <w:rsid w:val="00023AA4"/>
    <w:rsid w:val="00024DEF"/>
    <w:rsid w:val="00025840"/>
    <w:rsid w:val="0002611E"/>
    <w:rsid w:val="000261CA"/>
    <w:rsid w:val="0002658E"/>
    <w:rsid w:val="00026C1A"/>
    <w:rsid w:val="000272F4"/>
    <w:rsid w:val="0002730F"/>
    <w:rsid w:val="00030066"/>
    <w:rsid w:val="0003016A"/>
    <w:rsid w:val="000303DA"/>
    <w:rsid w:val="000305BF"/>
    <w:rsid w:val="00030651"/>
    <w:rsid w:val="00030E2A"/>
    <w:rsid w:val="00030E43"/>
    <w:rsid w:val="00032158"/>
    <w:rsid w:val="0003257E"/>
    <w:rsid w:val="00032784"/>
    <w:rsid w:val="000338EF"/>
    <w:rsid w:val="0003416A"/>
    <w:rsid w:val="00034352"/>
    <w:rsid w:val="00034F4F"/>
    <w:rsid w:val="000356E1"/>
    <w:rsid w:val="00035872"/>
    <w:rsid w:val="00035F76"/>
    <w:rsid w:val="00036E79"/>
    <w:rsid w:val="00036FD3"/>
    <w:rsid w:val="000371EC"/>
    <w:rsid w:val="000378FD"/>
    <w:rsid w:val="00040404"/>
    <w:rsid w:val="00040468"/>
    <w:rsid w:val="0004167E"/>
    <w:rsid w:val="0004230B"/>
    <w:rsid w:val="00042843"/>
    <w:rsid w:val="00042881"/>
    <w:rsid w:val="00042BCF"/>
    <w:rsid w:val="00042CF8"/>
    <w:rsid w:val="00044294"/>
    <w:rsid w:val="0004501A"/>
    <w:rsid w:val="0004550E"/>
    <w:rsid w:val="00047898"/>
    <w:rsid w:val="00047C3F"/>
    <w:rsid w:val="000506D9"/>
    <w:rsid w:val="00050ACD"/>
    <w:rsid w:val="000515C9"/>
    <w:rsid w:val="00052227"/>
    <w:rsid w:val="0005230C"/>
    <w:rsid w:val="000524E0"/>
    <w:rsid w:val="00052666"/>
    <w:rsid w:val="00054099"/>
    <w:rsid w:val="0005429C"/>
    <w:rsid w:val="00054568"/>
    <w:rsid w:val="00055BBB"/>
    <w:rsid w:val="00055CA8"/>
    <w:rsid w:val="00056E8E"/>
    <w:rsid w:val="00057223"/>
    <w:rsid w:val="0005779B"/>
    <w:rsid w:val="00057CFD"/>
    <w:rsid w:val="00060193"/>
    <w:rsid w:val="0006066C"/>
    <w:rsid w:val="0006121D"/>
    <w:rsid w:val="00061BF2"/>
    <w:rsid w:val="00061D93"/>
    <w:rsid w:val="00062028"/>
    <w:rsid w:val="00062E52"/>
    <w:rsid w:val="00063CA5"/>
    <w:rsid w:val="000642B0"/>
    <w:rsid w:val="000650EE"/>
    <w:rsid w:val="0006573A"/>
    <w:rsid w:val="00065777"/>
    <w:rsid w:val="000662CE"/>
    <w:rsid w:val="00066E31"/>
    <w:rsid w:val="00066FA0"/>
    <w:rsid w:val="00067D1D"/>
    <w:rsid w:val="00071592"/>
    <w:rsid w:val="00071E59"/>
    <w:rsid w:val="000725FC"/>
    <w:rsid w:val="00072E61"/>
    <w:rsid w:val="00073439"/>
    <w:rsid w:val="000737B1"/>
    <w:rsid w:val="000746D9"/>
    <w:rsid w:val="000765D6"/>
    <w:rsid w:val="00076D74"/>
    <w:rsid w:val="00076F77"/>
    <w:rsid w:val="000775E1"/>
    <w:rsid w:val="00080C0B"/>
    <w:rsid w:val="00081232"/>
    <w:rsid w:val="0008178E"/>
    <w:rsid w:val="00082B11"/>
    <w:rsid w:val="00082CA8"/>
    <w:rsid w:val="00082D23"/>
    <w:rsid w:val="00082F62"/>
    <w:rsid w:val="00084496"/>
    <w:rsid w:val="00084ABB"/>
    <w:rsid w:val="00084B59"/>
    <w:rsid w:val="00085477"/>
    <w:rsid w:val="00085DE5"/>
    <w:rsid w:val="00086F5F"/>
    <w:rsid w:val="00087324"/>
    <w:rsid w:val="000903DF"/>
    <w:rsid w:val="000905D8"/>
    <w:rsid w:val="00090C8F"/>
    <w:rsid w:val="000913A6"/>
    <w:rsid w:val="00091A72"/>
    <w:rsid w:val="00091B32"/>
    <w:rsid w:val="00092A7F"/>
    <w:rsid w:val="00092ED2"/>
    <w:rsid w:val="00094261"/>
    <w:rsid w:val="00094B6B"/>
    <w:rsid w:val="00094EBC"/>
    <w:rsid w:val="00095A3B"/>
    <w:rsid w:val="00096292"/>
    <w:rsid w:val="00096716"/>
    <w:rsid w:val="00097144"/>
    <w:rsid w:val="00097A32"/>
    <w:rsid w:val="00097C2B"/>
    <w:rsid w:val="000A0A74"/>
    <w:rsid w:val="000A13EE"/>
    <w:rsid w:val="000A1651"/>
    <w:rsid w:val="000A18BE"/>
    <w:rsid w:val="000A18F3"/>
    <w:rsid w:val="000A1ADD"/>
    <w:rsid w:val="000A2020"/>
    <w:rsid w:val="000A21EE"/>
    <w:rsid w:val="000A2545"/>
    <w:rsid w:val="000A2C1F"/>
    <w:rsid w:val="000A2C33"/>
    <w:rsid w:val="000A5EEA"/>
    <w:rsid w:val="000A6547"/>
    <w:rsid w:val="000A663C"/>
    <w:rsid w:val="000A6C39"/>
    <w:rsid w:val="000B06F4"/>
    <w:rsid w:val="000B1A61"/>
    <w:rsid w:val="000B2A78"/>
    <w:rsid w:val="000B4128"/>
    <w:rsid w:val="000B4186"/>
    <w:rsid w:val="000B4277"/>
    <w:rsid w:val="000B480E"/>
    <w:rsid w:val="000B53C3"/>
    <w:rsid w:val="000B58CD"/>
    <w:rsid w:val="000B5C49"/>
    <w:rsid w:val="000B6482"/>
    <w:rsid w:val="000B6A38"/>
    <w:rsid w:val="000B7941"/>
    <w:rsid w:val="000C03FD"/>
    <w:rsid w:val="000C0728"/>
    <w:rsid w:val="000C19C2"/>
    <w:rsid w:val="000C315F"/>
    <w:rsid w:val="000C394C"/>
    <w:rsid w:val="000C3F5D"/>
    <w:rsid w:val="000C3FA6"/>
    <w:rsid w:val="000C4357"/>
    <w:rsid w:val="000C4511"/>
    <w:rsid w:val="000C4979"/>
    <w:rsid w:val="000C5418"/>
    <w:rsid w:val="000C563C"/>
    <w:rsid w:val="000C5F7F"/>
    <w:rsid w:val="000C7F4B"/>
    <w:rsid w:val="000D0465"/>
    <w:rsid w:val="000D0698"/>
    <w:rsid w:val="000D16F1"/>
    <w:rsid w:val="000D2B6C"/>
    <w:rsid w:val="000D326C"/>
    <w:rsid w:val="000D330F"/>
    <w:rsid w:val="000D3411"/>
    <w:rsid w:val="000D367D"/>
    <w:rsid w:val="000D427A"/>
    <w:rsid w:val="000D4DE3"/>
    <w:rsid w:val="000D5A0D"/>
    <w:rsid w:val="000D6B19"/>
    <w:rsid w:val="000D71A6"/>
    <w:rsid w:val="000D77B1"/>
    <w:rsid w:val="000D77C0"/>
    <w:rsid w:val="000D781E"/>
    <w:rsid w:val="000D7CF1"/>
    <w:rsid w:val="000E066E"/>
    <w:rsid w:val="000E19E4"/>
    <w:rsid w:val="000E273C"/>
    <w:rsid w:val="000E3A7D"/>
    <w:rsid w:val="000E42A2"/>
    <w:rsid w:val="000E5B41"/>
    <w:rsid w:val="000E68F0"/>
    <w:rsid w:val="000F0752"/>
    <w:rsid w:val="000F0AC1"/>
    <w:rsid w:val="000F1149"/>
    <w:rsid w:val="000F2881"/>
    <w:rsid w:val="000F2D36"/>
    <w:rsid w:val="000F3D5B"/>
    <w:rsid w:val="000F4816"/>
    <w:rsid w:val="000F502C"/>
    <w:rsid w:val="000F7717"/>
    <w:rsid w:val="00100326"/>
    <w:rsid w:val="00100409"/>
    <w:rsid w:val="00100CDC"/>
    <w:rsid w:val="00100D78"/>
    <w:rsid w:val="00101D9A"/>
    <w:rsid w:val="001028AE"/>
    <w:rsid w:val="0010291B"/>
    <w:rsid w:val="00102ADB"/>
    <w:rsid w:val="0010352F"/>
    <w:rsid w:val="0010372C"/>
    <w:rsid w:val="001038AD"/>
    <w:rsid w:val="0010501E"/>
    <w:rsid w:val="001057F8"/>
    <w:rsid w:val="001063FD"/>
    <w:rsid w:val="0010669E"/>
    <w:rsid w:val="0011069B"/>
    <w:rsid w:val="00110C27"/>
    <w:rsid w:val="001111D3"/>
    <w:rsid w:val="0011122F"/>
    <w:rsid w:val="0011152D"/>
    <w:rsid w:val="0011218D"/>
    <w:rsid w:val="0011267B"/>
    <w:rsid w:val="00113D40"/>
    <w:rsid w:val="001142BF"/>
    <w:rsid w:val="00114752"/>
    <w:rsid w:val="00115563"/>
    <w:rsid w:val="00116B99"/>
    <w:rsid w:val="001174C8"/>
    <w:rsid w:val="00120C04"/>
    <w:rsid w:val="00121262"/>
    <w:rsid w:val="00121857"/>
    <w:rsid w:val="00122E6A"/>
    <w:rsid w:val="00123074"/>
    <w:rsid w:val="00124B2D"/>
    <w:rsid w:val="001250DE"/>
    <w:rsid w:val="00125BAC"/>
    <w:rsid w:val="00126D52"/>
    <w:rsid w:val="00127219"/>
    <w:rsid w:val="001273BC"/>
    <w:rsid w:val="0012741D"/>
    <w:rsid w:val="00127437"/>
    <w:rsid w:val="00127BD2"/>
    <w:rsid w:val="00130BAE"/>
    <w:rsid w:val="00130C17"/>
    <w:rsid w:val="00130D7C"/>
    <w:rsid w:val="00131174"/>
    <w:rsid w:val="00132036"/>
    <w:rsid w:val="0013218D"/>
    <w:rsid w:val="001321FA"/>
    <w:rsid w:val="001328BB"/>
    <w:rsid w:val="00132CB9"/>
    <w:rsid w:val="00132D94"/>
    <w:rsid w:val="0013341F"/>
    <w:rsid w:val="001335AE"/>
    <w:rsid w:val="0013404F"/>
    <w:rsid w:val="00134273"/>
    <w:rsid w:val="00135D7A"/>
    <w:rsid w:val="001378C9"/>
    <w:rsid w:val="00140585"/>
    <w:rsid w:val="00140682"/>
    <w:rsid w:val="001409CE"/>
    <w:rsid w:val="00140AAC"/>
    <w:rsid w:val="00140D70"/>
    <w:rsid w:val="0014171E"/>
    <w:rsid w:val="00141B1A"/>
    <w:rsid w:val="00144D52"/>
    <w:rsid w:val="00144DC4"/>
    <w:rsid w:val="0014611B"/>
    <w:rsid w:val="00146750"/>
    <w:rsid w:val="00147ABA"/>
    <w:rsid w:val="00147E74"/>
    <w:rsid w:val="001501A3"/>
    <w:rsid w:val="00150298"/>
    <w:rsid w:val="001502C9"/>
    <w:rsid w:val="001521D2"/>
    <w:rsid w:val="001528DD"/>
    <w:rsid w:val="00152991"/>
    <w:rsid w:val="00154710"/>
    <w:rsid w:val="00154AA8"/>
    <w:rsid w:val="00157FA7"/>
    <w:rsid w:val="0016059B"/>
    <w:rsid w:val="001606D4"/>
    <w:rsid w:val="001609B1"/>
    <w:rsid w:val="001614F9"/>
    <w:rsid w:val="00161818"/>
    <w:rsid w:val="00161B08"/>
    <w:rsid w:val="0016250D"/>
    <w:rsid w:val="00162E46"/>
    <w:rsid w:val="00162F5C"/>
    <w:rsid w:val="00163690"/>
    <w:rsid w:val="001640B7"/>
    <w:rsid w:val="0016463E"/>
    <w:rsid w:val="001649E2"/>
    <w:rsid w:val="00164C14"/>
    <w:rsid w:val="00164D5D"/>
    <w:rsid w:val="001651DE"/>
    <w:rsid w:val="00165715"/>
    <w:rsid w:val="00165E8D"/>
    <w:rsid w:val="00165F19"/>
    <w:rsid w:val="00166340"/>
    <w:rsid w:val="0016751D"/>
    <w:rsid w:val="001731A7"/>
    <w:rsid w:val="0017378D"/>
    <w:rsid w:val="00173D4F"/>
    <w:rsid w:val="00174474"/>
    <w:rsid w:val="001756E6"/>
    <w:rsid w:val="00175FDF"/>
    <w:rsid w:val="001760CF"/>
    <w:rsid w:val="001804EE"/>
    <w:rsid w:val="00180912"/>
    <w:rsid w:val="00180A93"/>
    <w:rsid w:val="0018106F"/>
    <w:rsid w:val="00181329"/>
    <w:rsid w:val="00181836"/>
    <w:rsid w:val="00181FA5"/>
    <w:rsid w:val="001825DA"/>
    <w:rsid w:val="0018264F"/>
    <w:rsid w:val="00182749"/>
    <w:rsid w:val="00183284"/>
    <w:rsid w:val="001848A8"/>
    <w:rsid w:val="001848B3"/>
    <w:rsid w:val="00184B77"/>
    <w:rsid w:val="00185993"/>
    <w:rsid w:val="00186071"/>
    <w:rsid w:val="00186145"/>
    <w:rsid w:val="00186266"/>
    <w:rsid w:val="00186484"/>
    <w:rsid w:val="00186669"/>
    <w:rsid w:val="001866D9"/>
    <w:rsid w:val="001866FB"/>
    <w:rsid w:val="00186846"/>
    <w:rsid w:val="001870D0"/>
    <w:rsid w:val="00187562"/>
    <w:rsid w:val="001876E1"/>
    <w:rsid w:val="00187A59"/>
    <w:rsid w:val="00190A8C"/>
    <w:rsid w:val="00190F9F"/>
    <w:rsid w:val="00192168"/>
    <w:rsid w:val="001925C3"/>
    <w:rsid w:val="00192663"/>
    <w:rsid w:val="00192768"/>
    <w:rsid w:val="00193801"/>
    <w:rsid w:val="0019390C"/>
    <w:rsid w:val="001939B1"/>
    <w:rsid w:val="00193A8C"/>
    <w:rsid w:val="001954FE"/>
    <w:rsid w:val="001967B1"/>
    <w:rsid w:val="00197461"/>
    <w:rsid w:val="00197D8B"/>
    <w:rsid w:val="001A0455"/>
    <w:rsid w:val="001A0AD5"/>
    <w:rsid w:val="001A10B6"/>
    <w:rsid w:val="001A1BBC"/>
    <w:rsid w:val="001A22A9"/>
    <w:rsid w:val="001A22C2"/>
    <w:rsid w:val="001A426A"/>
    <w:rsid w:val="001A4498"/>
    <w:rsid w:val="001A4C3E"/>
    <w:rsid w:val="001A4EE0"/>
    <w:rsid w:val="001A53DA"/>
    <w:rsid w:val="001A6416"/>
    <w:rsid w:val="001A6EF0"/>
    <w:rsid w:val="001A6FEB"/>
    <w:rsid w:val="001A7555"/>
    <w:rsid w:val="001A7566"/>
    <w:rsid w:val="001A7744"/>
    <w:rsid w:val="001A7CC7"/>
    <w:rsid w:val="001A7FE4"/>
    <w:rsid w:val="001B13DE"/>
    <w:rsid w:val="001B1FE7"/>
    <w:rsid w:val="001B32E7"/>
    <w:rsid w:val="001B3486"/>
    <w:rsid w:val="001B39A0"/>
    <w:rsid w:val="001B443E"/>
    <w:rsid w:val="001B457C"/>
    <w:rsid w:val="001B55BC"/>
    <w:rsid w:val="001B615E"/>
    <w:rsid w:val="001B6D39"/>
    <w:rsid w:val="001B7CF6"/>
    <w:rsid w:val="001C000F"/>
    <w:rsid w:val="001C0151"/>
    <w:rsid w:val="001C11EF"/>
    <w:rsid w:val="001C2C40"/>
    <w:rsid w:val="001C3763"/>
    <w:rsid w:val="001C390C"/>
    <w:rsid w:val="001C3A96"/>
    <w:rsid w:val="001C3CA6"/>
    <w:rsid w:val="001C423C"/>
    <w:rsid w:val="001C4319"/>
    <w:rsid w:val="001C4B68"/>
    <w:rsid w:val="001C6361"/>
    <w:rsid w:val="001C71AD"/>
    <w:rsid w:val="001D0158"/>
    <w:rsid w:val="001D0E73"/>
    <w:rsid w:val="001D22AF"/>
    <w:rsid w:val="001D2A1D"/>
    <w:rsid w:val="001D4C04"/>
    <w:rsid w:val="001D4CFC"/>
    <w:rsid w:val="001D5104"/>
    <w:rsid w:val="001D5D8F"/>
    <w:rsid w:val="001D5E4B"/>
    <w:rsid w:val="001D63D7"/>
    <w:rsid w:val="001D7811"/>
    <w:rsid w:val="001E27F2"/>
    <w:rsid w:val="001E287A"/>
    <w:rsid w:val="001E2CB3"/>
    <w:rsid w:val="001E301F"/>
    <w:rsid w:val="001E3949"/>
    <w:rsid w:val="001E4871"/>
    <w:rsid w:val="001E5312"/>
    <w:rsid w:val="001E54D7"/>
    <w:rsid w:val="001E5774"/>
    <w:rsid w:val="001E6336"/>
    <w:rsid w:val="001E695F"/>
    <w:rsid w:val="001E6F96"/>
    <w:rsid w:val="001E72D6"/>
    <w:rsid w:val="001F02F9"/>
    <w:rsid w:val="001F0EAE"/>
    <w:rsid w:val="001F135A"/>
    <w:rsid w:val="001F2014"/>
    <w:rsid w:val="001F25D7"/>
    <w:rsid w:val="001F277F"/>
    <w:rsid w:val="001F373D"/>
    <w:rsid w:val="001F48AA"/>
    <w:rsid w:val="001F5BC6"/>
    <w:rsid w:val="00200049"/>
    <w:rsid w:val="00200DE8"/>
    <w:rsid w:val="00201C07"/>
    <w:rsid w:val="00203465"/>
    <w:rsid w:val="00203A51"/>
    <w:rsid w:val="00203B91"/>
    <w:rsid w:val="002041B8"/>
    <w:rsid w:val="0020474C"/>
    <w:rsid w:val="00205553"/>
    <w:rsid w:val="00206049"/>
    <w:rsid w:val="0020635B"/>
    <w:rsid w:val="0020687D"/>
    <w:rsid w:val="00206B91"/>
    <w:rsid w:val="00206D07"/>
    <w:rsid w:val="002071D4"/>
    <w:rsid w:val="0021025E"/>
    <w:rsid w:val="00210D9B"/>
    <w:rsid w:val="00211067"/>
    <w:rsid w:val="002118DD"/>
    <w:rsid w:val="00212894"/>
    <w:rsid w:val="00213D37"/>
    <w:rsid w:val="002141B3"/>
    <w:rsid w:val="00214405"/>
    <w:rsid w:val="00216A98"/>
    <w:rsid w:val="00217276"/>
    <w:rsid w:val="00217E67"/>
    <w:rsid w:val="00220737"/>
    <w:rsid w:val="00220AE2"/>
    <w:rsid w:val="00220DD8"/>
    <w:rsid w:val="0022117C"/>
    <w:rsid w:val="002211CD"/>
    <w:rsid w:val="00221310"/>
    <w:rsid w:val="0022186B"/>
    <w:rsid w:val="00221AEE"/>
    <w:rsid w:val="00222735"/>
    <w:rsid w:val="00222E05"/>
    <w:rsid w:val="00224E93"/>
    <w:rsid w:val="002256E0"/>
    <w:rsid w:val="00226703"/>
    <w:rsid w:val="0022690A"/>
    <w:rsid w:val="0022718A"/>
    <w:rsid w:val="0022775E"/>
    <w:rsid w:val="002278D3"/>
    <w:rsid w:val="00227BB3"/>
    <w:rsid w:val="00230617"/>
    <w:rsid w:val="00231AAA"/>
    <w:rsid w:val="00232C30"/>
    <w:rsid w:val="00233170"/>
    <w:rsid w:val="00233BB6"/>
    <w:rsid w:val="00234C90"/>
    <w:rsid w:val="00235FD3"/>
    <w:rsid w:val="00237A59"/>
    <w:rsid w:val="0024131F"/>
    <w:rsid w:val="00241B6C"/>
    <w:rsid w:val="00241CBC"/>
    <w:rsid w:val="002421E6"/>
    <w:rsid w:val="00242A51"/>
    <w:rsid w:val="0024437B"/>
    <w:rsid w:val="0024450F"/>
    <w:rsid w:val="002448CE"/>
    <w:rsid w:val="002455EC"/>
    <w:rsid w:val="00245C4B"/>
    <w:rsid w:val="00246554"/>
    <w:rsid w:val="00247721"/>
    <w:rsid w:val="00250DB4"/>
    <w:rsid w:val="002512EE"/>
    <w:rsid w:val="00251930"/>
    <w:rsid w:val="0025296C"/>
    <w:rsid w:val="00253792"/>
    <w:rsid w:val="002537A0"/>
    <w:rsid w:val="00253A6F"/>
    <w:rsid w:val="00253BE0"/>
    <w:rsid w:val="00253C75"/>
    <w:rsid w:val="0025493A"/>
    <w:rsid w:val="00254B6E"/>
    <w:rsid w:val="00254C7E"/>
    <w:rsid w:val="00255513"/>
    <w:rsid w:val="00255571"/>
    <w:rsid w:val="00255886"/>
    <w:rsid w:val="00256CD6"/>
    <w:rsid w:val="00257365"/>
    <w:rsid w:val="00260517"/>
    <w:rsid w:val="00260A81"/>
    <w:rsid w:val="00261953"/>
    <w:rsid w:val="00261F1A"/>
    <w:rsid w:val="00262264"/>
    <w:rsid w:val="00262362"/>
    <w:rsid w:val="0026262C"/>
    <w:rsid w:val="002627A5"/>
    <w:rsid w:val="0026304E"/>
    <w:rsid w:val="00263751"/>
    <w:rsid w:val="002643B4"/>
    <w:rsid w:val="0026475A"/>
    <w:rsid w:val="00264B36"/>
    <w:rsid w:val="00265078"/>
    <w:rsid w:val="002664E4"/>
    <w:rsid w:val="00266625"/>
    <w:rsid w:val="00266DE5"/>
    <w:rsid w:val="00267829"/>
    <w:rsid w:val="00267A00"/>
    <w:rsid w:val="00267A71"/>
    <w:rsid w:val="00267CD5"/>
    <w:rsid w:val="00267D2B"/>
    <w:rsid w:val="00270366"/>
    <w:rsid w:val="002704B2"/>
    <w:rsid w:val="00273925"/>
    <w:rsid w:val="00273A7F"/>
    <w:rsid w:val="00273C3E"/>
    <w:rsid w:val="002747BE"/>
    <w:rsid w:val="00274A19"/>
    <w:rsid w:val="00275D7E"/>
    <w:rsid w:val="00275D9A"/>
    <w:rsid w:val="00275F8C"/>
    <w:rsid w:val="00276264"/>
    <w:rsid w:val="002765D7"/>
    <w:rsid w:val="00276AF7"/>
    <w:rsid w:val="0027736B"/>
    <w:rsid w:val="00277A5D"/>
    <w:rsid w:val="00280A87"/>
    <w:rsid w:val="0028120D"/>
    <w:rsid w:val="0028180D"/>
    <w:rsid w:val="00281A06"/>
    <w:rsid w:val="00282359"/>
    <w:rsid w:val="00282AA3"/>
    <w:rsid w:val="00285423"/>
    <w:rsid w:val="00286E3A"/>
    <w:rsid w:val="002871D4"/>
    <w:rsid w:val="00287CE4"/>
    <w:rsid w:val="00290B11"/>
    <w:rsid w:val="00290F4E"/>
    <w:rsid w:val="002915B7"/>
    <w:rsid w:val="00291D09"/>
    <w:rsid w:val="00291EE3"/>
    <w:rsid w:val="00291FCC"/>
    <w:rsid w:val="0029252F"/>
    <w:rsid w:val="00292C97"/>
    <w:rsid w:val="0029318F"/>
    <w:rsid w:val="002931DA"/>
    <w:rsid w:val="00294F97"/>
    <w:rsid w:val="00295F91"/>
    <w:rsid w:val="0029781E"/>
    <w:rsid w:val="002A052C"/>
    <w:rsid w:val="002A0694"/>
    <w:rsid w:val="002A0FE4"/>
    <w:rsid w:val="002A1530"/>
    <w:rsid w:val="002A1D6F"/>
    <w:rsid w:val="002A2420"/>
    <w:rsid w:val="002A2D10"/>
    <w:rsid w:val="002A3A16"/>
    <w:rsid w:val="002A3F24"/>
    <w:rsid w:val="002A3FB6"/>
    <w:rsid w:val="002A3FC9"/>
    <w:rsid w:val="002A4572"/>
    <w:rsid w:val="002A4936"/>
    <w:rsid w:val="002A4D37"/>
    <w:rsid w:val="002A5518"/>
    <w:rsid w:val="002A7549"/>
    <w:rsid w:val="002A78E2"/>
    <w:rsid w:val="002A7D46"/>
    <w:rsid w:val="002B03CA"/>
    <w:rsid w:val="002B0D61"/>
    <w:rsid w:val="002B107A"/>
    <w:rsid w:val="002B1C7E"/>
    <w:rsid w:val="002B2F3A"/>
    <w:rsid w:val="002B4670"/>
    <w:rsid w:val="002B490C"/>
    <w:rsid w:val="002B49A4"/>
    <w:rsid w:val="002B4BA2"/>
    <w:rsid w:val="002B5969"/>
    <w:rsid w:val="002B5A71"/>
    <w:rsid w:val="002B5E30"/>
    <w:rsid w:val="002B7223"/>
    <w:rsid w:val="002B75D1"/>
    <w:rsid w:val="002B784C"/>
    <w:rsid w:val="002B7ACE"/>
    <w:rsid w:val="002B7F84"/>
    <w:rsid w:val="002C054C"/>
    <w:rsid w:val="002C0DFC"/>
    <w:rsid w:val="002C1429"/>
    <w:rsid w:val="002C1B32"/>
    <w:rsid w:val="002C2C7F"/>
    <w:rsid w:val="002C2D73"/>
    <w:rsid w:val="002C2EA2"/>
    <w:rsid w:val="002C3522"/>
    <w:rsid w:val="002C5348"/>
    <w:rsid w:val="002C562D"/>
    <w:rsid w:val="002C625C"/>
    <w:rsid w:val="002C6AEE"/>
    <w:rsid w:val="002C6CB1"/>
    <w:rsid w:val="002C7412"/>
    <w:rsid w:val="002C7434"/>
    <w:rsid w:val="002C7CB5"/>
    <w:rsid w:val="002C7FA7"/>
    <w:rsid w:val="002D16A7"/>
    <w:rsid w:val="002D16CF"/>
    <w:rsid w:val="002D20C8"/>
    <w:rsid w:val="002D2786"/>
    <w:rsid w:val="002D312F"/>
    <w:rsid w:val="002D3A31"/>
    <w:rsid w:val="002D4695"/>
    <w:rsid w:val="002D4911"/>
    <w:rsid w:val="002D4CA6"/>
    <w:rsid w:val="002D4ED1"/>
    <w:rsid w:val="002D5058"/>
    <w:rsid w:val="002D58E2"/>
    <w:rsid w:val="002D5966"/>
    <w:rsid w:val="002D679F"/>
    <w:rsid w:val="002D756E"/>
    <w:rsid w:val="002D7A5D"/>
    <w:rsid w:val="002E03F6"/>
    <w:rsid w:val="002E08D2"/>
    <w:rsid w:val="002E08FF"/>
    <w:rsid w:val="002E0E64"/>
    <w:rsid w:val="002E18A1"/>
    <w:rsid w:val="002E1CF8"/>
    <w:rsid w:val="002E21B3"/>
    <w:rsid w:val="002E2A4B"/>
    <w:rsid w:val="002E314C"/>
    <w:rsid w:val="002E3C01"/>
    <w:rsid w:val="002E3FC9"/>
    <w:rsid w:val="002E49E0"/>
    <w:rsid w:val="002E511A"/>
    <w:rsid w:val="002E59BF"/>
    <w:rsid w:val="002E5FF1"/>
    <w:rsid w:val="002E600D"/>
    <w:rsid w:val="002E6045"/>
    <w:rsid w:val="002E6BBC"/>
    <w:rsid w:val="002E74ED"/>
    <w:rsid w:val="002E7608"/>
    <w:rsid w:val="002E7EA0"/>
    <w:rsid w:val="002F0682"/>
    <w:rsid w:val="002F0FE8"/>
    <w:rsid w:val="002F119D"/>
    <w:rsid w:val="002F1213"/>
    <w:rsid w:val="002F168F"/>
    <w:rsid w:val="002F1DBD"/>
    <w:rsid w:val="002F3018"/>
    <w:rsid w:val="002F3241"/>
    <w:rsid w:val="002F43DC"/>
    <w:rsid w:val="002F4BA2"/>
    <w:rsid w:val="002F6020"/>
    <w:rsid w:val="002F607C"/>
    <w:rsid w:val="002F782F"/>
    <w:rsid w:val="002F79BA"/>
    <w:rsid w:val="003007C5"/>
    <w:rsid w:val="003013D4"/>
    <w:rsid w:val="00301701"/>
    <w:rsid w:val="00301ED3"/>
    <w:rsid w:val="003037E2"/>
    <w:rsid w:val="00304174"/>
    <w:rsid w:val="00304B6E"/>
    <w:rsid w:val="00305095"/>
    <w:rsid w:val="003051FC"/>
    <w:rsid w:val="00305218"/>
    <w:rsid w:val="003052AF"/>
    <w:rsid w:val="00305385"/>
    <w:rsid w:val="00305D1D"/>
    <w:rsid w:val="00306F3E"/>
    <w:rsid w:val="00310045"/>
    <w:rsid w:val="00310820"/>
    <w:rsid w:val="00310961"/>
    <w:rsid w:val="00311332"/>
    <w:rsid w:val="0031145E"/>
    <w:rsid w:val="0031211A"/>
    <w:rsid w:val="003122E8"/>
    <w:rsid w:val="0031278D"/>
    <w:rsid w:val="00313B19"/>
    <w:rsid w:val="00314161"/>
    <w:rsid w:val="00314459"/>
    <w:rsid w:val="00314668"/>
    <w:rsid w:val="00314B7E"/>
    <w:rsid w:val="003153B0"/>
    <w:rsid w:val="00315544"/>
    <w:rsid w:val="00315EC0"/>
    <w:rsid w:val="003160D1"/>
    <w:rsid w:val="003162B7"/>
    <w:rsid w:val="0031662B"/>
    <w:rsid w:val="003178C5"/>
    <w:rsid w:val="00317B12"/>
    <w:rsid w:val="003209EF"/>
    <w:rsid w:val="00320CD0"/>
    <w:rsid w:val="00320E69"/>
    <w:rsid w:val="00321092"/>
    <w:rsid w:val="0032269F"/>
    <w:rsid w:val="003229D1"/>
    <w:rsid w:val="00324163"/>
    <w:rsid w:val="003243E0"/>
    <w:rsid w:val="003249A9"/>
    <w:rsid w:val="00325FCC"/>
    <w:rsid w:val="00326548"/>
    <w:rsid w:val="00326597"/>
    <w:rsid w:val="00326F4E"/>
    <w:rsid w:val="003303DA"/>
    <w:rsid w:val="00330433"/>
    <w:rsid w:val="00330E76"/>
    <w:rsid w:val="0033110D"/>
    <w:rsid w:val="00331C77"/>
    <w:rsid w:val="00332244"/>
    <w:rsid w:val="0033231B"/>
    <w:rsid w:val="00332534"/>
    <w:rsid w:val="00333764"/>
    <w:rsid w:val="0033402F"/>
    <w:rsid w:val="00334B3C"/>
    <w:rsid w:val="00334E36"/>
    <w:rsid w:val="003351A3"/>
    <w:rsid w:val="00336C56"/>
    <w:rsid w:val="00336EFD"/>
    <w:rsid w:val="00337338"/>
    <w:rsid w:val="0034063A"/>
    <w:rsid w:val="003406E3"/>
    <w:rsid w:val="00340A99"/>
    <w:rsid w:val="00340B8D"/>
    <w:rsid w:val="00342577"/>
    <w:rsid w:val="0034376F"/>
    <w:rsid w:val="00343C3A"/>
    <w:rsid w:val="00344DD1"/>
    <w:rsid w:val="00345329"/>
    <w:rsid w:val="003459FA"/>
    <w:rsid w:val="00345A31"/>
    <w:rsid w:val="00345E4B"/>
    <w:rsid w:val="003460B4"/>
    <w:rsid w:val="003460C0"/>
    <w:rsid w:val="00346224"/>
    <w:rsid w:val="00346F6B"/>
    <w:rsid w:val="00347F33"/>
    <w:rsid w:val="0035044F"/>
    <w:rsid w:val="003512EF"/>
    <w:rsid w:val="00351C0F"/>
    <w:rsid w:val="00351EC6"/>
    <w:rsid w:val="00353C1D"/>
    <w:rsid w:val="00354010"/>
    <w:rsid w:val="00354587"/>
    <w:rsid w:val="003546B4"/>
    <w:rsid w:val="0035536E"/>
    <w:rsid w:val="00356271"/>
    <w:rsid w:val="00356928"/>
    <w:rsid w:val="00356B68"/>
    <w:rsid w:val="003577B4"/>
    <w:rsid w:val="00360D14"/>
    <w:rsid w:val="00361DE0"/>
    <w:rsid w:val="00362A83"/>
    <w:rsid w:val="003637CD"/>
    <w:rsid w:val="00363908"/>
    <w:rsid w:val="00364138"/>
    <w:rsid w:val="003641CC"/>
    <w:rsid w:val="00364F64"/>
    <w:rsid w:val="003654D3"/>
    <w:rsid w:val="00365C10"/>
    <w:rsid w:val="00366135"/>
    <w:rsid w:val="00366465"/>
    <w:rsid w:val="00366699"/>
    <w:rsid w:val="00367317"/>
    <w:rsid w:val="00367E96"/>
    <w:rsid w:val="00370C3E"/>
    <w:rsid w:val="00370D32"/>
    <w:rsid w:val="00372E82"/>
    <w:rsid w:val="00373053"/>
    <w:rsid w:val="003730B9"/>
    <w:rsid w:val="00373687"/>
    <w:rsid w:val="00374155"/>
    <w:rsid w:val="003743B6"/>
    <w:rsid w:val="00374CC1"/>
    <w:rsid w:val="00374CE5"/>
    <w:rsid w:val="00375C5B"/>
    <w:rsid w:val="00377262"/>
    <w:rsid w:val="003801DD"/>
    <w:rsid w:val="0038033E"/>
    <w:rsid w:val="00381345"/>
    <w:rsid w:val="003830EE"/>
    <w:rsid w:val="00383417"/>
    <w:rsid w:val="00383B4B"/>
    <w:rsid w:val="00384664"/>
    <w:rsid w:val="003848E9"/>
    <w:rsid w:val="003852D0"/>
    <w:rsid w:val="003857BE"/>
    <w:rsid w:val="0038685B"/>
    <w:rsid w:val="003869FA"/>
    <w:rsid w:val="00386CF0"/>
    <w:rsid w:val="00386E28"/>
    <w:rsid w:val="00390567"/>
    <w:rsid w:val="003905C5"/>
    <w:rsid w:val="00390A50"/>
    <w:rsid w:val="0039328F"/>
    <w:rsid w:val="00394F0C"/>
    <w:rsid w:val="00394FEF"/>
    <w:rsid w:val="00397706"/>
    <w:rsid w:val="00397F63"/>
    <w:rsid w:val="003A02D2"/>
    <w:rsid w:val="003A030B"/>
    <w:rsid w:val="003A0C48"/>
    <w:rsid w:val="003A23AB"/>
    <w:rsid w:val="003A2D41"/>
    <w:rsid w:val="003A3008"/>
    <w:rsid w:val="003A3863"/>
    <w:rsid w:val="003A3EF4"/>
    <w:rsid w:val="003A42A3"/>
    <w:rsid w:val="003A49E9"/>
    <w:rsid w:val="003A4A4D"/>
    <w:rsid w:val="003A5888"/>
    <w:rsid w:val="003A5D23"/>
    <w:rsid w:val="003A5F8D"/>
    <w:rsid w:val="003A6C16"/>
    <w:rsid w:val="003B095A"/>
    <w:rsid w:val="003B1013"/>
    <w:rsid w:val="003B131D"/>
    <w:rsid w:val="003B2020"/>
    <w:rsid w:val="003B344B"/>
    <w:rsid w:val="003B38EB"/>
    <w:rsid w:val="003B3DBC"/>
    <w:rsid w:val="003B4A7E"/>
    <w:rsid w:val="003B5585"/>
    <w:rsid w:val="003B57F4"/>
    <w:rsid w:val="003B62F6"/>
    <w:rsid w:val="003B6824"/>
    <w:rsid w:val="003B7DC7"/>
    <w:rsid w:val="003B7DF2"/>
    <w:rsid w:val="003C05E4"/>
    <w:rsid w:val="003C10FE"/>
    <w:rsid w:val="003C185F"/>
    <w:rsid w:val="003C1C37"/>
    <w:rsid w:val="003C1D12"/>
    <w:rsid w:val="003C2302"/>
    <w:rsid w:val="003C2B3A"/>
    <w:rsid w:val="003C2F3E"/>
    <w:rsid w:val="003C38EE"/>
    <w:rsid w:val="003C395A"/>
    <w:rsid w:val="003C3D55"/>
    <w:rsid w:val="003C5265"/>
    <w:rsid w:val="003C583A"/>
    <w:rsid w:val="003C6D61"/>
    <w:rsid w:val="003D0D38"/>
    <w:rsid w:val="003D1695"/>
    <w:rsid w:val="003D25CA"/>
    <w:rsid w:val="003D42BB"/>
    <w:rsid w:val="003D467F"/>
    <w:rsid w:val="003D4CFE"/>
    <w:rsid w:val="003D4D47"/>
    <w:rsid w:val="003D4E26"/>
    <w:rsid w:val="003D5F2B"/>
    <w:rsid w:val="003D6840"/>
    <w:rsid w:val="003D6C43"/>
    <w:rsid w:val="003D74FC"/>
    <w:rsid w:val="003E1631"/>
    <w:rsid w:val="003E2EAC"/>
    <w:rsid w:val="003E36E9"/>
    <w:rsid w:val="003E3730"/>
    <w:rsid w:val="003E379C"/>
    <w:rsid w:val="003E399E"/>
    <w:rsid w:val="003E4ABB"/>
    <w:rsid w:val="003E4B34"/>
    <w:rsid w:val="003E4DEE"/>
    <w:rsid w:val="003E56BB"/>
    <w:rsid w:val="003E77E1"/>
    <w:rsid w:val="003F260A"/>
    <w:rsid w:val="003F2712"/>
    <w:rsid w:val="003F2794"/>
    <w:rsid w:val="003F2B76"/>
    <w:rsid w:val="003F4A60"/>
    <w:rsid w:val="003F589B"/>
    <w:rsid w:val="003F5F6D"/>
    <w:rsid w:val="003F5F7C"/>
    <w:rsid w:val="003F6F57"/>
    <w:rsid w:val="003F7355"/>
    <w:rsid w:val="003F768A"/>
    <w:rsid w:val="003F787C"/>
    <w:rsid w:val="003F7926"/>
    <w:rsid w:val="003F7FD5"/>
    <w:rsid w:val="00400754"/>
    <w:rsid w:val="00400AB3"/>
    <w:rsid w:val="00402B04"/>
    <w:rsid w:val="0040373D"/>
    <w:rsid w:val="00403C0D"/>
    <w:rsid w:val="00403C52"/>
    <w:rsid w:val="00403DC6"/>
    <w:rsid w:val="004041E9"/>
    <w:rsid w:val="00404292"/>
    <w:rsid w:val="004044BA"/>
    <w:rsid w:val="00404835"/>
    <w:rsid w:val="004048AA"/>
    <w:rsid w:val="00404DE7"/>
    <w:rsid w:val="00405299"/>
    <w:rsid w:val="00405D6D"/>
    <w:rsid w:val="00405F87"/>
    <w:rsid w:val="00406F3F"/>
    <w:rsid w:val="00406FA2"/>
    <w:rsid w:val="00407848"/>
    <w:rsid w:val="004079E1"/>
    <w:rsid w:val="00410DCF"/>
    <w:rsid w:val="0041137E"/>
    <w:rsid w:val="00412218"/>
    <w:rsid w:val="00412B7A"/>
    <w:rsid w:val="0041332F"/>
    <w:rsid w:val="004142BA"/>
    <w:rsid w:val="00414C3E"/>
    <w:rsid w:val="0041604A"/>
    <w:rsid w:val="00416055"/>
    <w:rsid w:val="0041661C"/>
    <w:rsid w:val="00416756"/>
    <w:rsid w:val="00420439"/>
    <w:rsid w:val="00420790"/>
    <w:rsid w:val="0042191E"/>
    <w:rsid w:val="00421957"/>
    <w:rsid w:val="00422449"/>
    <w:rsid w:val="004232B0"/>
    <w:rsid w:val="004237E8"/>
    <w:rsid w:val="0042447D"/>
    <w:rsid w:val="00424CFC"/>
    <w:rsid w:val="00425B77"/>
    <w:rsid w:val="00426149"/>
    <w:rsid w:val="004264F1"/>
    <w:rsid w:val="00427515"/>
    <w:rsid w:val="00430393"/>
    <w:rsid w:val="0043172E"/>
    <w:rsid w:val="0043245B"/>
    <w:rsid w:val="004334BA"/>
    <w:rsid w:val="00433AD2"/>
    <w:rsid w:val="004340B5"/>
    <w:rsid w:val="00436DFD"/>
    <w:rsid w:val="00436EC5"/>
    <w:rsid w:val="00436F82"/>
    <w:rsid w:val="00437680"/>
    <w:rsid w:val="00437881"/>
    <w:rsid w:val="00437BE3"/>
    <w:rsid w:val="00437D81"/>
    <w:rsid w:val="00440A35"/>
    <w:rsid w:val="00441939"/>
    <w:rsid w:val="00441D70"/>
    <w:rsid w:val="0044218F"/>
    <w:rsid w:val="0044241D"/>
    <w:rsid w:val="0044319B"/>
    <w:rsid w:val="004433A7"/>
    <w:rsid w:val="00444186"/>
    <w:rsid w:val="00444896"/>
    <w:rsid w:val="004449D3"/>
    <w:rsid w:val="00444C8D"/>
    <w:rsid w:val="00445000"/>
    <w:rsid w:val="00445709"/>
    <w:rsid w:val="004464B3"/>
    <w:rsid w:val="00446678"/>
    <w:rsid w:val="00447667"/>
    <w:rsid w:val="00450B64"/>
    <w:rsid w:val="004516A5"/>
    <w:rsid w:val="004523EB"/>
    <w:rsid w:val="00452C6C"/>
    <w:rsid w:val="00453092"/>
    <w:rsid w:val="00453F67"/>
    <w:rsid w:val="00454BAB"/>
    <w:rsid w:val="00454E7A"/>
    <w:rsid w:val="004553F7"/>
    <w:rsid w:val="004559EF"/>
    <w:rsid w:val="00455B19"/>
    <w:rsid w:val="0045678A"/>
    <w:rsid w:val="00456806"/>
    <w:rsid w:val="00456ECD"/>
    <w:rsid w:val="0046149F"/>
    <w:rsid w:val="00461ABC"/>
    <w:rsid w:val="00461EBB"/>
    <w:rsid w:val="004620AE"/>
    <w:rsid w:val="00462104"/>
    <w:rsid w:val="00462369"/>
    <w:rsid w:val="004639F7"/>
    <w:rsid w:val="00464726"/>
    <w:rsid w:val="0046662F"/>
    <w:rsid w:val="00466DFC"/>
    <w:rsid w:val="004671E2"/>
    <w:rsid w:val="00471834"/>
    <w:rsid w:val="0047193B"/>
    <w:rsid w:val="00471B1C"/>
    <w:rsid w:val="00471B38"/>
    <w:rsid w:val="00471C05"/>
    <w:rsid w:val="004720D1"/>
    <w:rsid w:val="00474297"/>
    <w:rsid w:val="00474923"/>
    <w:rsid w:val="00474B5B"/>
    <w:rsid w:val="00474E08"/>
    <w:rsid w:val="0047625F"/>
    <w:rsid w:val="00476B8F"/>
    <w:rsid w:val="004802BC"/>
    <w:rsid w:val="0048037D"/>
    <w:rsid w:val="004807D9"/>
    <w:rsid w:val="0048091A"/>
    <w:rsid w:val="00480C06"/>
    <w:rsid w:val="00481A5B"/>
    <w:rsid w:val="0048210C"/>
    <w:rsid w:val="004824F8"/>
    <w:rsid w:val="0048284A"/>
    <w:rsid w:val="00482B87"/>
    <w:rsid w:val="00482C8A"/>
    <w:rsid w:val="00484041"/>
    <w:rsid w:val="00484ADA"/>
    <w:rsid w:val="00485222"/>
    <w:rsid w:val="004854DD"/>
    <w:rsid w:val="0048579E"/>
    <w:rsid w:val="00485CB1"/>
    <w:rsid w:val="00485F3C"/>
    <w:rsid w:val="004865EA"/>
    <w:rsid w:val="004865FD"/>
    <w:rsid w:val="00487BDE"/>
    <w:rsid w:val="0049049C"/>
    <w:rsid w:val="00490864"/>
    <w:rsid w:val="004909E3"/>
    <w:rsid w:val="0049141B"/>
    <w:rsid w:val="004919E8"/>
    <w:rsid w:val="0049295B"/>
    <w:rsid w:val="00493579"/>
    <w:rsid w:val="0049407B"/>
    <w:rsid w:val="00494A86"/>
    <w:rsid w:val="00494ACA"/>
    <w:rsid w:val="00494FF5"/>
    <w:rsid w:val="004960CD"/>
    <w:rsid w:val="00496C6C"/>
    <w:rsid w:val="00497170"/>
    <w:rsid w:val="0049779F"/>
    <w:rsid w:val="004A069C"/>
    <w:rsid w:val="004A0CA7"/>
    <w:rsid w:val="004A18B3"/>
    <w:rsid w:val="004A1C00"/>
    <w:rsid w:val="004A3B4B"/>
    <w:rsid w:val="004A425A"/>
    <w:rsid w:val="004A4270"/>
    <w:rsid w:val="004A5760"/>
    <w:rsid w:val="004A5C55"/>
    <w:rsid w:val="004A65DF"/>
    <w:rsid w:val="004A75C1"/>
    <w:rsid w:val="004B1913"/>
    <w:rsid w:val="004B2381"/>
    <w:rsid w:val="004B27DD"/>
    <w:rsid w:val="004B2BE3"/>
    <w:rsid w:val="004B37AC"/>
    <w:rsid w:val="004B470F"/>
    <w:rsid w:val="004B486F"/>
    <w:rsid w:val="004B5334"/>
    <w:rsid w:val="004B5559"/>
    <w:rsid w:val="004B611F"/>
    <w:rsid w:val="004B6D52"/>
    <w:rsid w:val="004B7C0E"/>
    <w:rsid w:val="004C074E"/>
    <w:rsid w:val="004C0E7D"/>
    <w:rsid w:val="004C0F91"/>
    <w:rsid w:val="004C1511"/>
    <w:rsid w:val="004C2367"/>
    <w:rsid w:val="004C244D"/>
    <w:rsid w:val="004C265D"/>
    <w:rsid w:val="004C2CF4"/>
    <w:rsid w:val="004C3779"/>
    <w:rsid w:val="004C388C"/>
    <w:rsid w:val="004C409E"/>
    <w:rsid w:val="004C455C"/>
    <w:rsid w:val="004C65E2"/>
    <w:rsid w:val="004C79BB"/>
    <w:rsid w:val="004D0AD9"/>
    <w:rsid w:val="004D0C8C"/>
    <w:rsid w:val="004D1491"/>
    <w:rsid w:val="004D14C7"/>
    <w:rsid w:val="004D152C"/>
    <w:rsid w:val="004D1792"/>
    <w:rsid w:val="004D1983"/>
    <w:rsid w:val="004D27D5"/>
    <w:rsid w:val="004D2CBF"/>
    <w:rsid w:val="004D3568"/>
    <w:rsid w:val="004D357A"/>
    <w:rsid w:val="004D468D"/>
    <w:rsid w:val="004D4ECE"/>
    <w:rsid w:val="004D5249"/>
    <w:rsid w:val="004D574F"/>
    <w:rsid w:val="004D61D4"/>
    <w:rsid w:val="004D6CB8"/>
    <w:rsid w:val="004D75E8"/>
    <w:rsid w:val="004D766C"/>
    <w:rsid w:val="004D7AAC"/>
    <w:rsid w:val="004D7F6F"/>
    <w:rsid w:val="004E0003"/>
    <w:rsid w:val="004E076A"/>
    <w:rsid w:val="004E2188"/>
    <w:rsid w:val="004E26CD"/>
    <w:rsid w:val="004E2CA5"/>
    <w:rsid w:val="004E3A91"/>
    <w:rsid w:val="004E49B3"/>
    <w:rsid w:val="004E49CB"/>
    <w:rsid w:val="004E4DE0"/>
    <w:rsid w:val="004E55FB"/>
    <w:rsid w:val="004E5655"/>
    <w:rsid w:val="004E580C"/>
    <w:rsid w:val="004E5D84"/>
    <w:rsid w:val="004E6E31"/>
    <w:rsid w:val="004E6F48"/>
    <w:rsid w:val="004F0E97"/>
    <w:rsid w:val="004F1491"/>
    <w:rsid w:val="004F27B6"/>
    <w:rsid w:val="004F343C"/>
    <w:rsid w:val="004F3C33"/>
    <w:rsid w:val="004F5FB6"/>
    <w:rsid w:val="004F64F8"/>
    <w:rsid w:val="004F6D1D"/>
    <w:rsid w:val="004F70D1"/>
    <w:rsid w:val="004F749F"/>
    <w:rsid w:val="004F7C61"/>
    <w:rsid w:val="004F7C67"/>
    <w:rsid w:val="004F7D04"/>
    <w:rsid w:val="004F7F79"/>
    <w:rsid w:val="005005A7"/>
    <w:rsid w:val="005006B6"/>
    <w:rsid w:val="005007B1"/>
    <w:rsid w:val="00500E39"/>
    <w:rsid w:val="0050147B"/>
    <w:rsid w:val="005017D0"/>
    <w:rsid w:val="0050194A"/>
    <w:rsid w:val="00501B3A"/>
    <w:rsid w:val="00502539"/>
    <w:rsid w:val="0050256B"/>
    <w:rsid w:val="00502E49"/>
    <w:rsid w:val="005031F0"/>
    <w:rsid w:val="005035DD"/>
    <w:rsid w:val="0050439F"/>
    <w:rsid w:val="0050488A"/>
    <w:rsid w:val="00505292"/>
    <w:rsid w:val="005055C0"/>
    <w:rsid w:val="00507C4D"/>
    <w:rsid w:val="00507F24"/>
    <w:rsid w:val="005107B3"/>
    <w:rsid w:val="005116B2"/>
    <w:rsid w:val="00511E3A"/>
    <w:rsid w:val="00512116"/>
    <w:rsid w:val="00513913"/>
    <w:rsid w:val="00513CFB"/>
    <w:rsid w:val="00513F25"/>
    <w:rsid w:val="00513FA7"/>
    <w:rsid w:val="0051461D"/>
    <w:rsid w:val="00515697"/>
    <w:rsid w:val="00515951"/>
    <w:rsid w:val="00515BBF"/>
    <w:rsid w:val="00515DAC"/>
    <w:rsid w:val="005173D0"/>
    <w:rsid w:val="00517C34"/>
    <w:rsid w:val="005205E3"/>
    <w:rsid w:val="00521296"/>
    <w:rsid w:val="005216AA"/>
    <w:rsid w:val="00525193"/>
    <w:rsid w:val="005263AC"/>
    <w:rsid w:val="00527097"/>
    <w:rsid w:val="005276EE"/>
    <w:rsid w:val="00530337"/>
    <w:rsid w:val="005309DB"/>
    <w:rsid w:val="00530F53"/>
    <w:rsid w:val="005310BB"/>
    <w:rsid w:val="0053119F"/>
    <w:rsid w:val="005322AD"/>
    <w:rsid w:val="005328D3"/>
    <w:rsid w:val="00536CE4"/>
    <w:rsid w:val="00537ABF"/>
    <w:rsid w:val="005406AC"/>
    <w:rsid w:val="005418F1"/>
    <w:rsid w:val="0054270C"/>
    <w:rsid w:val="00542713"/>
    <w:rsid w:val="00542F0D"/>
    <w:rsid w:val="00542FB6"/>
    <w:rsid w:val="00543A40"/>
    <w:rsid w:val="005443A4"/>
    <w:rsid w:val="00544662"/>
    <w:rsid w:val="00544D59"/>
    <w:rsid w:val="005454C4"/>
    <w:rsid w:val="00545CD8"/>
    <w:rsid w:val="0054674C"/>
    <w:rsid w:val="0054686B"/>
    <w:rsid w:val="00546C21"/>
    <w:rsid w:val="005504AB"/>
    <w:rsid w:val="0055082C"/>
    <w:rsid w:val="005513E9"/>
    <w:rsid w:val="00551D0D"/>
    <w:rsid w:val="00552430"/>
    <w:rsid w:val="00552534"/>
    <w:rsid w:val="00552933"/>
    <w:rsid w:val="00553695"/>
    <w:rsid w:val="00553B85"/>
    <w:rsid w:val="00553F36"/>
    <w:rsid w:val="00554D3B"/>
    <w:rsid w:val="00555521"/>
    <w:rsid w:val="0055569D"/>
    <w:rsid w:val="005557F7"/>
    <w:rsid w:val="005561D4"/>
    <w:rsid w:val="00556869"/>
    <w:rsid w:val="005569BA"/>
    <w:rsid w:val="0055717F"/>
    <w:rsid w:val="005572C9"/>
    <w:rsid w:val="005574D0"/>
    <w:rsid w:val="00557A3E"/>
    <w:rsid w:val="0056062F"/>
    <w:rsid w:val="005614A4"/>
    <w:rsid w:val="00561DC9"/>
    <w:rsid w:val="0056235A"/>
    <w:rsid w:val="005624B5"/>
    <w:rsid w:val="005639E0"/>
    <w:rsid w:val="00563CB6"/>
    <w:rsid w:val="00564914"/>
    <w:rsid w:val="00564F38"/>
    <w:rsid w:val="005653F6"/>
    <w:rsid w:val="005663C6"/>
    <w:rsid w:val="00566EC4"/>
    <w:rsid w:val="005671B4"/>
    <w:rsid w:val="00567319"/>
    <w:rsid w:val="00567889"/>
    <w:rsid w:val="00570392"/>
    <w:rsid w:val="00570762"/>
    <w:rsid w:val="005708F6"/>
    <w:rsid w:val="005721D4"/>
    <w:rsid w:val="00572F9D"/>
    <w:rsid w:val="00573DDC"/>
    <w:rsid w:val="005750F5"/>
    <w:rsid w:val="00575325"/>
    <w:rsid w:val="0057569B"/>
    <w:rsid w:val="0057592B"/>
    <w:rsid w:val="00576370"/>
    <w:rsid w:val="005768AF"/>
    <w:rsid w:val="00576C00"/>
    <w:rsid w:val="00576DD9"/>
    <w:rsid w:val="00576E51"/>
    <w:rsid w:val="0057708F"/>
    <w:rsid w:val="005776E0"/>
    <w:rsid w:val="0057796A"/>
    <w:rsid w:val="0057799E"/>
    <w:rsid w:val="005803D2"/>
    <w:rsid w:val="0058581D"/>
    <w:rsid w:val="005858D2"/>
    <w:rsid w:val="00585B5A"/>
    <w:rsid w:val="00585D6E"/>
    <w:rsid w:val="00585F14"/>
    <w:rsid w:val="00586023"/>
    <w:rsid w:val="00586AEE"/>
    <w:rsid w:val="00587080"/>
    <w:rsid w:val="005870CD"/>
    <w:rsid w:val="0058785D"/>
    <w:rsid w:val="00590CC3"/>
    <w:rsid w:val="00591A13"/>
    <w:rsid w:val="00591E81"/>
    <w:rsid w:val="00592194"/>
    <w:rsid w:val="005928C2"/>
    <w:rsid w:val="00592F38"/>
    <w:rsid w:val="0059353E"/>
    <w:rsid w:val="00593DEE"/>
    <w:rsid w:val="0059501E"/>
    <w:rsid w:val="005951FD"/>
    <w:rsid w:val="0059597C"/>
    <w:rsid w:val="0059658E"/>
    <w:rsid w:val="005969DE"/>
    <w:rsid w:val="00597970"/>
    <w:rsid w:val="005A05BE"/>
    <w:rsid w:val="005A0B31"/>
    <w:rsid w:val="005A0C5A"/>
    <w:rsid w:val="005A0DFC"/>
    <w:rsid w:val="005A35C6"/>
    <w:rsid w:val="005A3859"/>
    <w:rsid w:val="005A3B1B"/>
    <w:rsid w:val="005A3B46"/>
    <w:rsid w:val="005A3BE0"/>
    <w:rsid w:val="005A418C"/>
    <w:rsid w:val="005A4321"/>
    <w:rsid w:val="005A4CE2"/>
    <w:rsid w:val="005A4DC7"/>
    <w:rsid w:val="005A58C4"/>
    <w:rsid w:val="005A5D32"/>
    <w:rsid w:val="005A5DF1"/>
    <w:rsid w:val="005A5DFE"/>
    <w:rsid w:val="005A7072"/>
    <w:rsid w:val="005A7109"/>
    <w:rsid w:val="005A7736"/>
    <w:rsid w:val="005A7B4E"/>
    <w:rsid w:val="005B044C"/>
    <w:rsid w:val="005B057B"/>
    <w:rsid w:val="005B0CC0"/>
    <w:rsid w:val="005B1444"/>
    <w:rsid w:val="005B17F9"/>
    <w:rsid w:val="005B1A93"/>
    <w:rsid w:val="005B4290"/>
    <w:rsid w:val="005B45C7"/>
    <w:rsid w:val="005B5082"/>
    <w:rsid w:val="005B543A"/>
    <w:rsid w:val="005B5B0C"/>
    <w:rsid w:val="005B62D6"/>
    <w:rsid w:val="005B7558"/>
    <w:rsid w:val="005B7A17"/>
    <w:rsid w:val="005B7C0C"/>
    <w:rsid w:val="005B7EB4"/>
    <w:rsid w:val="005C008B"/>
    <w:rsid w:val="005C0A7D"/>
    <w:rsid w:val="005C0C0D"/>
    <w:rsid w:val="005C0D57"/>
    <w:rsid w:val="005C18CC"/>
    <w:rsid w:val="005C1A10"/>
    <w:rsid w:val="005C1D48"/>
    <w:rsid w:val="005C1D9D"/>
    <w:rsid w:val="005C3846"/>
    <w:rsid w:val="005C3BEF"/>
    <w:rsid w:val="005C4007"/>
    <w:rsid w:val="005C4223"/>
    <w:rsid w:val="005C587A"/>
    <w:rsid w:val="005C59B9"/>
    <w:rsid w:val="005C5C53"/>
    <w:rsid w:val="005C640E"/>
    <w:rsid w:val="005C787C"/>
    <w:rsid w:val="005C7DBD"/>
    <w:rsid w:val="005D078F"/>
    <w:rsid w:val="005D07BB"/>
    <w:rsid w:val="005D0916"/>
    <w:rsid w:val="005D1986"/>
    <w:rsid w:val="005D2EBD"/>
    <w:rsid w:val="005D35CF"/>
    <w:rsid w:val="005D48D0"/>
    <w:rsid w:val="005D6690"/>
    <w:rsid w:val="005D68F9"/>
    <w:rsid w:val="005D705D"/>
    <w:rsid w:val="005D7592"/>
    <w:rsid w:val="005E0BFA"/>
    <w:rsid w:val="005E0C7B"/>
    <w:rsid w:val="005E0D32"/>
    <w:rsid w:val="005E1045"/>
    <w:rsid w:val="005E10D6"/>
    <w:rsid w:val="005E1154"/>
    <w:rsid w:val="005E1A7C"/>
    <w:rsid w:val="005E1BEF"/>
    <w:rsid w:val="005E2BAC"/>
    <w:rsid w:val="005E2E96"/>
    <w:rsid w:val="005E444A"/>
    <w:rsid w:val="005E5670"/>
    <w:rsid w:val="005E7D06"/>
    <w:rsid w:val="005E7F84"/>
    <w:rsid w:val="005F0646"/>
    <w:rsid w:val="005F0829"/>
    <w:rsid w:val="005F0BA2"/>
    <w:rsid w:val="005F460A"/>
    <w:rsid w:val="005F4919"/>
    <w:rsid w:val="005F4D00"/>
    <w:rsid w:val="005F5067"/>
    <w:rsid w:val="005F53BC"/>
    <w:rsid w:val="005F56FB"/>
    <w:rsid w:val="005F5A7A"/>
    <w:rsid w:val="005F6136"/>
    <w:rsid w:val="005F633C"/>
    <w:rsid w:val="005F6ED1"/>
    <w:rsid w:val="005F715A"/>
    <w:rsid w:val="005F76F6"/>
    <w:rsid w:val="005F7DA9"/>
    <w:rsid w:val="0060048E"/>
    <w:rsid w:val="006004C2"/>
    <w:rsid w:val="00602B88"/>
    <w:rsid w:val="00603C13"/>
    <w:rsid w:val="0060423B"/>
    <w:rsid w:val="006044D8"/>
    <w:rsid w:val="006059B1"/>
    <w:rsid w:val="00605A0D"/>
    <w:rsid w:val="006060A8"/>
    <w:rsid w:val="00606F59"/>
    <w:rsid w:val="006107DC"/>
    <w:rsid w:val="00611821"/>
    <w:rsid w:val="006123B9"/>
    <w:rsid w:val="00613239"/>
    <w:rsid w:val="00614080"/>
    <w:rsid w:val="006141B0"/>
    <w:rsid w:val="00614DCA"/>
    <w:rsid w:val="006151AF"/>
    <w:rsid w:val="00615923"/>
    <w:rsid w:val="006163C3"/>
    <w:rsid w:val="006164F9"/>
    <w:rsid w:val="0061795A"/>
    <w:rsid w:val="00617978"/>
    <w:rsid w:val="00617A55"/>
    <w:rsid w:val="00617A7F"/>
    <w:rsid w:val="00620314"/>
    <w:rsid w:val="0062055A"/>
    <w:rsid w:val="0062089D"/>
    <w:rsid w:val="00620AAE"/>
    <w:rsid w:val="00620F2E"/>
    <w:rsid w:val="00621F64"/>
    <w:rsid w:val="006221A3"/>
    <w:rsid w:val="00622B75"/>
    <w:rsid w:val="00622F44"/>
    <w:rsid w:val="006231A8"/>
    <w:rsid w:val="00623572"/>
    <w:rsid w:val="00624247"/>
    <w:rsid w:val="00624B26"/>
    <w:rsid w:val="006265DA"/>
    <w:rsid w:val="00626641"/>
    <w:rsid w:val="00627207"/>
    <w:rsid w:val="00631253"/>
    <w:rsid w:val="0063158D"/>
    <w:rsid w:val="00631633"/>
    <w:rsid w:val="0063257C"/>
    <w:rsid w:val="0063272A"/>
    <w:rsid w:val="00632DDB"/>
    <w:rsid w:val="00632F3F"/>
    <w:rsid w:val="00632FC8"/>
    <w:rsid w:val="00635089"/>
    <w:rsid w:val="00635129"/>
    <w:rsid w:val="006364E8"/>
    <w:rsid w:val="0063656C"/>
    <w:rsid w:val="00636FBD"/>
    <w:rsid w:val="0063706B"/>
    <w:rsid w:val="00637955"/>
    <w:rsid w:val="00637967"/>
    <w:rsid w:val="00640538"/>
    <w:rsid w:val="006406DE"/>
    <w:rsid w:val="006415C3"/>
    <w:rsid w:val="00641E05"/>
    <w:rsid w:val="00642047"/>
    <w:rsid w:val="00642630"/>
    <w:rsid w:val="0064489D"/>
    <w:rsid w:val="00645493"/>
    <w:rsid w:val="00646585"/>
    <w:rsid w:val="00646718"/>
    <w:rsid w:val="00646C5D"/>
    <w:rsid w:val="00647244"/>
    <w:rsid w:val="00647B39"/>
    <w:rsid w:val="00647F56"/>
    <w:rsid w:val="00650B86"/>
    <w:rsid w:val="0065116E"/>
    <w:rsid w:val="00651F17"/>
    <w:rsid w:val="006528BB"/>
    <w:rsid w:val="00652E2C"/>
    <w:rsid w:val="00653B8A"/>
    <w:rsid w:val="00654C26"/>
    <w:rsid w:val="0065528C"/>
    <w:rsid w:val="00655DBE"/>
    <w:rsid w:val="00656212"/>
    <w:rsid w:val="0065637A"/>
    <w:rsid w:val="00656718"/>
    <w:rsid w:val="00656D36"/>
    <w:rsid w:val="00660EC4"/>
    <w:rsid w:val="00661CB8"/>
    <w:rsid w:val="00662132"/>
    <w:rsid w:val="0066228D"/>
    <w:rsid w:val="00665793"/>
    <w:rsid w:val="00665972"/>
    <w:rsid w:val="00665D56"/>
    <w:rsid w:val="006660D3"/>
    <w:rsid w:val="00671695"/>
    <w:rsid w:val="00672805"/>
    <w:rsid w:val="00672B00"/>
    <w:rsid w:val="00672C54"/>
    <w:rsid w:val="0067376E"/>
    <w:rsid w:val="00675372"/>
    <w:rsid w:val="00675C58"/>
    <w:rsid w:val="0067682F"/>
    <w:rsid w:val="00676D3E"/>
    <w:rsid w:val="00677379"/>
    <w:rsid w:val="0067745B"/>
    <w:rsid w:val="00677A61"/>
    <w:rsid w:val="00677E4F"/>
    <w:rsid w:val="00677F77"/>
    <w:rsid w:val="00677F7C"/>
    <w:rsid w:val="00680484"/>
    <w:rsid w:val="00680B98"/>
    <w:rsid w:val="00681052"/>
    <w:rsid w:val="0068107C"/>
    <w:rsid w:val="00681CD4"/>
    <w:rsid w:val="00681E40"/>
    <w:rsid w:val="00681F0B"/>
    <w:rsid w:val="0068298B"/>
    <w:rsid w:val="0068414A"/>
    <w:rsid w:val="00685D9C"/>
    <w:rsid w:val="0068717E"/>
    <w:rsid w:val="00687357"/>
    <w:rsid w:val="00687C36"/>
    <w:rsid w:val="00690AC1"/>
    <w:rsid w:val="00690DD7"/>
    <w:rsid w:val="006915DA"/>
    <w:rsid w:val="00691D11"/>
    <w:rsid w:val="00692191"/>
    <w:rsid w:val="00692939"/>
    <w:rsid w:val="006930AE"/>
    <w:rsid w:val="0069398C"/>
    <w:rsid w:val="00693C5F"/>
    <w:rsid w:val="00694005"/>
    <w:rsid w:val="0069419D"/>
    <w:rsid w:val="006948DC"/>
    <w:rsid w:val="0069528D"/>
    <w:rsid w:val="00695BCB"/>
    <w:rsid w:val="00695E2F"/>
    <w:rsid w:val="006973E8"/>
    <w:rsid w:val="00697899"/>
    <w:rsid w:val="00697E7E"/>
    <w:rsid w:val="00697E87"/>
    <w:rsid w:val="00697F4F"/>
    <w:rsid w:val="006A00E8"/>
    <w:rsid w:val="006A042B"/>
    <w:rsid w:val="006A0A69"/>
    <w:rsid w:val="006A0D6F"/>
    <w:rsid w:val="006A0E21"/>
    <w:rsid w:val="006A1804"/>
    <w:rsid w:val="006A265D"/>
    <w:rsid w:val="006A3232"/>
    <w:rsid w:val="006A3E59"/>
    <w:rsid w:val="006A3FFB"/>
    <w:rsid w:val="006A406F"/>
    <w:rsid w:val="006A50B9"/>
    <w:rsid w:val="006A51A7"/>
    <w:rsid w:val="006A53B0"/>
    <w:rsid w:val="006A54D9"/>
    <w:rsid w:val="006A5768"/>
    <w:rsid w:val="006A5ACD"/>
    <w:rsid w:val="006A6AC1"/>
    <w:rsid w:val="006B1C85"/>
    <w:rsid w:val="006B20E6"/>
    <w:rsid w:val="006B2ABD"/>
    <w:rsid w:val="006B2F10"/>
    <w:rsid w:val="006B31A6"/>
    <w:rsid w:val="006B3238"/>
    <w:rsid w:val="006B3E0B"/>
    <w:rsid w:val="006B3FCC"/>
    <w:rsid w:val="006B4006"/>
    <w:rsid w:val="006B4346"/>
    <w:rsid w:val="006B48E3"/>
    <w:rsid w:val="006B4D76"/>
    <w:rsid w:val="006B4D84"/>
    <w:rsid w:val="006B68E2"/>
    <w:rsid w:val="006B6B29"/>
    <w:rsid w:val="006B6B4C"/>
    <w:rsid w:val="006B78CD"/>
    <w:rsid w:val="006C0602"/>
    <w:rsid w:val="006C0D5D"/>
    <w:rsid w:val="006C108A"/>
    <w:rsid w:val="006C1373"/>
    <w:rsid w:val="006C1747"/>
    <w:rsid w:val="006C28BE"/>
    <w:rsid w:val="006C38BD"/>
    <w:rsid w:val="006C3CCD"/>
    <w:rsid w:val="006C535F"/>
    <w:rsid w:val="006C5E92"/>
    <w:rsid w:val="006C6FB9"/>
    <w:rsid w:val="006C7022"/>
    <w:rsid w:val="006C7536"/>
    <w:rsid w:val="006C7BBD"/>
    <w:rsid w:val="006D06AA"/>
    <w:rsid w:val="006D0871"/>
    <w:rsid w:val="006D10C8"/>
    <w:rsid w:val="006D12B9"/>
    <w:rsid w:val="006D14F5"/>
    <w:rsid w:val="006D1700"/>
    <w:rsid w:val="006D1800"/>
    <w:rsid w:val="006D1BFA"/>
    <w:rsid w:val="006D1FC2"/>
    <w:rsid w:val="006D22B5"/>
    <w:rsid w:val="006D3EC3"/>
    <w:rsid w:val="006D5173"/>
    <w:rsid w:val="006D586D"/>
    <w:rsid w:val="006D713C"/>
    <w:rsid w:val="006D745E"/>
    <w:rsid w:val="006D7880"/>
    <w:rsid w:val="006E0BFF"/>
    <w:rsid w:val="006E148F"/>
    <w:rsid w:val="006E2AD7"/>
    <w:rsid w:val="006E2C8D"/>
    <w:rsid w:val="006E32AC"/>
    <w:rsid w:val="006E376D"/>
    <w:rsid w:val="006E3927"/>
    <w:rsid w:val="006E398F"/>
    <w:rsid w:val="006E3A06"/>
    <w:rsid w:val="006E3B41"/>
    <w:rsid w:val="006E3D1F"/>
    <w:rsid w:val="006E45D4"/>
    <w:rsid w:val="006E4B9C"/>
    <w:rsid w:val="006E6084"/>
    <w:rsid w:val="006E6B83"/>
    <w:rsid w:val="006E7553"/>
    <w:rsid w:val="006E7953"/>
    <w:rsid w:val="006F13D9"/>
    <w:rsid w:val="006F1483"/>
    <w:rsid w:val="006F1538"/>
    <w:rsid w:val="006F1B99"/>
    <w:rsid w:val="006F2A20"/>
    <w:rsid w:val="006F3180"/>
    <w:rsid w:val="006F3965"/>
    <w:rsid w:val="006F3E56"/>
    <w:rsid w:val="006F4A2B"/>
    <w:rsid w:val="006F51B9"/>
    <w:rsid w:val="006F5AC5"/>
    <w:rsid w:val="006F6AB1"/>
    <w:rsid w:val="006F7823"/>
    <w:rsid w:val="00700158"/>
    <w:rsid w:val="00700A2C"/>
    <w:rsid w:val="00700B98"/>
    <w:rsid w:val="00700C0D"/>
    <w:rsid w:val="007013BB"/>
    <w:rsid w:val="00701558"/>
    <w:rsid w:val="00702307"/>
    <w:rsid w:val="00702ABB"/>
    <w:rsid w:val="00704299"/>
    <w:rsid w:val="00706062"/>
    <w:rsid w:val="00707258"/>
    <w:rsid w:val="007100F3"/>
    <w:rsid w:val="007102F6"/>
    <w:rsid w:val="00710AA7"/>
    <w:rsid w:val="00710F6C"/>
    <w:rsid w:val="00710FF6"/>
    <w:rsid w:val="00711318"/>
    <w:rsid w:val="00711EEE"/>
    <w:rsid w:val="00712D39"/>
    <w:rsid w:val="00713489"/>
    <w:rsid w:val="0071433D"/>
    <w:rsid w:val="00714623"/>
    <w:rsid w:val="007155FB"/>
    <w:rsid w:val="00715970"/>
    <w:rsid w:val="00716EB2"/>
    <w:rsid w:val="00716EF8"/>
    <w:rsid w:val="00716FE4"/>
    <w:rsid w:val="007174D7"/>
    <w:rsid w:val="0071794B"/>
    <w:rsid w:val="00717DC9"/>
    <w:rsid w:val="0072181E"/>
    <w:rsid w:val="00721C39"/>
    <w:rsid w:val="00721CA3"/>
    <w:rsid w:val="00722160"/>
    <w:rsid w:val="0072249B"/>
    <w:rsid w:val="00723B3F"/>
    <w:rsid w:val="0072452A"/>
    <w:rsid w:val="007246E3"/>
    <w:rsid w:val="00724EF2"/>
    <w:rsid w:val="007254DE"/>
    <w:rsid w:val="007261CE"/>
    <w:rsid w:val="0072626C"/>
    <w:rsid w:val="007263F3"/>
    <w:rsid w:val="007274BD"/>
    <w:rsid w:val="007275A6"/>
    <w:rsid w:val="00727A8A"/>
    <w:rsid w:val="00727F94"/>
    <w:rsid w:val="00731A67"/>
    <w:rsid w:val="00732B82"/>
    <w:rsid w:val="007358A2"/>
    <w:rsid w:val="00735901"/>
    <w:rsid w:val="00735C23"/>
    <w:rsid w:val="007368DF"/>
    <w:rsid w:val="00737018"/>
    <w:rsid w:val="00737969"/>
    <w:rsid w:val="00740230"/>
    <w:rsid w:val="00740C0F"/>
    <w:rsid w:val="0074134F"/>
    <w:rsid w:val="00741BA7"/>
    <w:rsid w:val="00742BC8"/>
    <w:rsid w:val="00743A7A"/>
    <w:rsid w:val="00743D52"/>
    <w:rsid w:val="00744512"/>
    <w:rsid w:val="0074548E"/>
    <w:rsid w:val="00747179"/>
    <w:rsid w:val="00747253"/>
    <w:rsid w:val="007473F7"/>
    <w:rsid w:val="007477B1"/>
    <w:rsid w:val="00747AA8"/>
    <w:rsid w:val="00750517"/>
    <w:rsid w:val="00750DCC"/>
    <w:rsid w:val="00751DD5"/>
    <w:rsid w:val="007520C1"/>
    <w:rsid w:val="007522CA"/>
    <w:rsid w:val="00752E40"/>
    <w:rsid w:val="00753D8C"/>
    <w:rsid w:val="00754229"/>
    <w:rsid w:val="00754255"/>
    <w:rsid w:val="00754E00"/>
    <w:rsid w:val="00755952"/>
    <w:rsid w:val="00755A4B"/>
    <w:rsid w:val="00755AB0"/>
    <w:rsid w:val="0075716A"/>
    <w:rsid w:val="00760AB1"/>
    <w:rsid w:val="0076204B"/>
    <w:rsid w:val="00762F82"/>
    <w:rsid w:val="0076322D"/>
    <w:rsid w:val="007634B3"/>
    <w:rsid w:val="00764757"/>
    <w:rsid w:val="00765C3B"/>
    <w:rsid w:val="00765CDD"/>
    <w:rsid w:val="0076641B"/>
    <w:rsid w:val="0076663D"/>
    <w:rsid w:val="00767BE0"/>
    <w:rsid w:val="0077047F"/>
    <w:rsid w:val="0077077A"/>
    <w:rsid w:val="00770977"/>
    <w:rsid w:val="00770DE0"/>
    <w:rsid w:val="0077112A"/>
    <w:rsid w:val="00771A78"/>
    <w:rsid w:val="00772D5C"/>
    <w:rsid w:val="007730BE"/>
    <w:rsid w:val="007733E3"/>
    <w:rsid w:val="00774E79"/>
    <w:rsid w:val="007751BF"/>
    <w:rsid w:val="00775ACF"/>
    <w:rsid w:val="00775E13"/>
    <w:rsid w:val="00775EA8"/>
    <w:rsid w:val="00776D9F"/>
    <w:rsid w:val="00777412"/>
    <w:rsid w:val="00777EDC"/>
    <w:rsid w:val="00781823"/>
    <w:rsid w:val="007819A7"/>
    <w:rsid w:val="007821B4"/>
    <w:rsid w:val="007822D9"/>
    <w:rsid w:val="00782D4D"/>
    <w:rsid w:val="00782E33"/>
    <w:rsid w:val="00782E38"/>
    <w:rsid w:val="007839D7"/>
    <w:rsid w:val="00783BC4"/>
    <w:rsid w:val="00784E12"/>
    <w:rsid w:val="007850B4"/>
    <w:rsid w:val="00785842"/>
    <w:rsid w:val="00785A34"/>
    <w:rsid w:val="00787BD0"/>
    <w:rsid w:val="00787EEB"/>
    <w:rsid w:val="007919E7"/>
    <w:rsid w:val="00791D34"/>
    <w:rsid w:val="00792BF9"/>
    <w:rsid w:val="0079336B"/>
    <w:rsid w:val="00793468"/>
    <w:rsid w:val="00793565"/>
    <w:rsid w:val="00794A9D"/>
    <w:rsid w:val="007955C1"/>
    <w:rsid w:val="00795944"/>
    <w:rsid w:val="00795AF6"/>
    <w:rsid w:val="00795B7C"/>
    <w:rsid w:val="00795F20"/>
    <w:rsid w:val="0079653C"/>
    <w:rsid w:val="00796758"/>
    <w:rsid w:val="00797180"/>
    <w:rsid w:val="00797423"/>
    <w:rsid w:val="007977AF"/>
    <w:rsid w:val="007A016B"/>
    <w:rsid w:val="007A0D03"/>
    <w:rsid w:val="007A1339"/>
    <w:rsid w:val="007A1565"/>
    <w:rsid w:val="007A206A"/>
    <w:rsid w:val="007A2924"/>
    <w:rsid w:val="007A3CCC"/>
    <w:rsid w:val="007A551A"/>
    <w:rsid w:val="007B1DC8"/>
    <w:rsid w:val="007B27D5"/>
    <w:rsid w:val="007B2DFC"/>
    <w:rsid w:val="007B396D"/>
    <w:rsid w:val="007B39C1"/>
    <w:rsid w:val="007B43D4"/>
    <w:rsid w:val="007B5FD4"/>
    <w:rsid w:val="007B626F"/>
    <w:rsid w:val="007B6BEE"/>
    <w:rsid w:val="007B6DCB"/>
    <w:rsid w:val="007B76D6"/>
    <w:rsid w:val="007C00B4"/>
    <w:rsid w:val="007C0E8F"/>
    <w:rsid w:val="007C1BE9"/>
    <w:rsid w:val="007C2ACD"/>
    <w:rsid w:val="007C3348"/>
    <w:rsid w:val="007C34FC"/>
    <w:rsid w:val="007C3642"/>
    <w:rsid w:val="007C3937"/>
    <w:rsid w:val="007C3D2A"/>
    <w:rsid w:val="007C43CA"/>
    <w:rsid w:val="007C4868"/>
    <w:rsid w:val="007C558D"/>
    <w:rsid w:val="007C5D41"/>
    <w:rsid w:val="007C7274"/>
    <w:rsid w:val="007C7605"/>
    <w:rsid w:val="007C7E68"/>
    <w:rsid w:val="007C7FFA"/>
    <w:rsid w:val="007D0194"/>
    <w:rsid w:val="007D0FE5"/>
    <w:rsid w:val="007D13BE"/>
    <w:rsid w:val="007D1586"/>
    <w:rsid w:val="007D25CE"/>
    <w:rsid w:val="007D3028"/>
    <w:rsid w:val="007D3380"/>
    <w:rsid w:val="007D36E1"/>
    <w:rsid w:val="007D3B41"/>
    <w:rsid w:val="007D3E94"/>
    <w:rsid w:val="007D65B6"/>
    <w:rsid w:val="007D6C14"/>
    <w:rsid w:val="007D76F7"/>
    <w:rsid w:val="007E0033"/>
    <w:rsid w:val="007E01E7"/>
    <w:rsid w:val="007E0D4F"/>
    <w:rsid w:val="007E2946"/>
    <w:rsid w:val="007E2CE3"/>
    <w:rsid w:val="007E2DF9"/>
    <w:rsid w:val="007E2E49"/>
    <w:rsid w:val="007E3908"/>
    <w:rsid w:val="007E422B"/>
    <w:rsid w:val="007E447B"/>
    <w:rsid w:val="007E4686"/>
    <w:rsid w:val="007E51C3"/>
    <w:rsid w:val="007E5790"/>
    <w:rsid w:val="007E579C"/>
    <w:rsid w:val="007E5B1F"/>
    <w:rsid w:val="007E699D"/>
    <w:rsid w:val="007E69B1"/>
    <w:rsid w:val="007E6AEF"/>
    <w:rsid w:val="007E7A76"/>
    <w:rsid w:val="007F0217"/>
    <w:rsid w:val="007F0D5B"/>
    <w:rsid w:val="007F108F"/>
    <w:rsid w:val="007F1E04"/>
    <w:rsid w:val="007F2D96"/>
    <w:rsid w:val="007F33BD"/>
    <w:rsid w:val="007F3AA3"/>
    <w:rsid w:val="007F3C11"/>
    <w:rsid w:val="007F3E54"/>
    <w:rsid w:val="007F43EB"/>
    <w:rsid w:val="007F5AC9"/>
    <w:rsid w:val="007F5BA2"/>
    <w:rsid w:val="007F5D3D"/>
    <w:rsid w:val="007F6B45"/>
    <w:rsid w:val="007F6FE8"/>
    <w:rsid w:val="007F70E7"/>
    <w:rsid w:val="00800205"/>
    <w:rsid w:val="00800AEC"/>
    <w:rsid w:val="00801910"/>
    <w:rsid w:val="00801E0A"/>
    <w:rsid w:val="00802CDB"/>
    <w:rsid w:val="0080304E"/>
    <w:rsid w:val="008031B4"/>
    <w:rsid w:val="00803881"/>
    <w:rsid w:val="00803B64"/>
    <w:rsid w:val="008041CF"/>
    <w:rsid w:val="0080576E"/>
    <w:rsid w:val="00805BFE"/>
    <w:rsid w:val="00810B97"/>
    <w:rsid w:val="00810C99"/>
    <w:rsid w:val="00810EED"/>
    <w:rsid w:val="0081117A"/>
    <w:rsid w:val="00811899"/>
    <w:rsid w:val="00811B3A"/>
    <w:rsid w:val="00811C45"/>
    <w:rsid w:val="00811DD8"/>
    <w:rsid w:val="008149A7"/>
    <w:rsid w:val="00814B1A"/>
    <w:rsid w:val="00815937"/>
    <w:rsid w:val="00815AFC"/>
    <w:rsid w:val="00815BD2"/>
    <w:rsid w:val="00817019"/>
    <w:rsid w:val="008171BA"/>
    <w:rsid w:val="00817433"/>
    <w:rsid w:val="00817A36"/>
    <w:rsid w:val="0082060D"/>
    <w:rsid w:val="008206C4"/>
    <w:rsid w:val="00820DEB"/>
    <w:rsid w:val="00821132"/>
    <w:rsid w:val="0082172A"/>
    <w:rsid w:val="008219C0"/>
    <w:rsid w:val="00821C24"/>
    <w:rsid w:val="0082210C"/>
    <w:rsid w:val="00822A38"/>
    <w:rsid w:val="00822D08"/>
    <w:rsid w:val="0082302D"/>
    <w:rsid w:val="008234BC"/>
    <w:rsid w:val="008235B6"/>
    <w:rsid w:val="008252A8"/>
    <w:rsid w:val="0082534D"/>
    <w:rsid w:val="0082605D"/>
    <w:rsid w:val="00826323"/>
    <w:rsid w:val="00826C2C"/>
    <w:rsid w:val="00826FA8"/>
    <w:rsid w:val="00827143"/>
    <w:rsid w:val="008276CE"/>
    <w:rsid w:val="008277BF"/>
    <w:rsid w:val="008279A7"/>
    <w:rsid w:val="00830933"/>
    <w:rsid w:val="00830A0E"/>
    <w:rsid w:val="008310CC"/>
    <w:rsid w:val="00832184"/>
    <w:rsid w:val="00832A99"/>
    <w:rsid w:val="00832D74"/>
    <w:rsid w:val="00833591"/>
    <w:rsid w:val="008336FB"/>
    <w:rsid w:val="0083464C"/>
    <w:rsid w:val="008350CB"/>
    <w:rsid w:val="008351AE"/>
    <w:rsid w:val="00835F16"/>
    <w:rsid w:val="008367B0"/>
    <w:rsid w:val="00837B7F"/>
    <w:rsid w:val="00837D3A"/>
    <w:rsid w:val="00837F09"/>
    <w:rsid w:val="00840729"/>
    <w:rsid w:val="00843BB4"/>
    <w:rsid w:val="00843D81"/>
    <w:rsid w:val="00843E9D"/>
    <w:rsid w:val="00844C2D"/>
    <w:rsid w:val="0084511C"/>
    <w:rsid w:val="00846054"/>
    <w:rsid w:val="00846B03"/>
    <w:rsid w:val="00846E26"/>
    <w:rsid w:val="00847213"/>
    <w:rsid w:val="00847221"/>
    <w:rsid w:val="00847544"/>
    <w:rsid w:val="00847B62"/>
    <w:rsid w:val="008501F7"/>
    <w:rsid w:val="00851206"/>
    <w:rsid w:val="008512E6"/>
    <w:rsid w:val="00851557"/>
    <w:rsid w:val="008519E5"/>
    <w:rsid w:val="00852010"/>
    <w:rsid w:val="00852638"/>
    <w:rsid w:val="00853456"/>
    <w:rsid w:val="008536E3"/>
    <w:rsid w:val="008539F4"/>
    <w:rsid w:val="00853D7C"/>
    <w:rsid w:val="00853DC6"/>
    <w:rsid w:val="00855FBC"/>
    <w:rsid w:val="00856793"/>
    <w:rsid w:val="008575C5"/>
    <w:rsid w:val="00857C46"/>
    <w:rsid w:val="0086151F"/>
    <w:rsid w:val="00862B9F"/>
    <w:rsid w:val="00862D6A"/>
    <w:rsid w:val="00863454"/>
    <w:rsid w:val="008650D0"/>
    <w:rsid w:val="0086560F"/>
    <w:rsid w:val="00865746"/>
    <w:rsid w:val="00865760"/>
    <w:rsid w:val="00865BD1"/>
    <w:rsid w:val="008671E7"/>
    <w:rsid w:val="00867786"/>
    <w:rsid w:val="008678FC"/>
    <w:rsid w:val="00870AE5"/>
    <w:rsid w:val="00870D5C"/>
    <w:rsid w:val="00871FCC"/>
    <w:rsid w:val="00872172"/>
    <w:rsid w:val="00872C9D"/>
    <w:rsid w:val="00873DAE"/>
    <w:rsid w:val="00873E47"/>
    <w:rsid w:val="00874BF9"/>
    <w:rsid w:val="00875D06"/>
    <w:rsid w:val="0087607D"/>
    <w:rsid w:val="008769B7"/>
    <w:rsid w:val="0087723F"/>
    <w:rsid w:val="00877455"/>
    <w:rsid w:val="0087747D"/>
    <w:rsid w:val="00877BC1"/>
    <w:rsid w:val="00880D70"/>
    <w:rsid w:val="008812AE"/>
    <w:rsid w:val="00883ABC"/>
    <w:rsid w:val="00883E0B"/>
    <w:rsid w:val="008844F6"/>
    <w:rsid w:val="00884B35"/>
    <w:rsid w:val="008851B0"/>
    <w:rsid w:val="00886208"/>
    <w:rsid w:val="00887199"/>
    <w:rsid w:val="00887E29"/>
    <w:rsid w:val="00890924"/>
    <w:rsid w:val="00892259"/>
    <w:rsid w:val="0089271E"/>
    <w:rsid w:val="008935A8"/>
    <w:rsid w:val="0089394C"/>
    <w:rsid w:val="00893987"/>
    <w:rsid w:val="00894045"/>
    <w:rsid w:val="00894C7D"/>
    <w:rsid w:val="00895763"/>
    <w:rsid w:val="008957D8"/>
    <w:rsid w:val="00895E25"/>
    <w:rsid w:val="0089663C"/>
    <w:rsid w:val="008967DA"/>
    <w:rsid w:val="00896E82"/>
    <w:rsid w:val="008970B0"/>
    <w:rsid w:val="008A0ACF"/>
    <w:rsid w:val="008A104C"/>
    <w:rsid w:val="008A12A9"/>
    <w:rsid w:val="008A1506"/>
    <w:rsid w:val="008A1523"/>
    <w:rsid w:val="008A3715"/>
    <w:rsid w:val="008A38CF"/>
    <w:rsid w:val="008A3A8A"/>
    <w:rsid w:val="008A4149"/>
    <w:rsid w:val="008A47DE"/>
    <w:rsid w:val="008A501E"/>
    <w:rsid w:val="008A5EF9"/>
    <w:rsid w:val="008A64EC"/>
    <w:rsid w:val="008A69F8"/>
    <w:rsid w:val="008A797E"/>
    <w:rsid w:val="008B0424"/>
    <w:rsid w:val="008B05C0"/>
    <w:rsid w:val="008B0CFE"/>
    <w:rsid w:val="008B173E"/>
    <w:rsid w:val="008B1AE4"/>
    <w:rsid w:val="008B1DC3"/>
    <w:rsid w:val="008B2A45"/>
    <w:rsid w:val="008B2D1F"/>
    <w:rsid w:val="008B3E4E"/>
    <w:rsid w:val="008B49D5"/>
    <w:rsid w:val="008B4C98"/>
    <w:rsid w:val="008B6868"/>
    <w:rsid w:val="008B689D"/>
    <w:rsid w:val="008B7FEE"/>
    <w:rsid w:val="008C1A96"/>
    <w:rsid w:val="008C1B94"/>
    <w:rsid w:val="008C24C7"/>
    <w:rsid w:val="008C32EB"/>
    <w:rsid w:val="008C40F1"/>
    <w:rsid w:val="008C5391"/>
    <w:rsid w:val="008C53CF"/>
    <w:rsid w:val="008C57C4"/>
    <w:rsid w:val="008C5831"/>
    <w:rsid w:val="008C5F3D"/>
    <w:rsid w:val="008C6BC6"/>
    <w:rsid w:val="008C7D53"/>
    <w:rsid w:val="008D221E"/>
    <w:rsid w:val="008D22D0"/>
    <w:rsid w:val="008D25DC"/>
    <w:rsid w:val="008D3115"/>
    <w:rsid w:val="008D455B"/>
    <w:rsid w:val="008D4991"/>
    <w:rsid w:val="008D7AB0"/>
    <w:rsid w:val="008E0ADD"/>
    <w:rsid w:val="008E0EB3"/>
    <w:rsid w:val="008E127F"/>
    <w:rsid w:val="008E193C"/>
    <w:rsid w:val="008E1F2E"/>
    <w:rsid w:val="008E1F50"/>
    <w:rsid w:val="008E232C"/>
    <w:rsid w:val="008E294D"/>
    <w:rsid w:val="008E2CDD"/>
    <w:rsid w:val="008E367B"/>
    <w:rsid w:val="008E3D30"/>
    <w:rsid w:val="008E42C3"/>
    <w:rsid w:val="008E4720"/>
    <w:rsid w:val="008E47B2"/>
    <w:rsid w:val="008E485B"/>
    <w:rsid w:val="008E5DE8"/>
    <w:rsid w:val="008E6035"/>
    <w:rsid w:val="008E656E"/>
    <w:rsid w:val="008E6A03"/>
    <w:rsid w:val="008F0ABE"/>
    <w:rsid w:val="008F130D"/>
    <w:rsid w:val="008F2A51"/>
    <w:rsid w:val="008F3630"/>
    <w:rsid w:val="008F3873"/>
    <w:rsid w:val="008F3FE8"/>
    <w:rsid w:val="008F4DDD"/>
    <w:rsid w:val="008F6023"/>
    <w:rsid w:val="008F61B4"/>
    <w:rsid w:val="008F6494"/>
    <w:rsid w:val="008F68FE"/>
    <w:rsid w:val="008F6D5B"/>
    <w:rsid w:val="008F7B1B"/>
    <w:rsid w:val="008F7C76"/>
    <w:rsid w:val="008F7D35"/>
    <w:rsid w:val="009002DA"/>
    <w:rsid w:val="00902B03"/>
    <w:rsid w:val="00903433"/>
    <w:rsid w:val="00904038"/>
    <w:rsid w:val="009043FC"/>
    <w:rsid w:val="009045D3"/>
    <w:rsid w:val="00904BB3"/>
    <w:rsid w:val="00904EB2"/>
    <w:rsid w:val="009062AD"/>
    <w:rsid w:val="00906887"/>
    <w:rsid w:val="0090736B"/>
    <w:rsid w:val="00910A22"/>
    <w:rsid w:val="00910ABA"/>
    <w:rsid w:val="00910B13"/>
    <w:rsid w:val="00910BD4"/>
    <w:rsid w:val="00912232"/>
    <w:rsid w:val="00912B47"/>
    <w:rsid w:val="00912E6D"/>
    <w:rsid w:val="00913E7B"/>
    <w:rsid w:val="00915571"/>
    <w:rsid w:val="00915856"/>
    <w:rsid w:val="0091592C"/>
    <w:rsid w:val="009159A7"/>
    <w:rsid w:val="009162E0"/>
    <w:rsid w:val="009162FF"/>
    <w:rsid w:val="009175DF"/>
    <w:rsid w:val="00917656"/>
    <w:rsid w:val="00921538"/>
    <w:rsid w:val="0092246C"/>
    <w:rsid w:val="009227A8"/>
    <w:rsid w:val="00922B50"/>
    <w:rsid w:val="00922D2B"/>
    <w:rsid w:val="00923787"/>
    <w:rsid w:val="00923BFF"/>
    <w:rsid w:val="00924033"/>
    <w:rsid w:val="00924225"/>
    <w:rsid w:val="009253E6"/>
    <w:rsid w:val="00925A69"/>
    <w:rsid w:val="00925CAC"/>
    <w:rsid w:val="00927A53"/>
    <w:rsid w:val="0093004B"/>
    <w:rsid w:val="00930394"/>
    <w:rsid w:val="0093135E"/>
    <w:rsid w:val="00931539"/>
    <w:rsid w:val="00931776"/>
    <w:rsid w:val="009327CB"/>
    <w:rsid w:val="00932A6F"/>
    <w:rsid w:val="00932B40"/>
    <w:rsid w:val="00933B89"/>
    <w:rsid w:val="009346B0"/>
    <w:rsid w:val="00934FBF"/>
    <w:rsid w:val="00936B13"/>
    <w:rsid w:val="00936C5F"/>
    <w:rsid w:val="009372BC"/>
    <w:rsid w:val="00937BD5"/>
    <w:rsid w:val="00940F82"/>
    <w:rsid w:val="0094112D"/>
    <w:rsid w:val="00941452"/>
    <w:rsid w:val="0094223A"/>
    <w:rsid w:val="00942E16"/>
    <w:rsid w:val="00942E50"/>
    <w:rsid w:val="0094314C"/>
    <w:rsid w:val="00943564"/>
    <w:rsid w:val="00944288"/>
    <w:rsid w:val="00944F3B"/>
    <w:rsid w:val="009450F3"/>
    <w:rsid w:val="009458EC"/>
    <w:rsid w:val="00945F35"/>
    <w:rsid w:val="009467A5"/>
    <w:rsid w:val="00946EE7"/>
    <w:rsid w:val="00946F7E"/>
    <w:rsid w:val="00947B90"/>
    <w:rsid w:val="00950225"/>
    <w:rsid w:val="00950626"/>
    <w:rsid w:val="00951368"/>
    <w:rsid w:val="009518E8"/>
    <w:rsid w:val="00951F09"/>
    <w:rsid w:val="00952129"/>
    <w:rsid w:val="00952235"/>
    <w:rsid w:val="0095282C"/>
    <w:rsid w:val="00954451"/>
    <w:rsid w:val="00954870"/>
    <w:rsid w:val="0095492D"/>
    <w:rsid w:val="009550F1"/>
    <w:rsid w:val="00955800"/>
    <w:rsid w:val="00956BD7"/>
    <w:rsid w:val="00956D80"/>
    <w:rsid w:val="00957D27"/>
    <w:rsid w:val="00957FD2"/>
    <w:rsid w:val="00962A6C"/>
    <w:rsid w:val="00962CCD"/>
    <w:rsid w:val="009638BF"/>
    <w:rsid w:val="00963B2E"/>
    <w:rsid w:val="00964320"/>
    <w:rsid w:val="00964C2E"/>
    <w:rsid w:val="00965057"/>
    <w:rsid w:val="00965EC6"/>
    <w:rsid w:val="00966525"/>
    <w:rsid w:val="009668DF"/>
    <w:rsid w:val="00967993"/>
    <w:rsid w:val="00967F39"/>
    <w:rsid w:val="00970688"/>
    <w:rsid w:val="009707F9"/>
    <w:rsid w:val="00971D53"/>
    <w:rsid w:val="0097204C"/>
    <w:rsid w:val="0097328D"/>
    <w:rsid w:val="009739BF"/>
    <w:rsid w:val="009741CF"/>
    <w:rsid w:val="00974F6B"/>
    <w:rsid w:val="009756B3"/>
    <w:rsid w:val="009757B3"/>
    <w:rsid w:val="00975E82"/>
    <w:rsid w:val="00975FFA"/>
    <w:rsid w:val="00976A00"/>
    <w:rsid w:val="00976EF1"/>
    <w:rsid w:val="00980318"/>
    <w:rsid w:val="00982A82"/>
    <w:rsid w:val="00982AA2"/>
    <w:rsid w:val="0098393D"/>
    <w:rsid w:val="00983B3B"/>
    <w:rsid w:val="009848DE"/>
    <w:rsid w:val="009856D6"/>
    <w:rsid w:val="00985D47"/>
    <w:rsid w:val="00986138"/>
    <w:rsid w:val="009865F0"/>
    <w:rsid w:val="00986828"/>
    <w:rsid w:val="00986CC7"/>
    <w:rsid w:val="00987A45"/>
    <w:rsid w:val="00987B94"/>
    <w:rsid w:val="009904E5"/>
    <w:rsid w:val="0099100F"/>
    <w:rsid w:val="00991057"/>
    <w:rsid w:val="009916F2"/>
    <w:rsid w:val="00991809"/>
    <w:rsid w:val="0099302E"/>
    <w:rsid w:val="00993928"/>
    <w:rsid w:val="00994AF8"/>
    <w:rsid w:val="00996039"/>
    <w:rsid w:val="0099795F"/>
    <w:rsid w:val="00997FE2"/>
    <w:rsid w:val="009A102B"/>
    <w:rsid w:val="009A1A51"/>
    <w:rsid w:val="009A23D1"/>
    <w:rsid w:val="009A2D7B"/>
    <w:rsid w:val="009A3225"/>
    <w:rsid w:val="009A45EF"/>
    <w:rsid w:val="009A4C77"/>
    <w:rsid w:val="009A4E2B"/>
    <w:rsid w:val="009A4F47"/>
    <w:rsid w:val="009A65BA"/>
    <w:rsid w:val="009A715F"/>
    <w:rsid w:val="009B0E15"/>
    <w:rsid w:val="009B1DAC"/>
    <w:rsid w:val="009B2922"/>
    <w:rsid w:val="009B2B96"/>
    <w:rsid w:val="009B3851"/>
    <w:rsid w:val="009B4D56"/>
    <w:rsid w:val="009B54AF"/>
    <w:rsid w:val="009B5839"/>
    <w:rsid w:val="009B6056"/>
    <w:rsid w:val="009B669B"/>
    <w:rsid w:val="009B6D5F"/>
    <w:rsid w:val="009B7872"/>
    <w:rsid w:val="009C04C6"/>
    <w:rsid w:val="009C08BD"/>
    <w:rsid w:val="009C1764"/>
    <w:rsid w:val="009C2ACB"/>
    <w:rsid w:val="009C2F0A"/>
    <w:rsid w:val="009C3C24"/>
    <w:rsid w:val="009C3EB0"/>
    <w:rsid w:val="009C3F51"/>
    <w:rsid w:val="009C4785"/>
    <w:rsid w:val="009C4B16"/>
    <w:rsid w:val="009C4D50"/>
    <w:rsid w:val="009C6BAB"/>
    <w:rsid w:val="009C7111"/>
    <w:rsid w:val="009C7300"/>
    <w:rsid w:val="009D04AF"/>
    <w:rsid w:val="009D0C77"/>
    <w:rsid w:val="009D0D3E"/>
    <w:rsid w:val="009D102C"/>
    <w:rsid w:val="009D10B1"/>
    <w:rsid w:val="009D1279"/>
    <w:rsid w:val="009D292E"/>
    <w:rsid w:val="009D2EEB"/>
    <w:rsid w:val="009D30E4"/>
    <w:rsid w:val="009D428A"/>
    <w:rsid w:val="009D4BB0"/>
    <w:rsid w:val="009D4F64"/>
    <w:rsid w:val="009D51B7"/>
    <w:rsid w:val="009D5380"/>
    <w:rsid w:val="009D6125"/>
    <w:rsid w:val="009D79C8"/>
    <w:rsid w:val="009D7FBC"/>
    <w:rsid w:val="009E07C7"/>
    <w:rsid w:val="009E0A82"/>
    <w:rsid w:val="009E12C1"/>
    <w:rsid w:val="009E13A4"/>
    <w:rsid w:val="009E1616"/>
    <w:rsid w:val="009E20B3"/>
    <w:rsid w:val="009E2D0F"/>
    <w:rsid w:val="009E381A"/>
    <w:rsid w:val="009E4F3B"/>
    <w:rsid w:val="009E52DF"/>
    <w:rsid w:val="009E564D"/>
    <w:rsid w:val="009E5BEF"/>
    <w:rsid w:val="009E5C7C"/>
    <w:rsid w:val="009E67DC"/>
    <w:rsid w:val="009E68CA"/>
    <w:rsid w:val="009E6B0C"/>
    <w:rsid w:val="009F19D4"/>
    <w:rsid w:val="009F1FF5"/>
    <w:rsid w:val="009F24D2"/>
    <w:rsid w:val="009F2F6C"/>
    <w:rsid w:val="009F372C"/>
    <w:rsid w:val="009F512E"/>
    <w:rsid w:val="009F5193"/>
    <w:rsid w:val="009F5F0E"/>
    <w:rsid w:val="009F5F19"/>
    <w:rsid w:val="009F6441"/>
    <w:rsid w:val="009F683C"/>
    <w:rsid w:val="009F6AF2"/>
    <w:rsid w:val="009F6FAD"/>
    <w:rsid w:val="009F73C3"/>
    <w:rsid w:val="009F7446"/>
    <w:rsid w:val="00A00692"/>
    <w:rsid w:val="00A00E6F"/>
    <w:rsid w:val="00A0207D"/>
    <w:rsid w:val="00A0213F"/>
    <w:rsid w:val="00A044CC"/>
    <w:rsid w:val="00A04CD8"/>
    <w:rsid w:val="00A04EB5"/>
    <w:rsid w:val="00A05840"/>
    <w:rsid w:val="00A05CD6"/>
    <w:rsid w:val="00A05E09"/>
    <w:rsid w:val="00A064E0"/>
    <w:rsid w:val="00A06F35"/>
    <w:rsid w:val="00A10477"/>
    <w:rsid w:val="00A1144C"/>
    <w:rsid w:val="00A12517"/>
    <w:rsid w:val="00A12751"/>
    <w:rsid w:val="00A128E1"/>
    <w:rsid w:val="00A12C96"/>
    <w:rsid w:val="00A12FDD"/>
    <w:rsid w:val="00A14065"/>
    <w:rsid w:val="00A15072"/>
    <w:rsid w:val="00A157D7"/>
    <w:rsid w:val="00A15DF4"/>
    <w:rsid w:val="00A16D4C"/>
    <w:rsid w:val="00A16D86"/>
    <w:rsid w:val="00A20246"/>
    <w:rsid w:val="00A20598"/>
    <w:rsid w:val="00A206C6"/>
    <w:rsid w:val="00A21026"/>
    <w:rsid w:val="00A224BC"/>
    <w:rsid w:val="00A22679"/>
    <w:rsid w:val="00A226CB"/>
    <w:rsid w:val="00A2286B"/>
    <w:rsid w:val="00A23B83"/>
    <w:rsid w:val="00A24778"/>
    <w:rsid w:val="00A24887"/>
    <w:rsid w:val="00A24D12"/>
    <w:rsid w:val="00A2511A"/>
    <w:rsid w:val="00A27484"/>
    <w:rsid w:val="00A2754D"/>
    <w:rsid w:val="00A303FB"/>
    <w:rsid w:val="00A325BF"/>
    <w:rsid w:val="00A32D85"/>
    <w:rsid w:val="00A32DB4"/>
    <w:rsid w:val="00A33657"/>
    <w:rsid w:val="00A33A3E"/>
    <w:rsid w:val="00A33CC0"/>
    <w:rsid w:val="00A346E7"/>
    <w:rsid w:val="00A34F4E"/>
    <w:rsid w:val="00A355ED"/>
    <w:rsid w:val="00A3611B"/>
    <w:rsid w:val="00A3661C"/>
    <w:rsid w:val="00A368A2"/>
    <w:rsid w:val="00A37901"/>
    <w:rsid w:val="00A37C1C"/>
    <w:rsid w:val="00A41200"/>
    <w:rsid w:val="00A42E0D"/>
    <w:rsid w:val="00A43116"/>
    <w:rsid w:val="00A437FA"/>
    <w:rsid w:val="00A4381D"/>
    <w:rsid w:val="00A439E3"/>
    <w:rsid w:val="00A43C1D"/>
    <w:rsid w:val="00A4521A"/>
    <w:rsid w:val="00A45D79"/>
    <w:rsid w:val="00A45DF0"/>
    <w:rsid w:val="00A46C29"/>
    <w:rsid w:val="00A46E2A"/>
    <w:rsid w:val="00A50026"/>
    <w:rsid w:val="00A506C4"/>
    <w:rsid w:val="00A5101E"/>
    <w:rsid w:val="00A537A9"/>
    <w:rsid w:val="00A53AFD"/>
    <w:rsid w:val="00A53DAB"/>
    <w:rsid w:val="00A5417A"/>
    <w:rsid w:val="00A54B26"/>
    <w:rsid w:val="00A54F30"/>
    <w:rsid w:val="00A5501F"/>
    <w:rsid w:val="00A55413"/>
    <w:rsid w:val="00A566CF"/>
    <w:rsid w:val="00A57125"/>
    <w:rsid w:val="00A604B0"/>
    <w:rsid w:val="00A60D1E"/>
    <w:rsid w:val="00A618DF"/>
    <w:rsid w:val="00A61F23"/>
    <w:rsid w:val="00A62D05"/>
    <w:rsid w:val="00A633BA"/>
    <w:rsid w:val="00A6393D"/>
    <w:rsid w:val="00A63BC4"/>
    <w:rsid w:val="00A64AA6"/>
    <w:rsid w:val="00A65197"/>
    <w:rsid w:val="00A65CF1"/>
    <w:rsid w:val="00A65F21"/>
    <w:rsid w:val="00A660D1"/>
    <w:rsid w:val="00A6614C"/>
    <w:rsid w:val="00A66185"/>
    <w:rsid w:val="00A66461"/>
    <w:rsid w:val="00A66B9E"/>
    <w:rsid w:val="00A67548"/>
    <w:rsid w:val="00A707D4"/>
    <w:rsid w:val="00A7172B"/>
    <w:rsid w:val="00A72C71"/>
    <w:rsid w:val="00A73BAF"/>
    <w:rsid w:val="00A74496"/>
    <w:rsid w:val="00A752B7"/>
    <w:rsid w:val="00A75A57"/>
    <w:rsid w:val="00A76227"/>
    <w:rsid w:val="00A76243"/>
    <w:rsid w:val="00A7645B"/>
    <w:rsid w:val="00A76681"/>
    <w:rsid w:val="00A76719"/>
    <w:rsid w:val="00A7692F"/>
    <w:rsid w:val="00A7734D"/>
    <w:rsid w:val="00A77D9B"/>
    <w:rsid w:val="00A8025E"/>
    <w:rsid w:val="00A80F67"/>
    <w:rsid w:val="00A825E8"/>
    <w:rsid w:val="00A827C1"/>
    <w:rsid w:val="00A83EDF"/>
    <w:rsid w:val="00A83F73"/>
    <w:rsid w:val="00A84124"/>
    <w:rsid w:val="00A841AA"/>
    <w:rsid w:val="00A84434"/>
    <w:rsid w:val="00A8489E"/>
    <w:rsid w:val="00A857E3"/>
    <w:rsid w:val="00A86596"/>
    <w:rsid w:val="00A8679A"/>
    <w:rsid w:val="00A86966"/>
    <w:rsid w:val="00A8711B"/>
    <w:rsid w:val="00A90A1F"/>
    <w:rsid w:val="00A91343"/>
    <w:rsid w:val="00A91798"/>
    <w:rsid w:val="00A924CC"/>
    <w:rsid w:val="00A924DC"/>
    <w:rsid w:val="00A94458"/>
    <w:rsid w:val="00A94CFE"/>
    <w:rsid w:val="00A9610F"/>
    <w:rsid w:val="00A97641"/>
    <w:rsid w:val="00AA0282"/>
    <w:rsid w:val="00AA0453"/>
    <w:rsid w:val="00AA0643"/>
    <w:rsid w:val="00AA1294"/>
    <w:rsid w:val="00AA21DE"/>
    <w:rsid w:val="00AA24E6"/>
    <w:rsid w:val="00AA32C2"/>
    <w:rsid w:val="00AA3D65"/>
    <w:rsid w:val="00AA4BA8"/>
    <w:rsid w:val="00AA5A50"/>
    <w:rsid w:val="00AA5C7F"/>
    <w:rsid w:val="00AA6B2B"/>
    <w:rsid w:val="00AA6BD8"/>
    <w:rsid w:val="00AA7142"/>
    <w:rsid w:val="00AA796D"/>
    <w:rsid w:val="00AA7A9D"/>
    <w:rsid w:val="00AB0612"/>
    <w:rsid w:val="00AB0A8F"/>
    <w:rsid w:val="00AB0D54"/>
    <w:rsid w:val="00AB0F28"/>
    <w:rsid w:val="00AB2406"/>
    <w:rsid w:val="00AB2723"/>
    <w:rsid w:val="00AB2D99"/>
    <w:rsid w:val="00AB3B45"/>
    <w:rsid w:val="00AB4999"/>
    <w:rsid w:val="00AB5764"/>
    <w:rsid w:val="00AB5CED"/>
    <w:rsid w:val="00AB6979"/>
    <w:rsid w:val="00AB7A2D"/>
    <w:rsid w:val="00AC00DD"/>
    <w:rsid w:val="00AC064F"/>
    <w:rsid w:val="00AC0985"/>
    <w:rsid w:val="00AC0DF7"/>
    <w:rsid w:val="00AC0E1F"/>
    <w:rsid w:val="00AC0E82"/>
    <w:rsid w:val="00AC117B"/>
    <w:rsid w:val="00AC15B7"/>
    <w:rsid w:val="00AC1ACD"/>
    <w:rsid w:val="00AC2EFB"/>
    <w:rsid w:val="00AC2FF8"/>
    <w:rsid w:val="00AC3197"/>
    <w:rsid w:val="00AC3600"/>
    <w:rsid w:val="00AC3D76"/>
    <w:rsid w:val="00AC43C7"/>
    <w:rsid w:val="00AC4DC1"/>
    <w:rsid w:val="00AC5292"/>
    <w:rsid w:val="00AC575F"/>
    <w:rsid w:val="00AC5870"/>
    <w:rsid w:val="00AC5B90"/>
    <w:rsid w:val="00AC7063"/>
    <w:rsid w:val="00AC73EB"/>
    <w:rsid w:val="00AC7672"/>
    <w:rsid w:val="00AD092E"/>
    <w:rsid w:val="00AD128C"/>
    <w:rsid w:val="00AD1E9B"/>
    <w:rsid w:val="00AD2ED2"/>
    <w:rsid w:val="00AD3A0B"/>
    <w:rsid w:val="00AD4837"/>
    <w:rsid w:val="00AD5613"/>
    <w:rsid w:val="00AD56A5"/>
    <w:rsid w:val="00AD696B"/>
    <w:rsid w:val="00AD6D2C"/>
    <w:rsid w:val="00AD7956"/>
    <w:rsid w:val="00AE1EF7"/>
    <w:rsid w:val="00AE274C"/>
    <w:rsid w:val="00AE2822"/>
    <w:rsid w:val="00AE2DCC"/>
    <w:rsid w:val="00AE3523"/>
    <w:rsid w:val="00AE3F9C"/>
    <w:rsid w:val="00AE42C2"/>
    <w:rsid w:val="00AE4365"/>
    <w:rsid w:val="00AE4917"/>
    <w:rsid w:val="00AE4F11"/>
    <w:rsid w:val="00AE5D23"/>
    <w:rsid w:val="00AE5FDD"/>
    <w:rsid w:val="00AE61C5"/>
    <w:rsid w:val="00AE7726"/>
    <w:rsid w:val="00AF0556"/>
    <w:rsid w:val="00AF0734"/>
    <w:rsid w:val="00AF1FD8"/>
    <w:rsid w:val="00AF2652"/>
    <w:rsid w:val="00AF2763"/>
    <w:rsid w:val="00AF3E87"/>
    <w:rsid w:val="00AF4B0D"/>
    <w:rsid w:val="00AF4EF9"/>
    <w:rsid w:val="00AF52D3"/>
    <w:rsid w:val="00AF59E4"/>
    <w:rsid w:val="00AF5E0E"/>
    <w:rsid w:val="00AF6084"/>
    <w:rsid w:val="00AF7CD4"/>
    <w:rsid w:val="00B00193"/>
    <w:rsid w:val="00B0130D"/>
    <w:rsid w:val="00B015F6"/>
    <w:rsid w:val="00B017A3"/>
    <w:rsid w:val="00B01A6D"/>
    <w:rsid w:val="00B02074"/>
    <w:rsid w:val="00B020B1"/>
    <w:rsid w:val="00B02A60"/>
    <w:rsid w:val="00B03330"/>
    <w:rsid w:val="00B0371B"/>
    <w:rsid w:val="00B03A57"/>
    <w:rsid w:val="00B03BF6"/>
    <w:rsid w:val="00B0402C"/>
    <w:rsid w:val="00B0415A"/>
    <w:rsid w:val="00B04539"/>
    <w:rsid w:val="00B04C14"/>
    <w:rsid w:val="00B05AF3"/>
    <w:rsid w:val="00B05C77"/>
    <w:rsid w:val="00B05FD4"/>
    <w:rsid w:val="00B067DC"/>
    <w:rsid w:val="00B06A44"/>
    <w:rsid w:val="00B0777F"/>
    <w:rsid w:val="00B07BCC"/>
    <w:rsid w:val="00B1020A"/>
    <w:rsid w:val="00B10777"/>
    <w:rsid w:val="00B1163E"/>
    <w:rsid w:val="00B11D72"/>
    <w:rsid w:val="00B134CA"/>
    <w:rsid w:val="00B15638"/>
    <w:rsid w:val="00B16219"/>
    <w:rsid w:val="00B16529"/>
    <w:rsid w:val="00B16734"/>
    <w:rsid w:val="00B1760A"/>
    <w:rsid w:val="00B17C4A"/>
    <w:rsid w:val="00B200BD"/>
    <w:rsid w:val="00B21021"/>
    <w:rsid w:val="00B229C1"/>
    <w:rsid w:val="00B22FF1"/>
    <w:rsid w:val="00B23C11"/>
    <w:rsid w:val="00B24064"/>
    <w:rsid w:val="00B249C8"/>
    <w:rsid w:val="00B24BE4"/>
    <w:rsid w:val="00B25B99"/>
    <w:rsid w:val="00B25E1D"/>
    <w:rsid w:val="00B26C1A"/>
    <w:rsid w:val="00B26CEE"/>
    <w:rsid w:val="00B275FE"/>
    <w:rsid w:val="00B278A6"/>
    <w:rsid w:val="00B300A9"/>
    <w:rsid w:val="00B30D4A"/>
    <w:rsid w:val="00B318D0"/>
    <w:rsid w:val="00B32B8A"/>
    <w:rsid w:val="00B33950"/>
    <w:rsid w:val="00B3396D"/>
    <w:rsid w:val="00B34486"/>
    <w:rsid w:val="00B34507"/>
    <w:rsid w:val="00B373AD"/>
    <w:rsid w:val="00B37486"/>
    <w:rsid w:val="00B4049E"/>
    <w:rsid w:val="00B4056D"/>
    <w:rsid w:val="00B40623"/>
    <w:rsid w:val="00B40B42"/>
    <w:rsid w:val="00B41032"/>
    <w:rsid w:val="00B41377"/>
    <w:rsid w:val="00B41916"/>
    <w:rsid w:val="00B41E3F"/>
    <w:rsid w:val="00B43537"/>
    <w:rsid w:val="00B43D46"/>
    <w:rsid w:val="00B4485E"/>
    <w:rsid w:val="00B44A80"/>
    <w:rsid w:val="00B46CF0"/>
    <w:rsid w:val="00B50686"/>
    <w:rsid w:val="00B52362"/>
    <w:rsid w:val="00B523C4"/>
    <w:rsid w:val="00B52C02"/>
    <w:rsid w:val="00B52D27"/>
    <w:rsid w:val="00B53D90"/>
    <w:rsid w:val="00B54876"/>
    <w:rsid w:val="00B549DF"/>
    <w:rsid w:val="00B54DB4"/>
    <w:rsid w:val="00B552C7"/>
    <w:rsid w:val="00B55633"/>
    <w:rsid w:val="00B55DC6"/>
    <w:rsid w:val="00B55FD7"/>
    <w:rsid w:val="00B56238"/>
    <w:rsid w:val="00B56366"/>
    <w:rsid w:val="00B5637F"/>
    <w:rsid w:val="00B56B54"/>
    <w:rsid w:val="00B56C5F"/>
    <w:rsid w:val="00B579A8"/>
    <w:rsid w:val="00B57BFC"/>
    <w:rsid w:val="00B604B0"/>
    <w:rsid w:val="00B61E4E"/>
    <w:rsid w:val="00B626B6"/>
    <w:rsid w:val="00B62F2A"/>
    <w:rsid w:val="00B6324B"/>
    <w:rsid w:val="00B634A7"/>
    <w:rsid w:val="00B642EA"/>
    <w:rsid w:val="00B6431E"/>
    <w:rsid w:val="00B65345"/>
    <w:rsid w:val="00B65941"/>
    <w:rsid w:val="00B662D8"/>
    <w:rsid w:val="00B669E1"/>
    <w:rsid w:val="00B679F2"/>
    <w:rsid w:val="00B70A2D"/>
    <w:rsid w:val="00B70AFF"/>
    <w:rsid w:val="00B71198"/>
    <w:rsid w:val="00B717A9"/>
    <w:rsid w:val="00B749ED"/>
    <w:rsid w:val="00B75BFB"/>
    <w:rsid w:val="00B75DD6"/>
    <w:rsid w:val="00B76D6E"/>
    <w:rsid w:val="00B77108"/>
    <w:rsid w:val="00B77AE7"/>
    <w:rsid w:val="00B77D63"/>
    <w:rsid w:val="00B805BF"/>
    <w:rsid w:val="00B807B9"/>
    <w:rsid w:val="00B80AE7"/>
    <w:rsid w:val="00B81166"/>
    <w:rsid w:val="00B81988"/>
    <w:rsid w:val="00B81C41"/>
    <w:rsid w:val="00B81CDD"/>
    <w:rsid w:val="00B81E27"/>
    <w:rsid w:val="00B82980"/>
    <w:rsid w:val="00B836A6"/>
    <w:rsid w:val="00B83A30"/>
    <w:rsid w:val="00B83F2E"/>
    <w:rsid w:val="00B8492C"/>
    <w:rsid w:val="00B84A21"/>
    <w:rsid w:val="00B84D59"/>
    <w:rsid w:val="00B85B6D"/>
    <w:rsid w:val="00B86516"/>
    <w:rsid w:val="00B8658C"/>
    <w:rsid w:val="00B87FB6"/>
    <w:rsid w:val="00B90C3F"/>
    <w:rsid w:val="00B91B83"/>
    <w:rsid w:val="00B92781"/>
    <w:rsid w:val="00B93FAE"/>
    <w:rsid w:val="00B95230"/>
    <w:rsid w:val="00B95EE1"/>
    <w:rsid w:val="00B96FC8"/>
    <w:rsid w:val="00BA09A8"/>
    <w:rsid w:val="00BA17ED"/>
    <w:rsid w:val="00BA18DA"/>
    <w:rsid w:val="00BA2CB3"/>
    <w:rsid w:val="00BA310F"/>
    <w:rsid w:val="00BA41F9"/>
    <w:rsid w:val="00BA44CA"/>
    <w:rsid w:val="00BA46BB"/>
    <w:rsid w:val="00BA4987"/>
    <w:rsid w:val="00BA55FC"/>
    <w:rsid w:val="00BA569F"/>
    <w:rsid w:val="00BA6750"/>
    <w:rsid w:val="00BA6E93"/>
    <w:rsid w:val="00BA6F39"/>
    <w:rsid w:val="00BA7147"/>
    <w:rsid w:val="00BB0A97"/>
    <w:rsid w:val="00BB0AA3"/>
    <w:rsid w:val="00BB0F98"/>
    <w:rsid w:val="00BB2C18"/>
    <w:rsid w:val="00BB3996"/>
    <w:rsid w:val="00BB3D11"/>
    <w:rsid w:val="00BB491F"/>
    <w:rsid w:val="00BB528D"/>
    <w:rsid w:val="00BB647A"/>
    <w:rsid w:val="00BB7B52"/>
    <w:rsid w:val="00BC074D"/>
    <w:rsid w:val="00BC0F7D"/>
    <w:rsid w:val="00BC1180"/>
    <w:rsid w:val="00BC2891"/>
    <w:rsid w:val="00BC42F1"/>
    <w:rsid w:val="00BC5759"/>
    <w:rsid w:val="00BC608C"/>
    <w:rsid w:val="00BC64FC"/>
    <w:rsid w:val="00BC6AA8"/>
    <w:rsid w:val="00BC7EE4"/>
    <w:rsid w:val="00BD13B8"/>
    <w:rsid w:val="00BD146B"/>
    <w:rsid w:val="00BD199C"/>
    <w:rsid w:val="00BD2650"/>
    <w:rsid w:val="00BD2F28"/>
    <w:rsid w:val="00BD34DD"/>
    <w:rsid w:val="00BD3B78"/>
    <w:rsid w:val="00BD3C75"/>
    <w:rsid w:val="00BD4DCA"/>
    <w:rsid w:val="00BD4F22"/>
    <w:rsid w:val="00BD67C8"/>
    <w:rsid w:val="00BD750B"/>
    <w:rsid w:val="00BD79F5"/>
    <w:rsid w:val="00BE0052"/>
    <w:rsid w:val="00BE063D"/>
    <w:rsid w:val="00BE08F1"/>
    <w:rsid w:val="00BE0EA8"/>
    <w:rsid w:val="00BE1521"/>
    <w:rsid w:val="00BE2084"/>
    <w:rsid w:val="00BE21C7"/>
    <w:rsid w:val="00BE2636"/>
    <w:rsid w:val="00BE32D6"/>
    <w:rsid w:val="00BE3B05"/>
    <w:rsid w:val="00BE4561"/>
    <w:rsid w:val="00BE49E4"/>
    <w:rsid w:val="00BE7165"/>
    <w:rsid w:val="00BF012D"/>
    <w:rsid w:val="00BF11BC"/>
    <w:rsid w:val="00BF14D7"/>
    <w:rsid w:val="00BF1B00"/>
    <w:rsid w:val="00BF272A"/>
    <w:rsid w:val="00BF3289"/>
    <w:rsid w:val="00BF3AEA"/>
    <w:rsid w:val="00BF4385"/>
    <w:rsid w:val="00BF6A1A"/>
    <w:rsid w:val="00BF751B"/>
    <w:rsid w:val="00C00976"/>
    <w:rsid w:val="00C00C5C"/>
    <w:rsid w:val="00C02145"/>
    <w:rsid w:val="00C024EB"/>
    <w:rsid w:val="00C02F1D"/>
    <w:rsid w:val="00C03499"/>
    <w:rsid w:val="00C04518"/>
    <w:rsid w:val="00C05186"/>
    <w:rsid w:val="00C056EF"/>
    <w:rsid w:val="00C05B7D"/>
    <w:rsid w:val="00C05BA4"/>
    <w:rsid w:val="00C067F3"/>
    <w:rsid w:val="00C06A12"/>
    <w:rsid w:val="00C0705D"/>
    <w:rsid w:val="00C074F0"/>
    <w:rsid w:val="00C10641"/>
    <w:rsid w:val="00C10C63"/>
    <w:rsid w:val="00C10D34"/>
    <w:rsid w:val="00C11396"/>
    <w:rsid w:val="00C114A6"/>
    <w:rsid w:val="00C11739"/>
    <w:rsid w:val="00C12333"/>
    <w:rsid w:val="00C127FA"/>
    <w:rsid w:val="00C12A7A"/>
    <w:rsid w:val="00C131C1"/>
    <w:rsid w:val="00C138A1"/>
    <w:rsid w:val="00C13C4A"/>
    <w:rsid w:val="00C14518"/>
    <w:rsid w:val="00C15603"/>
    <w:rsid w:val="00C15D68"/>
    <w:rsid w:val="00C161EA"/>
    <w:rsid w:val="00C168DE"/>
    <w:rsid w:val="00C16BC8"/>
    <w:rsid w:val="00C173D2"/>
    <w:rsid w:val="00C1778D"/>
    <w:rsid w:val="00C21335"/>
    <w:rsid w:val="00C21C86"/>
    <w:rsid w:val="00C21D34"/>
    <w:rsid w:val="00C22170"/>
    <w:rsid w:val="00C232B7"/>
    <w:rsid w:val="00C25685"/>
    <w:rsid w:val="00C25951"/>
    <w:rsid w:val="00C25B84"/>
    <w:rsid w:val="00C26448"/>
    <w:rsid w:val="00C26605"/>
    <w:rsid w:val="00C26663"/>
    <w:rsid w:val="00C270DE"/>
    <w:rsid w:val="00C2753A"/>
    <w:rsid w:val="00C30251"/>
    <w:rsid w:val="00C309FA"/>
    <w:rsid w:val="00C30DC3"/>
    <w:rsid w:val="00C30E93"/>
    <w:rsid w:val="00C313D2"/>
    <w:rsid w:val="00C31FEE"/>
    <w:rsid w:val="00C33A6D"/>
    <w:rsid w:val="00C34C36"/>
    <w:rsid w:val="00C3591B"/>
    <w:rsid w:val="00C35992"/>
    <w:rsid w:val="00C35EE8"/>
    <w:rsid w:val="00C37733"/>
    <w:rsid w:val="00C377DE"/>
    <w:rsid w:val="00C40688"/>
    <w:rsid w:val="00C409EF"/>
    <w:rsid w:val="00C42566"/>
    <w:rsid w:val="00C42BAA"/>
    <w:rsid w:val="00C42E9A"/>
    <w:rsid w:val="00C434A3"/>
    <w:rsid w:val="00C439FA"/>
    <w:rsid w:val="00C46159"/>
    <w:rsid w:val="00C46F38"/>
    <w:rsid w:val="00C47FD5"/>
    <w:rsid w:val="00C5072C"/>
    <w:rsid w:val="00C52141"/>
    <w:rsid w:val="00C521F1"/>
    <w:rsid w:val="00C53714"/>
    <w:rsid w:val="00C548EF"/>
    <w:rsid w:val="00C54E33"/>
    <w:rsid w:val="00C55E44"/>
    <w:rsid w:val="00C55EF1"/>
    <w:rsid w:val="00C55F98"/>
    <w:rsid w:val="00C56BA3"/>
    <w:rsid w:val="00C57038"/>
    <w:rsid w:val="00C60CA3"/>
    <w:rsid w:val="00C61681"/>
    <w:rsid w:val="00C61CE2"/>
    <w:rsid w:val="00C62BF8"/>
    <w:rsid w:val="00C63110"/>
    <w:rsid w:val="00C63255"/>
    <w:rsid w:val="00C646D3"/>
    <w:rsid w:val="00C64AFF"/>
    <w:rsid w:val="00C65081"/>
    <w:rsid w:val="00C6693F"/>
    <w:rsid w:val="00C672BB"/>
    <w:rsid w:val="00C70011"/>
    <w:rsid w:val="00C7009E"/>
    <w:rsid w:val="00C70365"/>
    <w:rsid w:val="00C70944"/>
    <w:rsid w:val="00C70E62"/>
    <w:rsid w:val="00C7179C"/>
    <w:rsid w:val="00C717EB"/>
    <w:rsid w:val="00C7363F"/>
    <w:rsid w:val="00C736BA"/>
    <w:rsid w:val="00C73BAA"/>
    <w:rsid w:val="00C73BAE"/>
    <w:rsid w:val="00C74138"/>
    <w:rsid w:val="00C75D7D"/>
    <w:rsid w:val="00C76146"/>
    <w:rsid w:val="00C77020"/>
    <w:rsid w:val="00C7752A"/>
    <w:rsid w:val="00C7792C"/>
    <w:rsid w:val="00C77C94"/>
    <w:rsid w:val="00C80156"/>
    <w:rsid w:val="00C81786"/>
    <w:rsid w:val="00C823F6"/>
    <w:rsid w:val="00C82BF0"/>
    <w:rsid w:val="00C82D94"/>
    <w:rsid w:val="00C839E8"/>
    <w:rsid w:val="00C85B21"/>
    <w:rsid w:val="00C85C08"/>
    <w:rsid w:val="00C8616A"/>
    <w:rsid w:val="00C86BD0"/>
    <w:rsid w:val="00C87232"/>
    <w:rsid w:val="00C9031A"/>
    <w:rsid w:val="00C910D5"/>
    <w:rsid w:val="00C91A54"/>
    <w:rsid w:val="00C92C88"/>
    <w:rsid w:val="00C941A6"/>
    <w:rsid w:val="00C9465E"/>
    <w:rsid w:val="00C94689"/>
    <w:rsid w:val="00C94924"/>
    <w:rsid w:val="00C951BB"/>
    <w:rsid w:val="00C957F2"/>
    <w:rsid w:val="00C958D1"/>
    <w:rsid w:val="00C959C0"/>
    <w:rsid w:val="00C96C11"/>
    <w:rsid w:val="00C97775"/>
    <w:rsid w:val="00CA221B"/>
    <w:rsid w:val="00CA2AE1"/>
    <w:rsid w:val="00CA2F4A"/>
    <w:rsid w:val="00CA30FC"/>
    <w:rsid w:val="00CA3BE1"/>
    <w:rsid w:val="00CA4942"/>
    <w:rsid w:val="00CA4D37"/>
    <w:rsid w:val="00CA525D"/>
    <w:rsid w:val="00CA5A44"/>
    <w:rsid w:val="00CA6363"/>
    <w:rsid w:val="00CA6646"/>
    <w:rsid w:val="00CA76EF"/>
    <w:rsid w:val="00CB09CC"/>
    <w:rsid w:val="00CB0C80"/>
    <w:rsid w:val="00CB0D0D"/>
    <w:rsid w:val="00CB11E0"/>
    <w:rsid w:val="00CB1CF9"/>
    <w:rsid w:val="00CB28B0"/>
    <w:rsid w:val="00CB28DA"/>
    <w:rsid w:val="00CB2D3C"/>
    <w:rsid w:val="00CB2F12"/>
    <w:rsid w:val="00CB3DAF"/>
    <w:rsid w:val="00CB40E9"/>
    <w:rsid w:val="00CB4D25"/>
    <w:rsid w:val="00CB4E21"/>
    <w:rsid w:val="00CB5023"/>
    <w:rsid w:val="00CB533C"/>
    <w:rsid w:val="00CB5673"/>
    <w:rsid w:val="00CB694A"/>
    <w:rsid w:val="00CB6982"/>
    <w:rsid w:val="00CB705E"/>
    <w:rsid w:val="00CB764A"/>
    <w:rsid w:val="00CB7E70"/>
    <w:rsid w:val="00CC0955"/>
    <w:rsid w:val="00CC11C2"/>
    <w:rsid w:val="00CC13D9"/>
    <w:rsid w:val="00CC2C6E"/>
    <w:rsid w:val="00CC40E1"/>
    <w:rsid w:val="00CC4464"/>
    <w:rsid w:val="00CC5E93"/>
    <w:rsid w:val="00CC66C4"/>
    <w:rsid w:val="00CC7422"/>
    <w:rsid w:val="00CC75DE"/>
    <w:rsid w:val="00CC7BE2"/>
    <w:rsid w:val="00CD057B"/>
    <w:rsid w:val="00CD07CF"/>
    <w:rsid w:val="00CD07DB"/>
    <w:rsid w:val="00CD0BD4"/>
    <w:rsid w:val="00CD0E66"/>
    <w:rsid w:val="00CD0E93"/>
    <w:rsid w:val="00CD1004"/>
    <w:rsid w:val="00CD3253"/>
    <w:rsid w:val="00CD325D"/>
    <w:rsid w:val="00CD41EF"/>
    <w:rsid w:val="00CD4675"/>
    <w:rsid w:val="00CD4FE3"/>
    <w:rsid w:val="00CD6444"/>
    <w:rsid w:val="00CD6527"/>
    <w:rsid w:val="00CD72A9"/>
    <w:rsid w:val="00CD7312"/>
    <w:rsid w:val="00CD73E7"/>
    <w:rsid w:val="00CD7A5D"/>
    <w:rsid w:val="00CE1231"/>
    <w:rsid w:val="00CE1BB2"/>
    <w:rsid w:val="00CE2D46"/>
    <w:rsid w:val="00CE2DFC"/>
    <w:rsid w:val="00CE31CF"/>
    <w:rsid w:val="00CE3908"/>
    <w:rsid w:val="00CE3C9D"/>
    <w:rsid w:val="00CE402A"/>
    <w:rsid w:val="00CE437F"/>
    <w:rsid w:val="00CE45AD"/>
    <w:rsid w:val="00CE4D59"/>
    <w:rsid w:val="00CE6A24"/>
    <w:rsid w:val="00CE70B1"/>
    <w:rsid w:val="00CE741D"/>
    <w:rsid w:val="00CE75FA"/>
    <w:rsid w:val="00CE77EA"/>
    <w:rsid w:val="00CE7ACF"/>
    <w:rsid w:val="00CF00D2"/>
    <w:rsid w:val="00CF010F"/>
    <w:rsid w:val="00CF03F8"/>
    <w:rsid w:val="00CF050F"/>
    <w:rsid w:val="00CF0681"/>
    <w:rsid w:val="00CF17A8"/>
    <w:rsid w:val="00CF1CF6"/>
    <w:rsid w:val="00CF2130"/>
    <w:rsid w:val="00CF2606"/>
    <w:rsid w:val="00CF2C0D"/>
    <w:rsid w:val="00CF2D20"/>
    <w:rsid w:val="00CF3726"/>
    <w:rsid w:val="00CF384B"/>
    <w:rsid w:val="00CF3F78"/>
    <w:rsid w:val="00CF5943"/>
    <w:rsid w:val="00CF5FF5"/>
    <w:rsid w:val="00CF61D4"/>
    <w:rsid w:val="00CF62B7"/>
    <w:rsid w:val="00CF6719"/>
    <w:rsid w:val="00CF6F78"/>
    <w:rsid w:val="00CF711F"/>
    <w:rsid w:val="00CF7894"/>
    <w:rsid w:val="00D0103B"/>
    <w:rsid w:val="00D019F6"/>
    <w:rsid w:val="00D01D98"/>
    <w:rsid w:val="00D023D1"/>
    <w:rsid w:val="00D02516"/>
    <w:rsid w:val="00D033E8"/>
    <w:rsid w:val="00D03CED"/>
    <w:rsid w:val="00D04DA8"/>
    <w:rsid w:val="00D05683"/>
    <w:rsid w:val="00D05CE6"/>
    <w:rsid w:val="00D06244"/>
    <w:rsid w:val="00D06419"/>
    <w:rsid w:val="00D071BD"/>
    <w:rsid w:val="00D07AF2"/>
    <w:rsid w:val="00D10A47"/>
    <w:rsid w:val="00D113EC"/>
    <w:rsid w:val="00D114D4"/>
    <w:rsid w:val="00D115B3"/>
    <w:rsid w:val="00D12AB6"/>
    <w:rsid w:val="00D13311"/>
    <w:rsid w:val="00D13ED2"/>
    <w:rsid w:val="00D14B8F"/>
    <w:rsid w:val="00D152F4"/>
    <w:rsid w:val="00D1544F"/>
    <w:rsid w:val="00D15568"/>
    <w:rsid w:val="00D15A84"/>
    <w:rsid w:val="00D15B41"/>
    <w:rsid w:val="00D16067"/>
    <w:rsid w:val="00D16D22"/>
    <w:rsid w:val="00D16E63"/>
    <w:rsid w:val="00D1787F"/>
    <w:rsid w:val="00D1792B"/>
    <w:rsid w:val="00D204D3"/>
    <w:rsid w:val="00D2051F"/>
    <w:rsid w:val="00D20710"/>
    <w:rsid w:val="00D215D4"/>
    <w:rsid w:val="00D21A09"/>
    <w:rsid w:val="00D22319"/>
    <w:rsid w:val="00D22483"/>
    <w:rsid w:val="00D22DB0"/>
    <w:rsid w:val="00D22F6B"/>
    <w:rsid w:val="00D2339C"/>
    <w:rsid w:val="00D23DB5"/>
    <w:rsid w:val="00D24395"/>
    <w:rsid w:val="00D24BA7"/>
    <w:rsid w:val="00D250BA"/>
    <w:rsid w:val="00D253AE"/>
    <w:rsid w:val="00D2567D"/>
    <w:rsid w:val="00D25690"/>
    <w:rsid w:val="00D25B12"/>
    <w:rsid w:val="00D25D09"/>
    <w:rsid w:val="00D26DDD"/>
    <w:rsid w:val="00D27BF8"/>
    <w:rsid w:val="00D27E58"/>
    <w:rsid w:val="00D27F15"/>
    <w:rsid w:val="00D31582"/>
    <w:rsid w:val="00D326FA"/>
    <w:rsid w:val="00D32BD8"/>
    <w:rsid w:val="00D337FE"/>
    <w:rsid w:val="00D33C58"/>
    <w:rsid w:val="00D34D38"/>
    <w:rsid w:val="00D34EE1"/>
    <w:rsid w:val="00D35F17"/>
    <w:rsid w:val="00D367D6"/>
    <w:rsid w:val="00D36CF6"/>
    <w:rsid w:val="00D37825"/>
    <w:rsid w:val="00D37C5E"/>
    <w:rsid w:val="00D4006C"/>
    <w:rsid w:val="00D40266"/>
    <w:rsid w:val="00D407CC"/>
    <w:rsid w:val="00D409B7"/>
    <w:rsid w:val="00D41698"/>
    <w:rsid w:val="00D4197E"/>
    <w:rsid w:val="00D43461"/>
    <w:rsid w:val="00D44323"/>
    <w:rsid w:val="00D44CB2"/>
    <w:rsid w:val="00D4580B"/>
    <w:rsid w:val="00D46E26"/>
    <w:rsid w:val="00D47774"/>
    <w:rsid w:val="00D50AF0"/>
    <w:rsid w:val="00D51E40"/>
    <w:rsid w:val="00D536D2"/>
    <w:rsid w:val="00D53D83"/>
    <w:rsid w:val="00D545A4"/>
    <w:rsid w:val="00D550DB"/>
    <w:rsid w:val="00D5721F"/>
    <w:rsid w:val="00D57907"/>
    <w:rsid w:val="00D57F38"/>
    <w:rsid w:val="00D60A81"/>
    <w:rsid w:val="00D6237C"/>
    <w:rsid w:val="00D626FF"/>
    <w:rsid w:val="00D63071"/>
    <w:rsid w:val="00D637A6"/>
    <w:rsid w:val="00D65139"/>
    <w:rsid w:val="00D655ED"/>
    <w:rsid w:val="00D65796"/>
    <w:rsid w:val="00D658E4"/>
    <w:rsid w:val="00D66372"/>
    <w:rsid w:val="00D66560"/>
    <w:rsid w:val="00D66FDF"/>
    <w:rsid w:val="00D671F6"/>
    <w:rsid w:val="00D671F9"/>
    <w:rsid w:val="00D70496"/>
    <w:rsid w:val="00D70799"/>
    <w:rsid w:val="00D713C0"/>
    <w:rsid w:val="00D71A57"/>
    <w:rsid w:val="00D739E4"/>
    <w:rsid w:val="00D747F7"/>
    <w:rsid w:val="00D74AFC"/>
    <w:rsid w:val="00D756D1"/>
    <w:rsid w:val="00D7584A"/>
    <w:rsid w:val="00D759B3"/>
    <w:rsid w:val="00D759EB"/>
    <w:rsid w:val="00D7607A"/>
    <w:rsid w:val="00D76706"/>
    <w:rsid w:val="00D7678C"/>
    <w:rsid w:val="00D767A8"/>
    <w:rsid w:val="00D77121"/>
    <w:rsid w:val="00D77971"/>
    <w:rsid w:val="00D804B9"/>
    <w:rsid w:val="00D80B41"/>
    <w:rsid w:val="00D81EE2"/>
    <w:rsid w:val="00D82780"/>
    <w:rsid w:val="00D82EEB"/>
    <w:rsid w:val="00D836E2"/>
    <w:rsid w:val="00D83956"/>
    <w:rsid w:val="00D83CB6"/>
    <w:rsid w:val="00D83D90"/>
    <w:rsid w:val="00D83F55"/>
    <w:rsid w:val="00D85A03"/>
    <w:rsid w:val="00D85E1F"/>
    <w:rsid w:val="00D860C9"/>
    <w:rsid w:val="00D86148"/>
    <w:rsid w:val="00D86430"/>
    <w:rsid w:val="00D86CFF"/>
    <w:rsid w:val="00D87545"/>
    <w:rsid w:val="00D90334"/>
    <w:rsid w:val="00D912CA"/>
    <w:rsid w:val="00D917C6"/>
    <w:rsid w:val="00D91FB4"/>
    <w:rsid w:val="00D9266C"/>
    <w:rsid w:val="00D92A57"/>
    <w:rsid w:val="00D92E25"/>
    <w:rsid w:val="00D93267"/>
    <w:rsid w:val="00D9487E"/>
    <w:rsid w:val="00D948FD"/>
    <w:rsid w:val="00D94FE5"/>
    <w:rsid w:val="00D953F3"/>
    <w:rsid w:val="00D95EA8"/>
    <w:rsid w:val="00D969BC"/>
    <w:rsid w:val="00D96A24"/>
    <w:rsid w:val="00D96C33"/>
    <w:rsid w:val="00DA02E0"/>
    <w:rsid w:val="00DA107F"/>
    <w:rsid w:val="00DA1340"/>
    <w:rsid w:val="00DA20AF"/>
    <w:rsid w:val="00DA2167"/>
    <w:rsid w:val="00DA2400"/>
    <w:rsid w:val="00DA3EE9"/>
    <w:rsid w:val="00DA4763"/>
    <w:rsid w:val="00DA4B38"/>
    <w:rsid w:val="00DA4F9B"/>
    <w:rsid w:val="00DA5329"/>
    <w:rsid w:val="00DA76E8"/>
    <w:rsid w:val="00DA7CB9"/>
    <w:rsid w:val="00DB0245"/>
    <w:rsid w:val="00DB02BF"/>
    <w:rsid w:val="00DB089B"/>
    <w:rsid w:val="00DB0BDA"/>
    <w:rsid w:val="00DB1212"/>
    <w:rsid w:val="00DB180A"/>
    <w:rsid w:val="00DB1858"/>
    <w:rsid w:val="00DB240B"/>
    <w:rsid w:val="00DB3655"/>
    <w:rsid w:val="00DB38A1"/>
    <w:rsid w:val="00DB3EAE"/>
    <w:rsid w:val="00DB3F83"/>
    <w:rsid w:val="00DB4D68"/>
    <w:rsid w:val="00DB4E53"/>
    <w:rsid w:val="00DB6024"/>
    <w:rsid w:val="00DB665D"/>
    <w:rsid w:val="00DB70F7"/>
    <w:rsid w:val="00DB7159"/>
    <w:rsid w:val="00DB75F7"/>
    <w:rsid w:val="00DC0114"/>
    <w:rsid w:val="00DC06EE"/>
    <w:rsid w:val="00DC10D0"/>
    <w:rsid w:val="00DC1A19"/>
    <w:rsid w:val="00DC1CA4"/>
    <w:rsid w:val="00DC1F3D"/>
    <w:rsid w:val="00DC26EF"/>
    <w:rsid w:val="00DC2B0E"/>
    <w:rsid w:val="00DC2DC7"/>
    <w:rsid w:val="00DC2FA8"/>
    <w:rsid w:val="00DC36F1"/>
    <w:rsid w:val="00DC407A"/>
    <w:rsid w:val="00DC5619"/>
    <w:rsid w:val="00DC5EF4"/>
    <w:rsid w:val="00DD04DE"/>
    <w:rsid w:val="00DD0A1B"/>
    <w:rsid w:val="00DD0B09"/>
    <w:rsid w:val="00DD0CEE"/>
    <w:rsid w:val="00DD1DB6"/>
    <w:rsid w:val="00DD314A"/>
    <w:rsid w:val="00DD41E4"/>
    <w:rsid w:val="00DD44EB"/>
    <w:rsid w:val="00DD5074"/>
    <w:rsid w:val="00DD68EC"/>
    <w:rsid w:val="00DD6DCE"/>
    <w:rsid w:val="00DD7584"/>
    <w:rsid w:val="00DE190B"/>
    <w:rsid w:val="00DE1933"/>
    <w:rsid w:val="00DE2945"/>
    <w:rsid w:val="00DE3101"/>
    <w:rsid w:val="00DE3FED"/>
    <w:rsid w:val="00DE412E"/>
    <w:rsid w:val="00DE439B"/>
    <w:rsid w:val="00DE4778"/>
    <w:rsid w:val="00DE4C39"/>
    <w:rsid w:val="00DE4C5B"/>
    <w:rsid w:val="00DE55D4"/>
    <w:rsid w:val="00DE5E19"/>
    <w:rsid w:val="00DE6655"/>
    <w:rsid w:val="00DE67EE"/>
    <w:rsid w:val="00DE71B1"/>
    <w:rsid w:val="00DE773C"/>
    <w:rsid w:val="00DE7B6B"/>
    <w:rsid w:val="00DE7FD9"/>
    <w:rsid w:val="00DF005E"/>
    <w:rsid w:val="00DF0A2F"/>
    <w:rsid w:val="00DF1A3F"/>
    <w:rsid w:val="00DF1A6E"/>
    <w:rsid w:val="00DF1D31"/>
    <w:rsid w:val="00DF20E3"/>
    <w:rsid w:val="00DF2B0C"/>
    <w:rsid w:val="00DF3F00"/>
    <w:rsid w:val="00DF4A3E"/>
    <w:rsid w:val="00DF4C2D"/>
    <w:rsid w:val="00DF57A0"/>
    <w:rsid w:val="00DF57C0"/>
    <w:rsid w:val="00DF5DFD"/>
    <w:rsid w:val="00DF620B"/>
    <w:rsid w:val="00DF6ECE"/>
    <w:rsid w:val="00DF7037"/>
    <w:rsid w:val="00DF7074"/>
    <w:rsid w:val="00DF7B59"/>
    <w:rsid w:val="00E00711"/>
    <w:rsid w:val="00E00848"/>
    <w:rsid w:val="00E00B7F"/>
    <w:rsid w:val="00E00CCF"/>
    <w:rsid w:val="00E010F8"/>
    <w:rsid w:val="00E0245B"/>
    <w:rsid w:val="00E02E90"/>
    <w:rsid w:val="00E0517A"/>
    <w:rsid w:val="00E05393"/>
    <w:rsid w:val="00E053E9"/>
    <w:rsid w:val="00E06010"/>
    <w:rsid w:val="00E06A8D"/>
    <w:rsid w:val="00E06C40"/>
    <w:rsid w:val="00E06D84"/>
    <w:rsid w:val="00E070AF"/>
    <w:rsid w:val="00E076EB"/>
    <w:rsid w:val="00E10C82"/>
    <w:rsid w:val="00E12E6C"/>
    <w:rsid w:val="00E1315F"/>
    <w:rsid w:val="00E13420"/>
    <w:rsid w:val="00E13556"/>
    <w:rsid w:val="00E13823"/>
    <w:rsid w:val="00E1413F"/>
    <w:rsid w:val="00E167E5"/>
    <w:rsid w:val="00E177C6"/>
    <w:rsid w:val="00E2178F"/>
    <w:rsid w:val="00E21FD6"/>
    <w:rsid w:val="00E232C4"/>
    <w:rsid w:val="00E23577"/>
    <w:rsid w:val="00E23E7B"/>
    <w:rsid w:val="00E24153"/>
    <w:rsid w:val="00E24464"/>
    <w:rsid w:val="00E24D08"/>
    <w:rsid w:val="00E25BF7"/>
    <w:rsid w:val="00E2644D"/>
    <w:rsid w:val="00E265E2"/>
    <w:rsid w:val="00E273EC"/>
    <w:rsid w:val="00E30187"/>
    <w:rsid w:val="00E30A87"/>
    <w:rsid w:val="00E3160C"/>
    <w:rsid w:val="00E31D49"/>
    <w:rsid w:val="00E31E0B"/>
    <w:rsid w:val="00E31F71"/>
    <w:rsid w:val="00E325E3"/>
    <w:rsid w:val="00E32D51"/>
    <w:rsid w:val="00E33A47"/>
    <w:rsid w:val="00E34B4D"/>
    <w:rsid w:val="00E34CB8"/>
    <w:rsid w:val="00E34E66"/>
    <w:rsid w:val="00E34F6D"/>
    <w:rsid w:val="00E358DA"/>
    <w:rsid w:val="00E359FF"/>
    <w:rsid w:val="00E36BAB"/>
    <w:rsid w:val="00E379E0"/>
    <w:rsid w:val="00E37FB4"/>
    <w:rsid w:val="00E40AD4"/>
    <w:rsid w:val="00E415E4"/>
    <w:rsid w:val="00E43AEA"/>
    <w:rsid w:val="00E43E7F"/>
    <w:rsid w:val="00E4444D"/>
    <w:rsid w:val="00E4726D"/>
    <w:rsid w:val="00E50291"/>
    <w:rsid w:val="00E5046C"/>
    <w:rsid w:val="00E505AE"/>
    <w:rsid w:val="00E509A9"/>
    <w:rsid w:val="00E50BE4"/>
    <w:rsid w:val="00E51727"/>
    <w:rsid w:val="00E51BB1"/>
    <w:rsid w:val="00E51CD5"/>
    <w:rsid w:val="00E522A2"/>
    <w:rsid w:val="00E52829"/>
    <w:rsid w:val="00E52CBB"/>
    <w:rsid w:val="00E531A2"/>
    <w:rsid w:val="00E53EFA"/>
    <w:rsid w:val="00E5448D"/>
    <w:rsid w:val="00E55265"/>
    <w:rsid w:val="00E55A8F"/>
    <w:rsid w:val="00E55C1D"/>
    <w:rsid w:val="00E577A8"/>
    <w:rsid w:val="00E601AD"/>
    <w:rsid w:val="00E60201"/>
    <w:rsid w:val="00E61151"/>
    <w:rsid w:val="00E617F2"/>
    <w:rsid w:val="00E62226"/>
    <w:rsid w:val="00E62BDC"/>
    <w:rsid w:val="00E62CE2"/>
    <w:rsid w:val="00E62E72"/>
    <w:rsid w:val="00E633C2"/>
    <w:rsid w:val="00E643A4"/>
    <w:rsid w:val="00E64CDB"/>
    <w:rsid w:val="00E65CDD"/>
    <w:rsid w:val="00E676C2"/>
    <w:rsid w:val="00E700C1"/>
    <w:rsid w:val="00E714AC"/>
    <w:rsid w:val="00E716DC"/>
    <w:rsid w:val="00E71AD5"/>
    <w:rsid w:val="00E72E4B"/>
    <w:rsid w:val="00E7320C"/>
    <w:rsid w:val="00E7342C"/>
    <w:rsid w:val="00E73476"/>
    <w:rsid w:val="00E73C7D"/>
    <w:rsid w:val="00E74004"/>
    <w:rsid w:val="00E755D2"/>
    <w:rsid w:val="00E75FB0"/>
    <w:rsid w:val="00E7682C"/>
    <w:rsid w:val="00E77B5F"/>
    <w:rsid w:val="00E77C27"/>
    <w:rsid w:val="00E81D99"/>
    <w:rsid w:val="00E82897"/>
    <w:rsid w:val="00E84B14"/>
    <w:rsid w:val="00E84DC4"/>
    <w:rsid w:val="00E86048"/>
    <w:rsid w:val="00E86C67"/>
    <w:rsid w:val="00E91154"/>
    <w:rsid w:val="00E91E76"/>
    <w:rsid w:val="00E91E8C"/>
    <w:rsid w:val="00E91F8F"/>
    <w:rsid w:val="00E92287"/>
    <w:rsid w:val="00E93BBF"/>
    <w:rsid w:val="00E93C52"/>
    <w:rsid w:val="00E94910"/>
    <w:rsid w:val="00E9530F"/>
    <w:rsid w:val="00E95728"/>
    <w:rsid w:val="00E95B1D"/>
    <w:rsid w:val="00E9710F"/>
    <w:rsid w:val="00E97A19"/>
    <w:rsid w:val="00E97A99"/>
    <w:rsid w:val="00E97BC4"/>
    <w:rsid w:val="00E97C64"/>
    <w:rsid w:val="00E97D77"/>
    <w:rsid w:val="00EA01DD"/>
    <w:rsid w:val="00EA054C"/>
    <w:rsid w:val="00EA0619"/>
    <w:rsid w:val="00EA0E26"/>
    <w:rsid w:val="00EA0E90"/>
    <w:rsid w:val="00EA1E9C"/>
    <w:rsid w:val="00EA2197"/>
    <w:rsid w:val="00EA29B0"/>
    <w:rsid w:val="00EA2FDF"/>
    <w:rsid w:val="00EA3AE7"/>
    <w:rsid w:val="00EA40B7"/>
    <w:rsid w:val="00EA429E"/>
    <w:rsid w:val="00EA49A7"/>
    <w:rsid w:val="00EA4D37"/>
    <w:rsid w:val="00EA53A2"/>
    <w:rsid w:val="00EA56A3"/>
    <w:rsid w:val="00EA62BD"/>
    <w:rsid w:val="00EA668E"/>
    <w:rsid w:val="00EA66CF"/>
    <w:rsid w:val="00EA77D2"/>
    <w:rsid w:val="00EA7FBC"/>
    <w:rsid w:val="00EB1329"/>
    <w:rsid w:val="00EB257A"/>
    <w:rsid w:val="00EB412A"/>
    <w:rsid w:val="00EB459D"/>
    <w:rsid w:val="00EB4F70"/>
    <w:rsid w:val="00EB711D"/>
    <w:rsid w:val="00EB763A"/>
    <w:rsid w:val="00EB7B08"/>
    <w:rsid w:val="00EC27BF"/>
    <w:rsid w:val="00EC2BAC"/>
    <w:rsid w:val="00EC34F3"/>
    <w:rsid w:val="00EC432B"/>
    <w:rsid w:val="00EC53AD"/>
    <w:rsid w:val="00EC5D4F"/>
    <w:rsid w:val="00EC6CFF"/>
    <w:rsid w:val="00EC7313"/>
    <w:rsid w:val="00EC7444"/>
    <w:rsid w:val="00EC78C3"/>
    <w:rsid w:val="00EC7C0E"/>
    <w:rsid w:val="00ED0AFE"/>
    <w:rsid w:val="00ED153B"/>
    <w:rsid w:val="00ED2247"/>
    <w:rsid w:val="00ED25AA"/>
    <w:rsid w:val="00ED340A"/>
    <w:rsid w:val="00ED4144"/>
    <w:rsid w:val="00ED5E89"/>
    <w:rsid w:val="00ED716E"/>
    <w:rsid w:val="00ED739C"/>
    <w:rsid w:val="00ED73ED"/>
    <w:rsid w:val="00ED7845"/>
    <w:rsid w:val="00ED7C86"/>
    <w:rsid w:val="00ED7FC6"/>
    <w:rsid w:val="00EE080B"/>
    <w:rsid w:val="00EE13CB"/>
    <w:rsid w:val="00EE191B"/>
    <w:rsid w:val="00EE1B11"/>
    <w:rsid w:val="00EE2B6E"/>
    <w:rsid w:val="00EE3312"/>
    <w:rsid w:val="00EE4A60"/>
    <w:rsid w:val="00EE4C9C"/>
    <w:rsid w:val="00EE5ACA"/>
    <w:rsid w:val="00EE5FBB"/>
    <w:rsid w:val="00EE6138"/>
    <w:rsid w:val="00EE634C"/>
    <w:rsid w:val="00EE792D"/>
    <w:rsid w:val="00EF1022"/>
    <w:rsid w:val="00EF1BF7"/>
    <w:rsid w:val="00EF1CD3"/>
    <w:rsid w:val="00EF2C2D"/>
    <w:rsid w:val="00EF2CFC"/>
    <w:rsid w:val="00EF31EC"/>
    <w:rsid w:val="00EF37D3"/>
    <w:rsid w:val="00EF404A"/>
    <w:rsid w:val="00EF5F38"/>
    <w:rsid w:val="00EF641C"/>
    <w:rsid w:val="00EF7F7C"/>
    <w:rsid w:val="00F000C2"/>
    <w:rsid w:val="00F00224"/>
    <w:rsid w:val="00F00D1C"/>
    <w:rsid w:val="00F01703"/>
    <w:rsid w:val="00F0402B"/>
    <w:rsid w:val="00F0511D"/>
    <w:rsid w:val="00F051B2"/>
    <w:rsid w:val="00F05213"/>
    <w:rsid w:val="00F05220"/>
    <w:rsid w:val="00F0570A"/>
    <w:rsid w:val="00F0627C"/>
    <w:rsid w:val="00F0727D"/>
    <w:rsid w:val="00F07400"/>
    <w:rsid w:val="00F10C2F"/>
    <w:rsid w:val="00F10F1E"/>
    <w:rsid w:val="00F11B09"/>
    <w:rsid w:val="00F11EDC"/>
    <w:rsid w:val="00F12644"/>
    <w:rsid w:val="00F1264F"/>
    <w:rsid w:val="00F12E6D"/>
    <w:rsid w:val="00F137B3"/>
    <w:rsid w:val="00F14AAE"/>
    <w:rsid w:val="00F153DC"/>
    <w:rsid w:val="00F159AC"/>
    <w:rsid w:val="00F16856"/>
    <w:rsid w:val="00F16E51"/>
    <w:rsid w:val="00F175CB"/>
    <w:rsid w:val="00F20812"/>
    <w:rsid w:val="00F213DA"/>
    <w:rsid w:val="00F21EE0"/>
    <w:rsid w:val="00F22E43"/>
    <w:rsid w:val="00F233F4"/>
    <w:rsid w:val="00F23534"/>
    <w:rsid w:val="00F23EB7"/>
    <w:rsid w:val="00F23F94"/>
    <w:rsid w:val="00F24003"/>
    <w:rsid w:val="00F244ED"/>
    <w:rsid w:val="00F24BFB"/>
    <w:rsid w:val="00F2725A"/>
    <w:rsid w:val="00F276C5"/>
    <w:rsid w:val="00F27B7E"/>
    <w:rsid w:val="00F27F45"/>
    <w:rsid w:val="00F30758"/>
    <w:rsid w:val="00F30C9B"/>
    <w:rsid w:val="00F3184B"/>
    <w:rsid w:val="00F3243E"/>
    <w:rsid w:val="00F329DC"/>
    <w:rsid w:val="00F32C40"/>
    <w:rsid w:val="00F33407"/>
    <w:rsid w:val="00F3381C"/>
    <w:rsid w:val="00F33E69"/>
    <w:rsid w:val="00F33E9C"/>
    <w:rsid w:val="00F3415B"/>
    <w:rsid w:val="00F35056"/>
    <w:rsid w:val="00F354D5"/>
    <w:rsid w:val="00F36402"/>
    <w:rsid w:val="00F364F8"/>
    <w:rsid w:val="00F3669B"/>
    <w:rsid w:val="00F36799"/>
    <w:rsid w:val="00F36B30"/>
    <w:rsid w:val="00F37157"/>
    <w:rsid w:val="00F37806"/>
    <w:rsid w:val="00F403B3"/>
    <w:rsid w:val="00F407A4"/>
    <w:rsid w:val="00F4215C"/>
    <w:rsid w:val="00F429D6"/>
    <w:rsid w:val="00F434DC"/>
    <w:rsid w:val="00F44008"/>
    <w:rsid w:val="00F44745"/>
    <w:rsid w:val="00F447A4"/>
    <w:rsid w:val="00F45051"/>
    <w:rsid w:val="00F452FD"/>
    <w:rsid w:val="00F467D6"/>
    <w:rsid w:val="00F46933"/>
    <w:rsid w:val="00F470B0"/>
    <w:rsid w:val="00F47124"/>
    <w:rsid w:val="00F47975"/>
    <w:rsid w:val="00F503A8"/>
    <w:rsid w:val="00F51DCB"/>
    <w:rsid w:val="00F51E38"/>
    <w:rsid w:val="00F52C9F"/>
    <w:rsid w:val="00F54FAA"/>
    <w:rsid w:val="00F5599E"/>
    <w:rsid w:val="00F55D5F"/>
    <w:rsid w:val="00F5742A"/>
    <w:rsid w:val="00F5766E"/>
    <w:rsid w:val="00F60392"/>
    <w:rsid w:val="00F60497"/>
    <w:rsid w:val="00F60969"/>
    <w:rsid w:val="00F60B35"/>
    <w:rsid w:val="00F60D0F"/>
    <w:rsid w:val="00F61313"/>
    <w:rsid w:val="00F61BE4"/>
    <w:rsid w:val="00F621D6"/>
    <w:rsid w:val="00F62925"/>
    <w:rsid w:val="00F6430D"/>
    <w:rsid w:val="00F647FA"/>
    <w:rsid w:val="00F648C8"/>
    <w:rsid w:val="00F64DDF"/>
    <w:rsid w:val="00F6511C"/>
    <w:rsid w:val="00F66D02"/>
    <w:rsid w:val="00F70167"/>
    <w:rsid w:val="00F7069C"/>
    <w:rsid w:val="00F709F3"/>
    <w:rsid w:val="00F720A5"/>
    <w:rsid w:val="00F72EF0"/>
    <w:rsid w:val="00F735D7"/>
    <w:rsid w:val="00F74B37"/>
    <w:rsid w:val="00F75033"/>
    <w:rsid w:val="00F7515C"/>
    <w:rsid w:val="00F7586B"/>
    <w:rsid w:val="00F7648D"/>
    <w:rsid w:val="00F76D88"/>
    <w:rsid w:val="00F77BD4"/>
    <w:rsid w:val="00F80BF7"/>
    <w:rsid w:val="00F8107E"/>
    <w:rsid w:val="00F81253"/>
    <w:rsid w:val="00F812AE"/>
    <w:rsid w:val="00F81396"/>
    <w:rsid w:val="00F81D9F"/>
    <w:rsid w:val="00F821D4"/>
    <w:rsid w:val="00F82458"/>
    <w:rsid w:val="00F82943"/>
    <w:rsid w:val="00F82F37"/>
    <w:rsid w:val="00F83234"/>
    <w:rsid w:val="00F832A9"/>
    <w:rsid w:val="00F835D8"/>
    <w:rsid w:val="00F847EC"/>
    <w:rsid w:val="00F84C7F"/>
    <w:rsid w:val="00F84D41"/>
    <w:rsid w:val="00F85466"/>
    <w:rsid w:val="00F857B8"/>
    <w:rsid w:val="00F85950"/>
    <w:rsid w:val="00F860C3"/>
    <w:rsid w:val="00F8713C"/>
    <w:rsid w:val="00F87D23"/>
    <w:rsid w:val="00F9099B"/>
    <w:rsid w:val="00F91B1F"/>
    <w:rsid w:val="00F932E0"/>
    <w:rsid w:val="00F93919"/>
    <w:rsid w:val="00F93A6C"/>
    <w:rsid w:val="00F941B4"/>
    <w:rsid w:val="00F9535B"/>
    <w:rsid w:val="00F96B3C"/>
    <w:rsid w:val="00F96EE9"/>
    <w:rsid w:val="00F97226"/>
    <w:rsid w:val="00FA0441"/>
    <w:rsid w:val="00FA05AC"/>
    <w:rsid w:val="00FA0EC2"/>
    <w:rsid w:val="00FA1CE0"/>
    <w:rsid w:val="00FA2CF3"/>
    <w:rsid w:val="00FA3E7B"/>
    <w:rsid w:val="00FA5593"/>
    <w:rsid w:val="00FA6F6E"/>
    <w:rsid w:val="00FA7ACF"/>
    <w:rsid w:val="00FB2117"/>
    <w:rsid w:val="00FB213D"/>
    <w:rsid w:val="00FB2522"/>
    <w:rsid w:val="00FB3324"/>
    <w:rsid w:val="00FB3342"/>
    <w:rsid w:val="00FB366E"/>
    <w:rsid w:val="00FB3CFC"/>
    <w:rsid w:val="00FB46B7"/>
    <w:rsid w:val="00FB5B67"/>
    <w:rsid w:val="00FB6123"/>
    <w:rsid w:val="00FB6B56"/>
    <w:rsid w:val="00FB6D3D"/>
    <w:rsid w:val="00FB78B1"/>
    <w:rsid w:val="00FB7D8A"/>
    <w:rsid w:val="00FC0E03"/>
    <w:rsid w:val="00FC158F"/>
    <w:rsid w:val="00FC15AC"/>
    <w:rsid w:val="00FC1E42"/>
    <w:rsid w:val="00FC2698"/>
    <w:rsid w:val="00FC2D3F"/>
    <w:rsid w:val="00FC2EAE"/>
    <w:rsid w:val="00FC3657"/>
    <w:rsid w:val="00FC3A97"/>
    <w:rsid w:val="00FC4563"/>
    <w:rsid w:val="00FC499D"/>
    <w:rsid w:val="00FC5F25"/>
    <w:rsid w:val="00FC63A8"/>
    <w:rsid w:val="00FC6D58"/>
    <w:rsid w:val="00FC7B76"/>
    <w:rsid w:val="00FD09CE"/>
    <w:rsid w:val="00FD166F"/>
    <w:rsid w:val="00FD19AD"/>
    <w:rsid w:val="00FD1BE6"/>
    <w:rsid w:val="00FD2E13"/>
    <w:rsid w:val="00FD320B"/>
    <w:rsid w:val="00FD4569"/>
    <w:rsid w:val="00FD48CA"/>
    <w:rsid w:val="00FD4A23"/>
    <w:rsid w:val="00FD4D95"/>
    <w:rsid w:val="00FD5844"/>
    <w:rsid w:val="00FD586E"/>
    <w:rsid w:val="00FD5DB6"/>
    <w:rsid w:val="00FD6482"/>
    <w:rsid w:val="00FD64FA"/>
    <w:rsid w:val="00FD7117"/>
    <w:rsid w:val="00FD72CE"/>
    <w:rsid w:val="00FD7B13"/>
    <w:rsid w:val="00FE01A9"/>
    <w:rsid w:val="00FE039C"/>
    <w:rsid w:val="00FE0B93"/>
    <w:rsid w:val="00FE0BDA"/>
    <w:rsid w:val="00FE1D7F"/>
    <w:rsid w:val="00FE3625"/>
    <w:rsid w:val="00FE3E59"/>
    <w:rsid w:val="00FE4512"/>
    <w:rsid w:val="00FE4BB8"/>
    <w:rsid w:val="00FE6052"/>
    <w:rsid w:val="00FE680A"/>
    <w:rsid w:val="00FE6C53"/>
    <w:rsid w:val="00FE71C0"/>
    <w:rsid w:val="00FE7D6A"/>
    <w:rsid w:val="00FF0540"/>
    <w:rsid w:val="00FF1EB0"/>
    <w:rsid w:val="00FF212F"/>
    <w:rsid w:val="00FF29FF"/>
    <w:rsid w:val="00FF2B35"/>
    <w:rsid w:val="00FF2C0C"/>
    <w:rsid w:val="00FF32CE"/>
    <w:rsid w:val="00FF42A9"/>
    <w:rsid w:val="00FF43CE"/>
    <w:rsid w:val="00FF45BF"/>
    <w:rsid w:val="00FF46C5"/>
    <w:rsid w:val="00FF5205"/>
    <w:rsid w:val="00FF524A"/>
    <w:rsid w:val="00FF538A"/>
    <w:rsid w:val="00FF54C3"/>
    <w:rsid w:val="00FF5BB7"/>
    <w:rsid w:val="00FF6D4A"/>
    <w:rsid w:val="00FF7CF4"/>
    <w:rsid w:val="01413027"/>
    <w:rsid w:val="01425C87"/>
    <w:rsid w:val="015525DF"/>
    <w:rsid w:val="01581DFF"/>
    <w:rsid w:val="02BF3353"/>
    <w:rsid w:val="02D432A2"/>
    <w:rsid w:val="036F16F9"/>
    <w:rsid w:val="03D3392D"/>
    <w:rsid w:val="03FB03B6"/>
    <w:rsid w:val="04032D3B"/>
    <w:rsid w:val="040343D4"/>
    <w:rsid w:val="04171B81"/>
    <w:rsid w:val="047609CF"/>
    <w:rsid w:val="04880278"/>
    <w:rsid w:val="04B478F5"/>
    <w:rsid w:val="05AD3755"/>
    <w:rsid w:val="05C16C1F"/>
    <w:rsid w:val="05CD6798"/>
    <w:rsid w:val="05D17D99"/>
    <w:rsid w:val="05E439E0"/>
    <w:rsid w:val="062B6D41"/>
    <w:rsid w:val="066C42EA"/>
    <w:rsid w:val="074139C8"/>
    <w:rsid w:val="075D2857"/>
    <w:rsid w:val="081A2DA0"/>
    <w:rsid w:val="081F0B86"/>
    <w:rsid w:val="08521829"/>
    <w:rsid w:val="087813DA"/>
    <w:rsid w:val="096B2577"/>
    <w:rsid w:val="0A587B99"/>
    <w:rsid w:val="0A65555E"/>
    <w:rsid w:val="0B544204"/>
    <w:rsid w:val="0BAF5A9A"/>
    <w:rsid w:val="0BCC6A40"/>
    <w:rsid w:val="0BD515AC"/>
    <w:rsid w:val="0CDC372F"/>
    <w:rsid w:val="0CF379BC"/>
    <w:rsid w:val="0D382789"/>
    <w:rsid w:val="0DDE1EB0"/>
    <w:rsid w:val="0E160105"/>
    <w:rsid w:val="0EBC7398"/>
    <w:rsid w:val="0EE84863"/>
    <w:rsid w:val="10333C89"/>
    <w:rsid w:val="10DB4723"/>
    <w:rsid w:val="110271AD"/>
    <w:rsid w:val="116D67EE"/>
    <w:rsid w:val="11BC1578"/>
    <w:rsid w:val="126742A4"/>
    <w:rsid w:val="126E2A0D"/>
    <w:rsid w:val="12977742"/>
    <w:rsid w:val="12C47FA2"/>
    <w:rsid w:val="140833CE"/>
    <w:rsid w:val="142143FF"/>
    <w:rsid w:val="142B440B"/>
    <w:rsid w:val="14951EA4"/>
    <w:rsid w:val="14FD25AE"/>
    <w:rsid w:val="15D70FA4"/>
    <w:rsid w:val="176E3CF5"/>
    <w:rsid w:val="17DC2544"/>
    <w:rsid w:val="17EB7475"/>
    <w:rsid w:val="18BC28B7"/>
    <w:rsid w:val="18CA1F11"/>
    <w:rsid w:val="19373C38"/>
    <w:rsid w:val="196A0064"/>
    <w:rsid w:val="1AD9576F"/>
    <w:rsid w:val="1B3019CD"/>
    <w:rsid w:val="1B92252C"/>
    <w:rsid w:val="1BCE6D9B"/>
    <w:rsid w:val="1CB672DE"/>
    <w:rsid w:val="1CF437C3"/>
    <w:rsid w:val="1D347643"/>
    <w:rsid w:val="1DD50EE3"/>
    <w:rsid w:val="1E2209E3"/>
    <w:rsid w:val="1E8F1470"/>
    <w:rsid w:val="1EA62E65"/>
    <w:rsid w:val="1EAF48BB"/>
    <w:rsid w:val="1F216E9F"/>
    <w:rsid w:val="1F7D390B"/>
    <w:rsid w:val="1F8D0609"/>
    <w:rsid w:val="20F12D67"/>
    <w:rsid w:val="22FE3BC0"/>
    <w:rsid w:val="231F36A8"/>
    <w:rsid w:val="23536222"/>
    <w:rsid w:val="2373731C"/>
    <w:rsid w:val="24CD7385"/>
    <w:rsid w:val="24EB6948"/>
    <w:rsid w:val="25FE2E12"/>
    <w:rsid w:val="26462B9A"/>
    <w:rsid w:val="26D31499"/>
    <w:rsid w:val="27A058B3"/>
    <w:rsid w:val="28332BBB"/>
    <w:rsid w:val="29341AF5"/>
    <w:rsid w:val="2980703D"/>
    <w:rsid w:val="2A144477"/>
    <w:rsid w:val="2ACC3BF2"/>
    <w:rsid w:val="2B035049"/>
    <w:rsid w:val="2C3915CE"/>
    <w:rsid w:val="2C882E66"/>
    <w:rsid w:val="2CFD303C"/>
    <w:rsid w:val="2DB61394"/>
    <w:rsid w:val="2DEE02DD"/>
    <w:rsid w:val="2E6B098C"/>
    <w:rsid w:val="2FA01F7D"/>
    <w:rsid w:val="2FAE52C9"/>
    <w:rsid w:val="2FF36555"/>
    <w:rsid w:val="300C19A4"/>
    <w:rsid w:val="30BA0561"/>
    <w:rsid w:val="30F531FC"/>
    <w:rsid w:val="31323FD2"/>
    <w:rsid w:val="320F6D5E"/>
    <w:rsid w:val="32A31567"/>
    <w:rsid w:val="342946E8"/>
    <w:rsid w:val="347402D0"/>
    <w:rsid w:val="35D77BC0"/>
    <w:rsid w:val="36334355"/>
    <w:rsid w:val="363533D1"/>
    <w:rsid w:val="363F1109"/>
    <w:rsid w:val="36653A69"/>
    <w:rsid w:val="36B9112B"/>
    <w:rsid w:val="36E33660"/>
    <w:rsid w:val="38560219"/>
    <w:rsid w:val="391011E1"/>
    <w:rsid w:val="39D618CF"/>
    <w:rsid w:val="3A395F1E"/>
    <w:rsid w:val="3A7C3EDE"/>
    <w:rsid w:val="3AE4524D"/>
    <w:rsid w:val="3B665D18"/>
    <w:rsid w:val="3B820DE6"/>
    <w:rsid w:val="3BA07F94"/>
    <w:rsid w:val="3D0271A4"/>
    <w:rsid w:val="3D0B7440"/>
    <w:rsid w:val="3D242FEF"/>
    <w:rsid w:val="3DCA1677"/>
    <w:rsid w:val="3DD968AA"/>
    <w:rsid w:val="3E6C4B58"/>
    <w:rsid w:val="3F0A7F6E"/>
    <w:rsid w:val="3FAC4A87"/>
    <w:rsid w:val="3FC31350"/>
    <w:rsid w:val="3FC50B7F"/>
    <w:rsid w:val="40053D38"/>
    <w:rsid w:val="40A23174"/>
    <w:rsid w:val="40B95E1B"/>
    <w:rsid w:val="40BB028D"/>
    <w:rsid w:val="425640E6"/>
    <w:rsid w:val="42727233"/>
    <w:rsid w:val="42D05FC9"/>
    <w:rsid w:val="44103433"/>
    <w:rsid w:val="444D5CC7"/>
    <w:rsid w:val="44A52771"/>
    <w:rsid w:val="450260FA"/>
    <w:rsid w:val="458A625A"/>
    <w:rsid w:val="459F4EB5"/>
    <w:rsid w:val="45D41168"/>
    <w:rsid w:val="46765EEB"/>
    <w:rsid w:val="46992C73"/>
    <w:rsid w:val="47165782"/>
    <w:rsid w:val="47F872D5"/>
    <w:rsid w:val="486B565C"/>
    <w:rsid w:val="48DA4875"/>
    <w:rsid w:val="497A7518"/>
    <w:rsid w:val="4A851D3E"/>
    <w:rsid w:val="4A9E04CD"/>
    <w:rsid w:val="4AE12711"/>
    <w:rsid w:val="4AFE1F49"/>
    <w:rsid w:val="4B0F3C94"/>
    <w:rsid w:val="4C3B34B6"/>
    <w:rsid w:val="4CE61AD9"/>
    <w:rsid w:val="4CF9196F"/>
    <w:rsid w:val="4D48340E"/>
    <w:rsid w:val="4DDF656F"/>
    <w:rsid w:val="4DF80F67"/>
    <w:rsid w:val="4DFE7A6A"/>
    <w:rsid w:val="4E07517D"/>
    <w:rsid w:val="4E4907FB"/>
    <w:rsid w:val="4FCF349C"/>
    <w:rsid w:val="50287070"/>
    <w:rsid w:val="50467861"/>
    <w:rsid w:val="50A04FDB"/>
    <w:rsid w:val="513B744F"/>
    <w:rsid w:val="519473CD"/>
    <w:rsid w:val="523B5580"/>
    <w:rsid w:val="52E25BA8"/>
    <w:rsid w:val="53C86E14"/>
    <w:rsid w:val="5416230E"/>
    <w:rsid w:val="54862CDF"/>
    <w:rsid w:val="55F266A5"/>
    <w:rsid w:val="57513ECF"/>
    <w:rsid w:val="586B6F75"/>
    <w:rsid w:val="586D5D6D"/>
    <w:rsid w:val="58DE277F"/>
    <w:rsid w:val="59B31DEE"/>
    <w:rsid w:val="59E9251F"/>
    <w:rsid w:val="5A09714F"/>
    <w:rsid w:val="5B286241"/>
    <w:rsid w:val="5B7F2943"/>
    <w:rsid w:val="5BA043D8"/>
    <w:rsid w:val="5BB832D8"/>
    <w:rsid w:val="5BEF6D5D"/>
    <w:rsid w:val="5D052CFB"/>
    <w:rsid w:val="5DA930EE"/>
    <w:rsid w:val="5E176309"/>
    <w:rsid w:val="5E5509B5"/>
    <w:rsid w:val="609F6B68"/>
    <w:rsid w:val="617962F4"/>
    <w:rsid w:val="62234245"/>
    <w:rsid w:val="62E34900"/>
    <w:rsid w:val="630027A2"/>
    <w:rsid w:val="631963A0"/>
    <w:rsid w:val="64287ECD"/>
    <w:rsid w:val="647D2E4D"/>
    <w:rsid w:val="65686D06"/>
    <w:rsid w:val="660A7128"/>
    <w:rsid w:val="67100BF7"/>
    <w:rsid w:val="691F72F8"/>
    <w:rsid w:val="69E87013"/>
    <w:rsid w:val="6A0C2EF9"/>
    <w:rsid w:val="6A881731"/>
    <w:rsid w:val="6BAC5C59"/>
    <w:rsid w:val="6BEE7843"/>
    <w:rsid w:val="6CB2758E"/>
    <w:rsid w:val="6CB758C4"/>
    <w:rsid w:val="6CC01B69"/>
    <w:rsid w:val="6D0A4D63"/>
    <w:rsid w:val="6F9C15CA"/>
    <w:rsid w:val="71B81D16"/>
    <w:rsid w:val="71D10479"/>
    <w:rsid w:val="72966A65"/>
    <w:rsid w:val="72DA02D7"/>
    <w:rsid w:val="72E40914"/>
    <w:rsid w:val="72EC72A0"/>
    <w:rsid w:val="73185B9E"/>
    <w:rsid w:val="73C428CE"/>
    <w:rsid w:val="73E13BF4"/>
    <w:rsid w:val="74173210"/>
    <w:rsid w:val="74B60401"/>
    <w:rsid w:val="74B60EB5"/>
    <w:rsid w:val="757D52B5"/>
    <w:rsid w:val="75A95855"/>
    <w:rsid w:val="761325B2"/>
    <w:rsid w:val="768267F6"/>
    <w:rsid w:val="76966F18"/>
    <w:rsid w:val="76D06138"/>
    <w:rsid w:val="77A1304B"/>
    <w:rsid w:val="77EE4E93"/>
    <w:rsid w:val="78A71516"/>
    <w:rsid w:val="78F55C9F"/>
    <w:rsid w:val="79324582"/>
    <w:rsid w:val="794C018B"/>
    <w:rsid w:val="79562CCE"/>
    <w:rsid w:val="79902C59"/>
    <w:rsid w:val="7A64230F"/>
    <w:rsid w:val="7ACE2ACF"/>
    <w:rsid w:val="7B236911"/>
    <w:rsid w:val="7BDA00AE"/>
    <w:rsid w:val="7C3825E2"/>
    <w:rsid w:val="7C432502"/>
    <w:rsid w:val="7CC8701A"/>
    <w:rsid w:val="7CF271F4"/>
    <w:rsid w:val="7E057E01"/>
    <w:rsid w:val="7E94191F"/>
    <w:rsid w:val="7EAA65B8"/>
    <w:rsid w:val="7FC52C1C"/>
    <w:rsid w:val="7FDA1E8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link w:val="29"/>
    <w:qFormat/>
    <w:uiPriority w:val="0"/>
    <w:pPr>
      <w:keepNext/>
      <w:keepLines/>
      <w:spacing w:line="360" w:lineRule="auto"/>
      <w:outlineLvl w:val="0"/>
    </w:pPr>
    <w:rPr>
      <w:rFonts w:eastAsia="仿宋_GB2312"/>
      <w:b/>
      <w:bCs/>
      <w:kern w:val="44"/>
      <w:sz w:val="32"/>
      <w:szCs w:val="44"/>
    </w:rPr>
  </w:style>
  <w:style w:type="paragraph" w:styleId="3">
    <w:name w:val="heading 2"/>
    <w:basedOn w:val="1"/>
    <w:next w:val="1"/>
    <w:qFormat/>
    <w:uiPriority w:val="0"/>
    <w:pPr>
      <w:keepNext/>
      <w:keepLines/>
      <w:spacing w:line="360" w:lineRule="auto"/>
      <w:outlineLvl w:val="1"/>
    </w:pPr>
    <w:rPr>
      <w:rFonts w:ascii="Arial" w:hAnsi="Arial" w:eastAsia="仿宋_GB2312"/>
      <w:b/>
      <w:bCs/>
      <w:sz w:val="30"/>
      <w:szCs w:val="32"/>
    </w:rPr>
  </w:style>
  <w:style w:type="paragraph" w:styleId="4">
    <w:name w:val="heading 3"/>
    <w:basedOn w:val="1"/>
    <w:next w:val="1"/>
    <w:link w:val="30"/>
    <w:qFormat/>
    <w:uiPriority w:val="0"/>
    <w:pPr>
      <w:keepNext/>
      <w:keepLines/>
      <w:spacing w:before="260" w:after="260" w:line="416" w:lineRule="auto"/>
      <w:outlineLvl w:val="2"/>
    </w:pPr>
    <w:rPr>
      <w:b/>
      <w:bCs/>
      <w:sz w:val="32"/>
      <w:szCs w:val="32"/>
    </w:rPr>
  </w:style>
  <w:style w:type="character" w:default="1" w:styleId="26">
    <w:name w:val="Default Paragraph Font"/>
    <w:semiHidden/>
    <w:uiPriority w:val="0"/>
  </w:style>
  <w:style w:type="table" w:default="1" w:styleId="24">
    <w:name w:val="Normal Table"/>
    <w:semiHidden/>
    <w:uiPriority w:val="0"/>
    <w:tblPr>
      <w:tblStyle w:val="24"/>
      <w:tblCellMar>
        <w:top w:w="0" w:type="dxa"/>
        <w:left w:w="108" w:type="dxa"/>
        <w:bottom w:w="0" w:type="dxa"/>
        <w:right w:w="108" w:type="dxa"/>
      </w:tblCellMar>
    </w:tblPr>
  </w:style>
  <w:style w:type="paragraph" w:styleId="5">
    <w:name w:val="toc 7"/>
    <w:basedOn w:val="1"/>
    <w:next w:val="1"/>
    <w:uiPriority w:val="0"/>
    <w:pPr>
      <w:ind w:left="1260"/>
      <w:jc w:val="left"/>
    </w:pPr>
    <w:rPr>
      <w:rFonts w:ascii="Calibri" w:hAnsi="Calibri" w:cs="Calibri"/>
      <w:sz w:val="18"/>
      <w:szCs w:val="18"/>
    </w:rPr>
  </w:style>
  <w:style w:type="paragraph" w:styleId="6">
    <w:name w:val="Normal Indent"/>
    <w:basedOn w:val="1"/>
    <w:semiHidden/>
    <w:uiPriority w:val="0"/>
    <w:pPr>
      <w:spacing w:line="520" w:lineRule="atLeast"/>
      <w:ind w:firstLine="420" w:firstLineChars="200"/>
    </w:pPr>
    <w:rPr>
      <w:rFonts w:eastAsia="仿宋_GB2312"/>
      <w:sz w:val="24"/>
    </w:rPr>
  </w:style>
  <w:style w:type="paragraph" w:styleId="7">
    <w:name w:val="Document Map"/>
    <w:basedOn w:val="1"/>
    <w:link w:val="31"/>
    <w:uiPriority w:val="0"/>
    <w:rPr>
      <w:rFonts w:ascii="宋体"/>
      <w:sz w:val="18"/>
      <w:szCs w:val="18"/>
    </w:rPr>
  </w:style>
  <w:style w:type="paragraph" w:styleId="8">
    <w:name w:val="Body Text"/>
    <w:basedOn w:val="1"/>
    <w:link w:val="32"/>
    <w:uiPriority w:val="0"/>
    <w:pPr>
      <w:ind w:left="220"/>
    </w:pPr>
    <w:rPr>
      <w:rFonts w:ascii="宋体" w:hAnsi="宋体" w:cs="宋体"/>
      <w:sz w:val="28"/>
      <w:szCs w:val="28"/>
      <w:lang w:val="zh-CN" w:bidi="zh-CN"/>
    </w:rPr>
  </w:style>
  <w:style w:type="paragraph" w:styleId="9">
    <w:name w:val="Body Text Indent"/>
    <w:basedOn w:val="1"/>
    <w:uiPriority w:val="0"/>
    <w:pPr>
      <w:spacing w:after="120"/>
      <w:ind w:left="420" w:leftChars="200"/>
    </w:pPr>
  </w:style>
  <w:style w:type="paragraph" w:styleId="10">
    <w:name w:val="toc 5"/>
    <w:basedOn w:val="1"/>
    <w:next w:val="1"/>
    <w:uiPriority w:val="0"/>
    <w:pPr>
      <w:ind w:left="840"/>
      <w:jc w:val="left"/>
    </w:pPr>
    <w:rPr>
      <w:rFonts w:ascii="Calibri" w:hAnsi="Calibri" w:cs="Calibri"/>
      <w:sz w:val="18"/>
      <w:szCs w:val="18"/>
    </w:rPr>
  </w:style>
  <w:style w:type="paragraph" w:styleId="11">
    <w:name w:val="toc 3"/>
    <w:basedOn w:val="1"/>
    <w:next w:val="1"/>
    <w:unhideWhenUsed/>
    <w:qFormat/>
    <w:uiPriority w:val="39"/>
    <w:pPr>
      <w:ind w:left="420"/>
      <w:jc w:val="left"/>
    </w:pPr>
    <w:rPr>
      <w:rFonts w:ascii="Calibri" w:hAnsi="Calibri" w:cs="Calibri"/>
      <w:i/>
      <w:iCs/>
      <w:sz w:val="20"/>
      <w:szCs w:val="20"/>
    </w:rPr>
  </w:style>
  <w:style w:type="paragraph" w:styleId="12">
    <w:name w:val="Plain Text"/>
    <w:basedOn w:val="1"/>
    <w:link w:val="35"/>
    <w:uiPriority w:val="0"/>
    <w:pPr>
      <w:widowControl/>
      <w:spacing w:after="200" w:line="276" w:lineRule="auto"/>
      <w:jc w:val="left"/>
    </w:pPr>
    <w:rPr>
      <w:rFonts w:ascii="宋体" w:hAnsi="Courier New"/>
      <w:kern w:val="0"/>
      <w:sz w:val="20"/>
      <w:szCs w:val="20"/>
    </w:rPr>
  </w:style>
  <w:style w:type="paragraph" w:styleId="13">
    <w:name w:val="toc 8"/>
    <w:basedOn w:val="1"/>
    <w:next w:val="1"/>
    <w:uiPriority w:val="0"/>
    <w:pPr>
      <w:ind w:left="1470"/>
      <w:jc w:val="left"/>
    </w:pPr>
    <w:rPr>
      <w:rFonts w:ascii="Calibri" w:hAnsi="Calibri" w:cs="Calibri"/>
      <w:sz w:val="18"/>
      <w:szCs w:val="18"/>
    </w:rPr>
  </w:style>
  <w:style w:type="paragraph" w:styleId="14">
    <w:name w:val="Body Text Indent 2"/>
    <w:basedOn w:val="1"/>
    <w:link w:val="34"/>
    <w:uiPriority w:val="0"/>
    <w:pPr>
      <w:ind w:firstLine="510"/>
    </w:pPr>
    <w:rPr>
      <w:rFonts w:ascii="宋体" w:hAnsi="宋体"/>
      <w:color w:val="FF0000"/>
      <w:sz w:val="24"/>
    </w:rPr>
  </w:style>
  <w:style w:type="paragraph" w:styleId="15">
    <w:name w:val="Balloon Text"/>
    <w:basedOn w:val="1"/>
    <w:semiHidden/>
    <w:uiPriority w:val="0"/>
    <w:rPr>
      <w:sz w:val="18"/>
      <w:szCs w:val="18"/>
    </w:rPr>
  </w:style>
  <w:style w:type="paragraph" w:styleId="16">
    <w:name w:val="footer"/>
    <w:basedOn w:val="1"/>
    <w:uiPriority w:val="0"/>
    <w:pPr>
      <w:tabs>
        <w:tab w:val="center" w:pos="4153"/>
        <w:tab w:val="right" w:pos="8306"/>
      </w:tabs>
      <w:snapToGrid w:val="0"/>
      <w:jc w:val="left"/>
    </w:pPr>
    <w:rPr>
      <w:sz w:val="18"/>
      <w:szCs w:val="18"/>
    </w:rPr>
  </w:style>
  <w:style w:type="paragraph" w:styleId="17">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spacing w:before="120" w:after="120"/>
      <w:jc w:val="left"/>
    </w:pPr>
    <w:rPr>
      <w:rFonts w:ascii="Calibri" w:hAnsi="Calibri" w:cs="Calibri"/>
      <w:b/>
      <w:bCs/>
      <w:caps/>
      <w:sz w:val="20"/>
      <w:szCs w:val="20"/>
    </w:rPr>
  </w:style>
  <w:style w:type="paragraph" w:styleId="19">
    <w:name w:val="toc 4"/>
    <w:basedOn w:val="1"/>
    <w:next w:val="1"/>
    <w:uiPriority w:val="0"/>
    <w:pPr>
      <w:ind w:left="630"/>
      <w:jc w:val="left"/>
    </w:pPr>
    <w:rPr>
      <w:rFonts w:ascii="Calibri" w:hAnsi="Calibri" w:cs="Calibri"/>
      <w:sz w:val="18"/>
      <w:szCs w:val="18"/>
    </w:rPr>
  </w:style>
  <w:style w:type="paragraph" w:styleId="20">
    <w:name w:val="toc 6"/>
    <w:basedOn w:val="1"/>
    <w:next w:val="1"/>
    <w:uiPriority w:val="0"/>
    <w:pPr>
      <w:ind w:left="1050"/>
      <w:jc w:val="left"/>
    </w:pPr>
    <w:rPr>
      <w:rFonts w:ascii="Calibri" w:hAnsi="Calibri" w:cs="Calibri"/>
      <w:sz w:val="18"/>
      <w:szCs w:val="18"/>
    </w:rPr>
  </w:style>
  <w:style w:type="paragraph" w:styleId="21">
    <w:name w:val="toc 2"/>
    <w:basedOn w:val="1"/>
    <w:next w:val="1"/>
    <w:qFormat/>
    <w:uiPriority w:val="39"/>
    <w:pPr>
      <w:ind w:left="210"/>
      <w:jc w:val="left"/>
    </w:pPr>
    <w:rPr>
      <w:rFonts w:ascii="Calibri" w:hAnsi="Calibri" w:cs="Calibri"/>
      <w:smallCaps/>
      <w:sz w:val="20"/>
      <w:szCs w:val="20"/>
    </w:rPr>
  </w:style>
  <w:style w:type="paragraph" w:styleId="22">
    <w:name w:val="toc 9"/>
    <w:basedOn w:val="1"/>
    <w:next w:val="1"/>
    <w:uiPriority w:val="0"/>
    <w:pPr>
      <w:ind w:left="1680"/>
      <w:jc w:val="left"/>
    </w:pPr>
    <w:rPr>
      <w:rFonts w:ascii="Calibri" w:hAnsi="Calibri" w:cs="Calibri"/>
      <w:sz w:val="18"/>
      <w:szCs w:val="18"/>
    </w:rPr>
  </w:style>
  <w:style w:type="paragraph" w:styleId="23">
    <w:name w:val="Body Text 2"/>
    <w:basedOn w:val="1"/>
    <w:uiPriority w:val="0"/>
    <w:pPr>
      <w:spacing w:after="120" w:line="480" w:lineRule="auto"/>
    </w:pPr>
  </w:style>
  <w:style w:type="table" w:styleId="25">
    <w:name w:val="Table Grid"/>
    <w:basedOn w:val="24"/>
    <w:uiPriority w:val="0"/>
    <w:pPr>
      <w:widowControl w:val="0"/>
      <w:jc w:val="both"/>
    </w:pPr>
    <w:tblPr>
      <w:tblStyle w:val="2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uiPriority w:val="0"/>
  </w:style>
  <w:style w:type="character" w:styleId="28">
    <w:name w:val="Hyperlink"/>
    <w:uiPriority w:val="99"/>
    <w:rPr>
      <w:color w:val="0000FF"/>
      <w:u w:val="single"/>
    </w:rPr>
  </w:style>
  <w:style w:type="character" w:customStyle="1" w:styleId="29">
    <w:name w:val="标题 1 Char"/>
    <w:link w:val="2"/>
    <w:uiPriority w:val="0"/>
    <w:rPr>
      <w:rFonts w:eastAsia="仿宋_GB2312"/>
      <w:b/>
      <w:bCs/>
      <w:kern w:val="44"/>
      <w:sz w:val="32"/>
      <w:szCs w:val="44"/>
    </w:rPr>
  </w:style>
  <w:style w:type="character" w:customStyle="1" w:styleId="30">
    <w:name w:val="标题 3 Char"/>
    <w:link w:val="4"/>
    <w:semiHidden/>
    <w:uiPriority w:val="0"/>
    <w:rPr>
      <w:b/>
      <w:bCs/>
      <w:kern w:val="2"/>
      <w:sz w:val="32"/>
      <w:szCs w:val="32"/>
    </w:rPr>
  </w:style>
  <w:style w:type="character" w:customStyle="1" w:styleId="31">
    <w:name w:val="文档结构图 Char"/>
    <w:link w:val="7"/>
    <w:uiPriority w:val="0"/>
    <w:rPr>
      <w:rFonts w:ascii="宋体"/>
      <w:kern w:val="2"/>
      <w:sz w:val="18"/>
      <w:szCs w:val="18"/>
    </w:rPr>
  </w:style>
  <w:style w:type="character" w:customStyle="1" w:styleId="32">
    <w:name w:val="正文文本 Char"/>
    <w:link w:val="8"/>
    <w:uiPriority w:val="0"/>
    <w:rPr>
      <w:rFonts w:ascii="宋体" w:hAnsi="宋体" w:cs="宋体"/>
      <w:kern w:val="2"/>
      <w:sz w:val="28"/>
      <w:szCs w:val="28"/>
      <w:lang w:val="zh-CN" w:bidi="zh-CN"/>
    </w:rPr>
  </w:style>
  <w:style w:type="character" w:customStyle="1" w:styleId="33">
    <w:name w:val="纯文本 Char"/>
    <w:link w:val="12"/>
    <w:uiPriority w:val="0"/>
    <w:rPr>
      <w:rFonts w:ascii="宋体" w:hAnsi="Courier New" w:cs="Courier New"/>
      <w:kern w:val="2"/>
      <w:sz w:val="21"/>
      <w:szCs w:val="21"/>
    </w:rPr>
  </w:style>
  <w:style w:type="character" w:customStyle="1" w:styleId="34">
    <w:name w:val="正文文本缩进 2 Char"/>
    <w:link w:val="14"/>
    <w:uiPriority w:val="0"/>
    <w:rPr>
      <w:rFonts w:ascii="宋体" w:hAnsi="宋体" w:eastAsia="宋体"/>
      <w:color w:val="FF0000"/>
      <w:kern w:val="2"/>
      <w:sz w:val="24"/>
      <w:szCs w:val="24"/>
      <w:lang w:val="en-US" w:eastAsia="zh-CN" w:bidi="ar-SA"/>
    </w:rPr>
  </w:style>
  <w:style w:type="character" w:customStyle="1" w:styleId="35">
    <w:name w:val="纯文本 Char3"/>
    <w:link w:val="12"/>
    <w:uiPriority w:val="0"/>
    <w:rPr>
      <w:rFonts w:ascii="宋体" w:hAnsi="Courier New"/>
    </w:rPr>
  </w:style>
  <w:style w:type="character" w:customStyle="1" w:styleId="36">
    <w:name w:val="font71"/>
    <w:uiPriority w:val="0"/>
    <w:rPr>
      <w:rFonts w:hint="default" w:ascii="Times New Roman" w:hAnsi="Times New Roman" w:cs="Times New Roman"/>
      <w:color w:val="000000"/>
      <w:sz w:val="24"/>
      <w:szCs w:val="24"/>
      <w:u w:val="none"/>
    </w:rPr>
  </w:style>
  <w:style w:type="character" w:customStyle="1" w:styleId="37">
    <w:name w:val="font111"/>
    <w:uiPriority w:val="0"/>
    <w:rPr>
      <w:rFonts w:hint="default" w:ascii="Times New Roman" w:hAnsi="Times New Roman" w:cs="Times New Roman"/>
      <w:color w:val="000000"/>
      <w:sz w:val="24"/>
      <w:szCs w:val="24"/>
      <w:u w:val="none"/>
    </w:rPr>
  </w:style>
  <w:style w:type="character" w:customStyle="1" w:styleId="38">
    <w:name w:val="font101"/>
    <w:uiPriority w:val="0"/>
    <w:rPr>
      <w:rFonts w:hint="default" w:ascii="仿宋_GB2312" w:eastAsia="仿宋_GB2312" w:cs="仿宋_GB2312"/>
      <w:color w:val="000000"/>
      <w:sz w:val="24"/>
      <w:szCs w:val="24"/>
      <w:u w:val="none"/>
    </w:rPr>
  </w:style>
  <w:style w:type="character" w:customStyle="1" w:styleId="39">
    <w:name w:val="font31"/>
    <w:uiPriority w:val="0"/>
    <w:rPr>
      <w:rFonts w:hint="default" w:ascii="Times New Roman" w:hAnsi="Times New Roman" w:cs="Times New Roman"/>
      <w:color w:val="000000"/>
      <w:sz w:val="24"/>
      <w:szCs w:val="24"/>
      <w:u w:val="none"/>
    </w:rPr>
  </w:style>
  <w:style w:type="character" w:customStyle="1" w:styleId="40">
    <w:name w:val="网格型1 Char"/>
    <w:link w:val="41"/>
    <w:uiPriority w:val="0"/>
    <w:rPr>
      <w:rFonts w:ascii="华文中宋" w:hAnsi="华文中宋" w:eastAsia="华文中宋"/>
      <w:kern w:val="2"/>
      <w:sz w:val="24"/>
      <w:szCs w:val="24"/>
      <w:lang w:val="en-US" w:eastAsia="zh-CN" w:bidi="ar-SA"/>
    </w:rPr>
  </w:style>
  <w:style w:type="paragraph" w:customStyle="1" w:styleId="41">
    <w:name w:val="网格型1"/>
    <w:basedOn w:val="1"/>
    <w:link w:val="40"/>
    <w:qFormat/>
    <w:uiPriority w:val="0"/>
    <w:pPr>
      <w:jc w:val="center"/>
    </w:pPr>
    <w:rPr>
      <w:rFonts w:ascii="华文中宋" w:hAnsi="华文中宋" w:eastAsia="华文中宋"/>
      <w:sz w:val="24"/>
    </w:rPr>
  </w:style>
  <w:style w:type="character" w:customStyle="1" w:styleId="42">
    <w:name w:val="font91"/>
    <w:uiPriority w:val="0"/>
    <w:rPr>
      <w:rFonts w:hint="default" w:ascii="仿宋_GB2312" w:eastAsia="仿宋_GB2312" w:cs="仿宋_GB2312"/>
      <w:color w:val="000000"/>
      <w:sz w:val="24"/>
      <w:szCs w:val="24"/>
      <w:u w:val="none"/>
    </w:rPr>
  </w:style>
  <w:style w:type="paragraph" w:customStyle="1" w:styleId="43">
    <w:name w:val=" Char Char Char Char"/>
    <w:basedOn w:val="1"/>
    <w:uiPriority w:val="0"/>
    <w:rPr>
      <w:szCs w:val="20"/>
    </w:rPr>
  </w:style>
  <w:style w:type="paragraph" w:customStyle="1" w:styleId="44">
    <w:name w:val=" Char Char"/>
    <w:basedOn w:val="1"/>
    <w:semiHidden/>
    <w:uiPriority w:val="0"/>
    <w:pPr>
      <w:spacing w:line="360" w:lineRule="auto"/>
      <w:ind w:firstLine="200" w:firstLineChars="200"/>
    </w:pPr>
    <w:rPr>
      <w:rFonts w:eastAsia="仿宋_GB2312"/>
      <w:sz w:val="24"/>
      <w:szCs w:val="21"/>
    </w:rPr>
  </w:style>
  <w:style w:type="paragraph" w:customStyle="1" w:styleId="45">
    <w:name w:val="表"/>
    <w:basedOn w:val="1"/>
    <w:uiPriority w:val="0"/>
    <w:pPr>
      <w:jc w:val="center"/>
    </w:pPr>
    <w:rPr>
      <w:rFonts w:eastAsia="仿宋_GB2312"/>
    </w:rPr>
  </w:style>
  <w:style w:type="paragraph" w:customStyle="1" w:styleId="46">
    <w:name w:val=" Char Char Char Char Char Char"/>
    <w:basedOn w:val="1"/>
    <w:uiPriority w:val="0"/>
  </w:style>
  <w:style w:type="paragraph" w:customStyle="1" w:styleId="47">
    <w:name w:val="正文 + 仿宋_GB2312"/>
    <w:basedOn w:val="1"/>
    <w:uiPriority w:val="0"/>
    <w:rPr>
      <w:sz w:val="24"/>
    </w:rPr>
  </w:style>
  <w:style w:type="paragraph" w:styleId="48">
    <w:name w:val="List Paragraph"/>
    <w:basedOn w:val="1"/>
    <w:qFormat/>
    <w:uiPriority w:val="1"/>
    <w:pPr>
      <w:spacing w:before="4"/>
      <w:ind w:left="872" w:hanging="208"/>
    </w:pPr>
    <w:rPr>
      <w:rFonts w:ascii="宋体" w:hAnsi="宋体" w:eastAsia="宋体" w:cs="宋体"/>
      <w:lang w:val="zh-CN" w:eastAsia="zh-CN" w:bidi="zh-CN"/>
    </w:rPr>
  </w:style>
  <w:style w:type="table" w:customStyle="1" w:styleId="49">
    <w:name w:val="Table Normal"/>
    <w:unhideWhenUsed/>
    <w:qFormat/>
    <w:uiPriority w:val="2"/>
    <w:pPr>
      <w:widowControl w:val="0"/>
    </w:pPr>
    <w:rPr>
      <w:rFonts w:ascii="Calibri" w:hAnsi="Calibri"/>
      <w:sz w:val="22"/>
      <w:szCs w:val="22"/>
      <w:lang w:val="en-US" w:eastAsia="en-US" w:bidi="ar-SA"/>
    </w:rPr>
    <w:tblPr>
      <w:tblStyle w:val="24"/>
      <w:tblCellMar>
        <w:top w:w="0" w:type="dxa"/>
        <w:left w:w="0" w:type="dxa"/>
        <w:bottom w:w="0" w:type="dxa"/>
        <w:right w:w="0" w:type="dxa"/>
      </w:tblCellMar>
    </w:tblPr>
  </w:style>
  <w:style w:type="paragraph" w:customStyle="1" w:styleId="50">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51">
    <w:name w:val="_正文格式"/>
    <w:basedOn w:val="1"/>
    <w:link w:val="52"/>
    <w:qFormat/>
    <w:uiPriority w:val="0"/>
    <w:pPr>
      <w:spacing w:line="560" w:lineRule="exact"/>
      <w:ind w:firstLine="200" w:firstLineChars="200"/>
    </w:pPr>
    <w:rPr>
      <w:rFonts w:eastAsia="仿宋_GB2312"/>
      <w:sz w:val="28"/>
    </w:rPr>
  </w:style>
  <w:style w:type="character" w:customStyle="1" w:styleId="52">
    <w:name w:val="_正文格式 Char1"/>
    <w:link w:val="51"/>
    <w:qFormat/>
    <w:uiPriority w:val="0"/>
    <w:rPr>
      <w:rFonts w:eastAsia="仿宋_GB2312"/>
      <w:kern w:val="2"/>
      <w:sz w:val="28"/>
      <w:szCs w:val="24"/>
    </w:rPr>
  </w:style>
  <w:style w:type="character" w:customStyle="1" w:styleId="53">
    <w:name w:val="标题 3 字符"/>
    <w:uiPriority w:val="9"/>
    <w:rPr>
      <w:b/>
      <w:bCs/>
      <w:kern w:val="2"/>
      <w:sz w:val="32"/>
      <w:szCs w:val="32"/>
    </w:rPr>
  </w:style>
  <w:style w:type="paragraph" w:styleId="54">
    <w:name w:val=""/>
    <w:basedOn w:val="2"/>
    <w:next w:val="1"/>
    <w:qFormat/>
    <w:uiPriority w:val="39"/>
    <w:pPr>
      <w:widowControl/>
      <w:spacing w:before="480" w:line="276" w:lineRule="auto"/>
      <w:jc w:val="left"/>
      <w:outlineLvl w:val="9"/>
    </w:pPr>
    <w:rPr>
      <w:rFonts w:ascii="Cambria" w:hAnsi="Cambria" w:eastAsia="宋体" w:cs="Times New Roman"/>
      <w:color w:val="365F91"/>
      <w:kern w:val="0"/>
      <w:sz w:val="28"/>
      <w:szCs w:val="28"/>
    </w:rPr>
  </w:style>
  <w:style w:type="paragraph" w:customStyle="1" w:styleId="55">
    <w:name w:val="Default"/>
    <w:qFormat/>
    <w:uiPriority w:val="0"/>
    <w:pPr>
      <w:widowControl w:val="0"/>
      <w:autoSpaceDE w:val="0"/>
      <w:autoSpaceDN w:val="0"/>
      <w:adjustRightInd w:val="0"/>
    </w:pPr>
    <w:rPr>
      <w:rFonts w:ascii="宋体" w:cs="宋体"/>
      <w:color w:val="000000"/>
      <w:sz w:val="24"/>
      <w:szCs w:val="24"/>
      <w:lang w:val="en-US" w:eastAsia="zh-CN" w:bidi="ar-SA"/>
    </w:rPr>
  </w:style>
  <w:style w:type="character" w:customStyle="1" w:styleId="56">
    <w:name w:val="段 Char"/>
    <w:link w:val="57"/>
    <w:qFormat/>
    <w:uiPriority w:val="0"/>
    <w:rPr>
      <w:rFonts w:ascii="宋体"/>
      <w:kern w:val="2"/>
      <w:sz w:val="21"/>
      <w:szCs w:val="22"/>
      <w:lang w:val="en-US" w:eastAsia="zh-CN" w:bidi="ar-SA"/>
    </w:rPr>
  </w:style>
  <w:style w:type="paragraph" w:customStyle="1" w:styleId="57">
    <w:name w:val="段"/>
    <w:link w:val="56"/>
    <w:qFormat/>
    <w:uiPriority w:val="0"/>
    <w:pPr>
      <w:tabs>
        <w:tab w:val="center" w:pos="4201"/>
        <w:tab w:val="right" w:leader="dot" w:pos="9298"/>
      </w:tabs>
      <w:autoSpaceDE w:val="0"/>
      <w:autoSpaceDN w:val="0"/>
      <w:ind w:firstLine="420" w:firstLineChars="200"/>
      <w:jc w:val="both"/>
    </w:pPr>
    <w:rPr>
      <w:rFonts w:ascii="宋体"/>
      <w:kern w:val="2"/>
      <w:sz w:val="21"/>
      <w:szCs w:val="22"/>
      <w:lang w:val="en-US" w:eastAsia="zh-CN" w:bidi="ar-SA"/>
    </w:rPr>
  </w:style>
  <w:style w:type="character" w:customStyle="1" w:styleId="58">
    <w:name w:val="font51"/>
    <w:basedOn w:val="26"/>
    <w:uiPriority w:val="0"/>
    <w:rPr>
      <w:rFonts w:hint="default" w:ascii="Times New Roman" w:hAnsi="Times New Roman" w:cs="Times New Roman"/>
      <w:b/>
      <w:bCs/>
      <w:color w:val="008000"/>
      <w:sz w:val="21"/>
      <w:szCs w:val="21"/>
      <w:u w:val="none"/>
    </w:rPr>
  </w:style>
  <w:style w:type="character" w:customStyle="1" w:styleId="59">
    <w:name w:val="font61"/>
    <w:basedOn w:val="26"/>
    <w:uiPriority w:val="0"/>
    <w:rPr>
      <w:rFonts w:hint="eastAsia" w:ascii="宋体" w:hAnsi="宋体" w:eastAsia="宋体" w:cs="宋体"/>
      <w:b/>
      <w:bCs/>
      <w:color w:val="008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 China</Company>
  <Pages>27</Pages>
  <Words>2507</Words>
  <Characters>14292</Characters>
  <Lines>119</Lines>
  <Paragraphs>33</Paragraphs>
  <TotalTime>4</TotalTime>
  <ScaleCrop>false</ScaleCrop>
  <LinksUpToDate>false</LinksUpToDate>
  <CharactersWithSpaces>16766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2010-03-31T03:01:00Z</dcterms:created>
  <dc:creator>Billgates</dc:creator>
  <cp:lastModifiedBy>RedKui</cp:lastModifiedBy>
  <cp:lastPrinted>2018-08-28T02:34:00Z</cp:lastPrinted>
  <dcterms:modified xsi:type="dcterms:W3CDTF">2024-03-11T01:08:58Z</dcterms:modified>
  <dc:title>一、前言</dc:title>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EE263159AF754FDBB9E59BEDA3ACD798_13</vt:lpwstr>
  </property>
</Properties>
</file>