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firstLine="0" w:firstLineChars="0"/>
        <w:jc w:val="center"/>
        <w:rPr>
          <w:rFonts w:hint="default" w:ascii="Times New Roman" w:hAnsi="Times New Roman" w:eastAsia="宋体" w:cs="Times New Roman"/>
          <w:color w:val="auto"/>
          <w:sz w:val="44"/>
          <w:highlight w:val="none"/>
        </w:rPr>
      </w:pPr>
      <w:bookmarkStart w:id="23" w:name="_GoBack"/>
      <w:bookmarkEnd w:id="23"/>
      <w:r>
        <w:rPr>
          <w:rFonts w:hint="default" w:ascii="Times New Roman" w:hAnsi="Times New Roman" w:eastAsia="宋体" w:cs="Times New Roman"/>
          <w:color w:val="auto"/>
          <w:sz w:val="44"/>
          <w:highlight w:val="none"/>
        </w:rPr>
        <w:t xml:space="preserve">  </w:t>
      </w:r>
    </w:p>
    <w:p>
      <w:pPr>
        <w:spacing w:line="600" w:lineRule="exact"/>
        <w:ind w:firstLine="0" w:firstLineChars="0"/>
        <w:jc w:val="center"/>
        <w:rPr>
          <w:rFonts w:hint="default" w:ascii="Times New Roman" w:hAnsi="Times New Roman" w:eastAsia="宋体" w:cs="Times New Roman"/>
          <w:color w:val="auto"/>
          <w:highlight w:val="none"/>
        </w:rPr>
      </w:pPr>
    </w:p>
    <w:p>
      <w:pPr>
        <w:spacing w:line="700" w:lineRule="exact"/>
        <w:ind w:firstLine="0" w:firstLineChars="0"/>
        <w:jc w:val="center"/>
        <w:rPr>
          <w:rFonts w:hint="default" w:ascii="Times New Roman" w:hAnsi="Times New Roman" w:eastAsia="宋体" w:cs="Times New Roman"/>
          <w:color w:val="auto"/>
          <w:highlight w:val="none"/>
        </w:rPr>
      </w:pPr>
    </w:p>
    <w:p>
      <w:pPr>
        <w:spacing w:line="800" w:lineRule="exact"/>
        <w:ind w:firstLine="0" w:firstLineChars="0"/>
        <w:jc w:val="center"/>
        <w:rPr>
          <w:rFonts w:hint="default" w:ascii="Times New Roman" w:hAnsi="Times New Roman" w:eastAsia="宋体" w:cs="Times New Roman"/>
          <w:b/>
          <w:color w:val="auto"/>
          <w:w w:val="93"/>
          <w:kern w:val="0"/>
          <w:sz w:val="44"/>
          <w:szCs w:val="44"/>
          <w:highlight w:val="none"/>
        </w:rPr>
      </w:pPr>
      <w:r>
        <w:rPr>
          <w:rFonts w:hint="default" w:ascii="Times New Roman" w:hAnsi="Times New Roman" w:eastAsia="宋体" w:cs="Times New Roman"/>
          <w:b/>
          <w:bCs/>
          <w:color w:val="auto"/>
          <w:w w:val="85"/>
          <w:sz w:val="48"/>
          <w:szCs w:val="48"/>
          <w:highlight w:val="none"/>
        </w:rPr>
        <w:t>宁城县金根硅石矿</w:t>
      </w:r>
    </w:p>
    <w:p>
      <w:pPr>
        <w:spacing w:line="800" w:lineRule="exact"/>
        <w:ind w:firstLine="0" w:firstLineChars="0"/>
        <w:jc w:val="center"/>
        <w:rPr>
          <w:rFonts w:hint="default" w:ascii="Times New Roman" w:hAnsi="Times New Roman" w:eastAsia="宋体" w:cs="Times New Roman"/>
          <w:b/>
          <w:bCs/>
          <w:color w:val="auto"/>
          <w:sz w:val="48"/>
          <w:szCs w:val="48"/>
          <w:highlight w:val="none"/>
        </w:rPr>
      </w:pPr>
      <w:r>
        <w:rPr>
          <w:rFonts w:hint="default" w:ascii="Times New Roman" w:hAnsi="Times New Roman" w:eastAsia="宋体" w:cs="Times New Roman"/>
          <w:b/>
          <w:bCs/>
          <w:color w:val="auto"/>
          <w:w w:val="85"/>
          <w:sz w:val="48"/>
          <w:szCs w:val="48"/>
          <w:highlight w:val="none"/>
          <w:lang w:eastAsia="zh-CN"/>
        </w:rPr>
        <w:t>202</w:t>
      </w:r>
      <w:r>
        <w:rPr>
          <w:rFonts w:hint="eastAsia" w:cs="Times New Roman"/>
          <w:b/>
          <w:bCs/>
          <w:color w:val="auto"/>
          <w:w w:val="85"/>
          <w:sz w:val="48"/>
          <w:szCs w:val="48"/>
          <w:highlight w:val="none"/>
          <w:lang w:val="en-US" w:eastAsia="zh-CN"/>
        </w:rPr>
        <w:t>4</w:t>
      </w:r>
      <w:r>
        <w:rPr>
          <w:rFonts w:hint="default" w:ascii="Times New Roman" w:hAnsi="Times New Roman" w:eastAsia="宋体" w:cs="Times New Roman"/>
          <w:b/>
          <w:bCs/>
          <w:color w:val="auto"/>
          <w:w w:val="85"/>
          <w:sz w:val="48"/>
          <w:szCs w:val="48"/>
          <w:highlight w:val="none"/>
        </w:rPr>
        <w:t>年度矿山地质环境治理计划书</w:t>
      </w:r>
    </w:p>
    <w:p>
      <w:pPr>
        <w:spacing w:line="600" w:lineRule="exact"/>
        <w:ind w:firstLine="0" w:firstLineChars="0"/>
        <w:jc w:val="center"/>
        <w:rPr>
          <w:rFonts w:hint="default" w:ascii="Times New Roman" w:hAnsi="Times New Roman" w:eastAsia="宋体" w:cs="Times New Roman"/>
          <w:b/>
          <w:color w:val="auto"/>
          <w:sz w:val="36"/>
          <w:szCs w:val="36"/>
          <w:highlight w:val="none"/>
        </w:rPr>
      </w:pPr>
    </w:p>
    <w:p>
      <w:pPr>
        <w:spacing w:line="600" w:lineRule="exact"/>
        <w:ind w:firstLine="0" w:firstLineChars="0"/>
        <w:jc w:val="center"/>
        <w:rPr>
          <w:rFonts w:hint="default" w:ascii="Times New Roman" w:hAnsi="Times New Roman" w:eastAsia="宋体" w:cs="Times New Roman"/>
          <w:b/>
          <w:color w:val="auto"/>
          <w:sz w:val="36"/>
          <w:szCs w:val="36"/>
          <w:highlight w:val="none"/>
        </w:rPr>
      </w:pPr>
    </w:p>
    <w:p>
      <w:pPr>
        <w:spacing w:line="600" w:lineRule="exact"/>
        <w:ind w:firstLine="0" w:firstLineChars="0"/>
        <w:jc w:val="center"/>
        <w:rPr>
          <w:rFonts w:hint="default" w:ascii="Times New Roman" w:hAnsi="Times New Roman" w:eastAsia="宋体" w:cs="Times New Roman"/>
          <w:b/>
          <w:color w:val="auto"/>
          <w:sz w:val="36"/>
          <w:szCs w:val="36"/>
          <w:highlight w:val="none"/>
        </w:rPr>
      </w:pPr>
    </w:p>
    <w:p>
      <w:pPr>
        <w:spacing w:line="600" w:lineRule="exact"/>
        <w:ind w:firstLine="0" w:firstLineChars="0"/>
        <w:jc w:val="center"/>
        <w:rPr>
          <w:rFonts w:hint="default" w:ascii="Times New Roman" w:hAnsi="Times New Roman" w:eastAsia="宋体" w:cs="Times New Roman"/>
          <w:color w:val="auto"/>
          <w:sz w:val="28"/>
          <w:highlight w:val="none"/>
        </w:rPr>
      </w:pPr>
    </w:p>
    <w:p>
      <w:pPr>
        <w:spacing w:line="600" w:lineRule="exact"/>
        <w:ind w:firstLine="0" w:firstLineChars="0"/>
        <w:jc w:val="center"/>
        <w:rPr>
          <w:rFonts w:hint="default" w:ascii="Times New Roman" w:hAnsi="Times New Roman" w:eastAsia="宋体" w:cs="Times New Roman"/>
          <w:color w:val="auto"/>
          <w:sz w:val="28"/>
          <w:highlight w:val="none"/>
        </w:rPr>
      </w:pPr>
    </w:p>
    <w:p>
      <w:pPr>
        <w:spacing w:line="600" w:lineRule="exact"/>
        <w:ind w:firstLine="0" w:firstLineChars="0"/>
        <w:jc w:val="center"/>
        <w:rPr>
          <w:rFonts w:hint="default" w:ascii="Times New Roman" w:hAnsi="Times New Roman" w:eastAsia="宋体" w:cs="Times New Roman"/>
          <w:color w:val="auto"/>
          <w:sz w:val="28"/>
          <w:highlight w:val="none"/>
        </w:rPr>
      </w:pPr>
    </w:p>
    <w:p>
      <w:pPr>
        <w:spacing w:line="600" w:lineRule="exact"/>
        <w:ind w:firstLine="0" w:firstLineChars="0"/>
        <w:jc w:val="center"/>
        <w:rPr>
          <w:rFonts w:hint="default" w:ascii="Times New Roman" w:hAnsi="Times New Roman" w:eastAsia="宋体" w:cs="Times New Roman"/>
          <w:color w:val="auto"/>
          <w:sz w:val="28"/>
          <w:highlight w:val="none"/>
        </w:rPr>
      </w:pPr>
    </w:p>
    <w:p>
      <w:pPr>
        <w:spacing w:line="600" w:lineRule="exact"/>
        <w:ind w:firstLine="0" w:firstLineChars="0"/>
        <w:jc w:val="center"/>
        <w:rPr>
          <w:rFonts w:hint="default" w:ascii="Times New Roman" w:hAnsi="Times New Roman" w:eastAsia="宋体" w:cs="Times New Roman"/>
          <w:color w:val="auto"/>
          <w:sz w:val="28"/>
          <w:highlight w:val="none"/>
        </w:rPr>
      </w:pPr>
    </w:p>
    <w:p>
      <w:pPr>
        <w:spacing w:line="600" w:lineRule="exact"/>
        <w:ind w:firstLine="0" w:firstLineChars="0"/>
        <w:jc w:val="center"/>
        <w:rPr>
          <w:rFonts w:hint="default" w:ascii="Times New Roman" w:hAnsi="Times New Roman" w:eastAsia="宋体" w:cs="Times New Roman"/>
          <w:color w:val="auto"/>
          <w:sz w:val="28"/>
          <w:highlight w:val="none"/>
        </w:rPr>
      </w:pPr>
    </w:p>
    <w:p>
      <w:pPr>
        <w:spacing w:line="600" w:lineRule="exact"/>
        <w:ind w:firstLine="0" w:firstLineChars="0"/>
        <w:jc w:val="center"/>
        <w:rPr>
          <w:rFonts w:hint="default" w:ascii="Times New Roman" w:hAnsi="Times New Roman" w:eastAsia="宋体" w:cs="Times New Roman"/>
          <w:color w:val="auto"/>
          <w:sz w:val="28"/>
          <w:highlight w:val="none"/>
        </w:rPr>
      </w:pPr>
    </w:p>
    <w:p>
      <w:pPr>
        <w:spacing w:line="600" w:lineRule="exact"/>
        <w:ind w:firstLine="0" w:firstLineChars="0"/>
        <w:rPr>
          <w:rFonts w:hint="default" w:ascii="Times New Roman" w:hAnsi="Times New Roman" w:eastAsia="宋体" w:cs="Times New Roman"/>
          <w:color w:val="auto"/>
          <w:sz w:val="28"/>
          <w:highlight w:val="none"/>
        </w:rPr>
      </w:pPr>
    </w:p>
    <w:p>
      <w:pPr>
        <w:spacing w:line="600" w:lineRule="exact"/>
        <w:ind w:firstLine="0" w:firstLineChars="0"/>
        <w:jc w:val="center"/>
        <w:rPr>
          <w:rFonts w:hint="default" w:ascii="Times New Roman" w:hAnsi="Times New Roman" w:eastAsia="宋体" w:cs="Times New Roman"/>
          <w:color w:val="auto"/>
          <w:sz w:val="28"/>
          <w:highlight w:val="none"/>
        </w:rPr>
      </w:pPr>
    </w:p>
    <w:p>
      <w:pPr>
        <w:spacing w:line="700" w:lineRule="exact"/>
        <w:ind w:firstLine="0" w:firstLineChars="0"/>
        <w:jc w:val="center"/>
        <w:rPr>
          <w:rFonts w:hint="default" w:ascii="Times New Roman" w:hAnsi="Times New Roman" w:eastAsia="宋体" w:cs="Times New Roman"/>
          <w:b/>
          <w:bCs/>
          <w:color w:val="auto"/>
          <w:spacing w:val="20"/>
          <w:sz w:val="32"/>
          <w:szCs w:val="32"/>
          <w:highlight w:val="none"/>
        </w:rPr>
      </w:pPr>
      <w:r>
        <w:rPr>
          <w:rFonts w:hint="default" w:ascii="Times New Roman" w:hAnsi="Times New Roman" w:eastAsia="宋体" w:cs="Times New Roman"/>
          <w:b/>
          <w:color w:val="auto"/>
          <w:spacing w:val="46"/>
          <w:sz w:val="32"/>
          <w:highlight w:val="none"/>
        </w:rPr>
        <w:t>宁城金根硅石矿</w:t>
      </w:r>
    </w:p>
    <w:p>
      <w:pPr>
        <w:spacing w:line="700" w:lineRule="exact"/>
        <w:ind w:firstLine="0" w:firstLineChars="0"/>
        <w:jc w:val="center"/>
        <w:rPr>
          <w:rFonts w:hint="default" w:ascii="Times New Roman" w:hAnsi="Times New Roman" w:eastAsia="宋体" w:cs="Times New Roman"/>
          <w:color w:val="auto"/>
          <w:spacing w:val="20"/>
          <w:sz w:val="30"/>
          <w:szCs w:val="30"/>
          <w:highlight w:val="none"/>
        </w:rPr>
      </w:pPr>
      <w:r>
        <w:rPr>
          <w:rFonts w:hint="default" w:ascii="Times New Roman" w:hAnsi="Times New Roman" w:eastAsia="宋体" w:cs="Times New Roman"/>
          <w:color w:val="auto"/>
          <w:spacing w:val="20"/>
          <w:sz w:val="30"/>
          <w:szCs w:val="30"/>
          <w:highlight w:val="none"/>
        </w:rPr>
        <w:t>二〇二</w:t>
      </w:r>
      <w:r>
        <w:rPr>
          <w:rFonts w:hint="eastAsia" w:cs="Times New Roman"/>
          <w:color w:val="auto"/>
          <w:spacing w:val="20"/>
          <w:sz w:val="30"/>
          <w:szCs w:val="30"/>
          <w:highlight w:val="none"/>
          <w:lang w:val="en-US" w:eastAsia="zh-CN"/>
        </w:rPr>
        <w:t>四</w:t>
      </w:r>
      <w:r>
        <w:rPr>
          <w:rFonts w:hint="default" w:ascii="Times New Roman" w:hAnsi="Times New Roman" w:eastAsia="宋体" w:cs="Times New Roman"/>
          <w:color w:val="auto"/>
          <w:spacing w:val="20"/>
          <w:sz w:val="30"/>
          <w:szCs w:val="30"/>
          <w:highlight w:val="none"/>
        </w:rPr>
        <w:t>年</w:t>
      </w:r>
      <w:r>
        <w:rPr>
          <w:rFonts w:hint="default" w:ascii="Times New Roman" w:hAnsi="Times New Roman" w:eastAsia="宋体" w:cs="Times New Roman"/>
          <w:color w:val="auto"/>
          <w:spacing w:val="20"/>
          <w:sz w:val="30"/>
          <w:szCs w:val="30"/>
          <w:highlight w:val="none"/>
          <w:lang w:eastAsia="zh-CN"/>
        </w:rPr>
        <w:t>三</w:t>
      </w:r>
      <w:r>
        <w:rPr>
          <w:rFonts w:hint="default" w:ascii="Times New Roman" w:hAnsi="Times New Roman" w:eastAsia="宋体" w:cs="Times New Roman"/>
          <w:color w:val="auto"/>
          <w:spacing w:val="20"/>
          <w:sz w:val="30"/>
          <w:szCs w:val="30"/>
          <w:highlight w:val="none"/>
        </w:rPr>
        <w:t>月</w:t>
      </w:r>
    </w:p>
    <w:p>
      <w:pPr>
        <w:rPr>
          <w:rFonts w:hint="default" w:ascii="Times New Roman" w:hAnsi="Times New Roman" w:eastAsia="宋体" w:cs="Times New Roman"/>
          <w:color w:val="auto"/>
          <w:spacing w:val="20"/>
          <w:sz w:val="30"/>
          <w:szCs w:val="30"/>
          <w:highlight w:val="none"/>
        </w:rPr>
      </w:pPr>
      <w:r>
        <w:rPr>
          <w:rFonts w:hint="default" w:ascii="Times New Roman" w:hAnsi="Times New Roman" w:eastAsia="宋体" w:cs="Times New Roman"/>
          <w:color w:val="auto"/>
          <w:spacing w:val="20"/>
          <w:sz w:val="30"/>
          <w:szCs w:val="30"/>
          <w:highlight w:val="none"/>
        </w:rPr>
        <w:br w:type="page"/>
      </w:r>
    </w:p>
    <w:p>
      <w:pPr>
        <w:spacing w:line="600" w:lineRule="exact"/>
        <w:ind w:firstLine="0" w:firstLineChars="0"/>
        <w:jc w:val="center"/>
        <w:rPr>
          <w:rFonts w:hint="default" w:ascii="Times New Roman" w:hAnsi="Times New Roman" w:eastAsia="宋体" w:cs="Times New Roman"/>
          <w:b/>
          <w:color w:val="auto"/>
          <w:sz w:val="32"/>
          <w:highlight w:val="none"/>
        </w:rPr>
      </w:pPr>
      <w:r>
        <w:rPr>
          <w:rFonts w:hint="default" w:ascii="Times New Roman" w:hAnsi="Times New Roman" w:eastAsia="宋体" w:cs="Times New Roman"/>
          <w:b/>
          <w:color w:val="auto"/>
          <w:sz w:val="32"/>
          <w:highlight w:val="none"/>
        </w:rPr>
        <w:t>目  录</w:t>
      </w:r>
    </w:p>
    <w:p>
      <w:pPr>
        <w:pStyle w:val="8"/>
        <w:tabs>
          <w:tab w:val="right" w:leader="dot" w:pos="8312"/>
        </w:tabs>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Cs w:val="0"/>
          <w:caps w:val="0"/>
          <w:color w:val="auto"/>
          <w:szCs w:val="24"/>
          <w:highlight w:val="none"/>
        </w:rPr>
        <w:fldChar w:fldCharType="begin"/>
      </w:r>
      <w:r>
        <w:rPr>
          <w:rFonts w:hint="default" w:ascii="Times New Roman" w:hAnsi="Times New Roman" w:eastAsia="宋体" w:cs="Times New Roman"/>
          <w:bCs w:val="0"/>
          <w:caps w:val="0"/>
          <w:color w:val="auto"/>
          <w:szCs w:val="24"/>
          <w:highlight w:val="none"/>
        </w:rPr>
        <w:instrText xml:space="preserve"> TOC \o "1-2" \h \z \u </w:instrText>
      </w:r>
      <w:r>
        <w:rPr>
          <w:rFonts w:hint="default" w:ascii="Times New Roman" w:hAnsi="Times New Roman" w:eastAsia="宋体" w:cs="Times New Roman"/>
          <w:bCs w:val="0"/>
          <w:caps w:val="0"/>
          <w:color w:val="auto"/>
          <w:szCs w:val="24"/>
          <w:highlight w:val="none"/>
        </w:rPr>
        <w:fldChar w:fldCharType="separate"/>
      </w:r>
      <w:r>
        <w:rPr>
          <w:rFonts w:hint="default" w:ascii="Times New Roman" w:hAnsi="Times New Roman" w:eastAsia="宋体" w:cs="Times New Roman"/>
          <w:bCs w:val="0"/>
          <w:caps w:val="0"/>
          <w:color w:val="auto"/>
          <w:szCs w:val="24"/>
          <w:highlight w:val="none"/>
        </w:rPr>
        <w:fldChar w:fldCharType="begin"/>
      </w:r>
      <w:r>
        <w:rPr>
          <w:rFonts w:hint="default" w:ascii="Times New Roman" w:hAnsi="Times New Roman" w:eastAsia="宋体" w:cs="Times New Roman"/>
          <w:bCs w:val="0"/>
          <w:caps w:val="0"/>
          <w:color w:val="auto"/>
          <w:szCs w:val="24"/>
          <w:highlight w:val="none"/>
        </w:rPr>
        <w:instrText xml:space="preserve"> HYPERLINK \l _Toc27005 </w:instrText>
      </w:r>
      <w:r>
        <w:rPr>
          <w:rFonts w:hint="default" w:ascii="Times New Roman" w:hAnsi="Times New Roman" w:eastAsia="宋体" w:cs="Times New Roman"/>
          <w:bCs w:val="0"/>
          <w:caps w:val="0"/>
          <w:color w:val="auto"/>
          <w:szCs w:val="24"/>
          <w:highlight w:val="none"/>
        </w:rPr>
        <w:fldChar w:fldCharType="separate"/>
      </w:r>
      <w:r>
        <w:rPr>
          <w:rFonts w:hint="default" w:ascii="Times New Roman" w:hAnsi="Times New Roman" w:eastAsia="宋体" w:cs="Times New Roman"/>
          <w:bCs w:val="0"/>
          <w:color w:val="auto"/>
          <w:szCs w:val="36"/>
          <w:highlight w:val="none"/>
        </w:rPr>
        <w:t>一、 矿山基本情况</w:t>
      </w:r>
      <w:r>
        <w:rPr>
          <w:rFonts w:hint="default" w:ascii="Times New Roman" w:hAnsi="Times New Roman" w:eastAsia="宋体" w:cs="Times New Roman"/>
          <w:color w:val="auto"/>
          <w:highlight w:val="none"/>
        </w:rPr>
        <w:tab/>
      </w:r>
      <w:r>
        <w:rPr>
          <w:rFonts w:hint="eastAsia" w:cs="Times New Roman"/>
          <w:color w:val="auto"/>
          <w:highlight w:val="none"/>
          <w:lang w:val="en-US" w:eastAsia="zh-CN"/>
        </w:rPr>
        <w:t>1</w:t>
      </w:r>
      <w:r>
        <w:rPr>
          <w:rFonts w:hint="default" w:ascii="Times New Roman" w:hAnsi="Times New Roman" w:eastAsia="宋体" w:cs="Times New Roman"/>
          <w:bCs w:val="0"/>
          <w:caps w:val="0"/>
          <w:color w:val="auto"/>
          <w:szCs w:val="24"/>
          <w:highlight w:val="none"/>
        </w:rPr>
        <w:fldChar w:fldCharType="end"/>
      </w:r>
    </w:p>
    <w:p>
      <w:pPr>
        <w:pStyle w:val="8"/>
        <w:tabs>
          <w:tab w:val="right" w:leader="dot" w:pos="8312"/>
        </w:tabs>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_Toc22530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bCs w:val="0"/>
          <w:color w:val="auto"/>
          <w:szCs w:val="36"/>
          <w:highlight w:val="none"/>
          <w:lang w:eastAsia="zh-CN"/>
        </w:rPr>
        <w:t xml:space="preserve">二、 </w:t>
      </w:r>
      <w:r>
        <w:rPr>
          <w:rFonts w:hint="default" w:ascii="Times New Roman" w:hAnsi="Times New Roman" w:eastAsia="宋体" w:cs="Times New Roman"/>
          <w:bCs w:val="0"/>
          <w:color w:val="auto"/>
          <w:szCs w:val="36"/>
          <w:highlight w:val="none"/>
        </w:rPr>
        <w:t>矿山地质环境</w:t>
      </w:r>
      <w:r>
        <w:rPr>
          <w:rFonts w:hint="default" w:ascii="Times New Roman" w:hAnsi="Times New Roman" w:eastAsia="宋体" w:cs="Times New Roman"/>
          <w:bCs w:val="0"/>
          <w:color w:val="auto"/>
          <w:szCs w:val="36"/>
          <w:highlight w:val="none"/>
          <w:lang w:eastAsia="zh-CN"/>
        </w:rPr>
        <w:t>治理方案的编制与执行情况</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_Toc22530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9"/>
        <w:tabs>
          <w:tab w:val="right" w:leader="dot" w:pos="8312"/>
        </w:tabs>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_Toc1933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lang w:eastAsia="zh-CN"/>
        </w:rPr>
        <w:t>（一）方案编制概况</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_Toc1933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9"/>
        <w:tabs>
          <w:tab w:val="right" w:leader="dot" w:pos="8312"/>
        </w:tabs>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_Toc31246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lang w:eastAsia="zh-CN"/>
        </w:rPr>
        <w:t>（二）治理方案规划的近期治理工程内容</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_Toc31246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4</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9"/>
        <w:tabs>
          <w:tab w:val="right" w:leader="dot" w:pos="8312"/>
        </w:tabs>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_Toc2004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lang w:eastAsia="zh-CN"/>
        </w:rPr>
        <w:t>（三）矿山地质环境治理方案执行情况</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_Toc2004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7</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8"/>
        <w:tabs>
          <w:tab w:val="right" w:leader="dot" w:pos="8312"/>
        </w:tabs>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_Toc13463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bCs w:val="0"/>
          <w:color w:val="auto"/>
          <w:szCs w:val="36"/>
          <w:highlight w:val="none"/>
        </w:rPr>
        <w:t xml:space="preserve">三、 </w:t>
      </w:r>
      <w:r>
        <w:rPr>
          <w:rFonts w:hint="default" w:ascii="Times New Roman" w:hAnsi="Times New Roman" w:eastAsia="宋体" w:cs="Times New Roman"/>
          <w:bCs w:val="0"/>
          <w:color w:val="auto"/>
          <w:szCs w:val="36"/>
          <w:highlight w:val="none"/>
          <w:lang w:val="en-US" w:eastAsia="zh-CN"/>
        </w:rPr>
        <w:t>本年度矿山生产计划</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_Toc13463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8</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9"/>
        <w:tabs>
          <w:tab w:val="right" w:leader="dot" w:pos="8312"/>
        </w:tabs>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_Toc23099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lang w:eastAsia="zh-CN"/>
        </w:rPr>
        <w:t>（一）本年度的主要生产指标计划</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_Toc23099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8</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9"/>
        <w:tabs>
          <w:tab w:val="right" w:leader="dot" w:pos="8312"/>
        </w:tabs>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_Toc6900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lang w:eastAsia="zh-CN"/>
        </w:rPr>
        <w:t>（二）开采范围</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_Toc6900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8</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8"/>
        <w:tabs>
          <w:tab w:val="right" w:leader="dot" w:pos="8312"/>
        </w:tabs>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_Toc25486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bCs w:val="0"/>
          <w:color w:val="auto"/>
          <w:szCs w:val="36"/>
          <w:highlight w:val="none"/>
          <w:lang w:val="en-US" w:eastAsia="zh-CN"/>
        </w:rPr>
        <w:t>四、 矿山地质环境问题</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_Toc25486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9"/>
        <w:tabs>
          <w:tab w:val="right" w:leader="dot" w:pos="8312"/>
        </w:tabs>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_Toc19045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lang w:eastAsia="zh-CN"/>
        </w:rPr>
        <w:t>（一）矿山地质环境问题现状</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_Toc19045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9</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9"/>
        <w:tabs>
          <w:tab w:val="right" w:leader="dot" w:pos="8312"/>
        </w:tabs>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_Toc28958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lang w:eastAsia="zh-CN"/>
        </w:rPr>
        <w:t>（二）</w:t>
      </w:r>
      <w:r>
        <w:rPr>
          <w:rFonts w:hint="default" w:ascii="Times New Roman" w:hAnsi="Times New Roman" w:eastAsia="宋体" w:cs="Times New Roman"/>
          <w:color w:val="auto"/>
          <w:highlight w:val="none"/>
          <w:lang w:val="en-US" w:eastAsia="zh-CN"/>
        </w:rPr>
        <w:t>矿山地质环境问题预测</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_Toc28958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16</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8"/>
        <w:tabs>
          <w:tab w:val="right" w:leader="dot" w:pos="8312"/>
        </w:tabs>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_Toc21415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bCs w:val="0"/>
          <w:color w:val="auto"/>
          <w:szCs w:val="36"/>
          <w:highlight w:val="none"/>
          <w:lang w:val="en-US" w:eastAsia="zh-CN"/>
        </w:rPr>
        <w:t>五、 矿山地质环境防治工程</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_Toc21415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17</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9"/>
        <w:tabs>
          <w:tab w:val="right" w:leader="dot" w:pos="8312"/>
        </w:tabs>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_Toc11942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lang w:eastAsia="zh-CN"/>
        </w:rPr>
        <w:t>（一）</w:t>
      </w:r>
      <w:r>
        <w:rPr>
          <w:rFonts w:hint="default" w:ascii="Times New Roman" w:hAnsi="Times New Roman" w:eastAsia="宋体" w:cs="Times New Roman"/>
          <w:color w:val="auto"/>
          <w:highlight w:val="none"/>
        </w:rPr>
        <w:t>矿山地质环境治理</w:t>
      </w:r>
      <w:r>
        <w:rPr>
          <w:rFonts w:hint="default" w:ascii="Times New Roman" w:hAnsi="Times New Roman" w:eastAsia="宋体" w:cs="Times New Roman"/>
          <w:color w:val="auto"/>
          <w:highlight w:val="none"/>
          <w:lang w:eastAsia="zh-CN"/>
        </w:rPr>
        <w:t>区的确定</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_Toc11942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17</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9"/>
        <w:tabs>
          <w:tab w:val="right" w:leader="dot" w:pos="8312"/>
        </w:tabs>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_Toc22570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color w:val="auto"/>
          <w:highlight w:val="none"/>
          <w:lang w:eastAsia="zh-CN"/>
        </w:rPr>
        <w:t>（</w:t>
      </w:r>
      <w:r>
        <w:rPr>
          <w:rFonts w:hint="eastAsia" w:cs="Times New Roman"/>
          <w:color w:val="auto"/>
          <w:highlight w:val="none"/>
          <w:lang w:val="en-US" w:eastAsia="zh-CN"/>
        </w:rPr>
        <w:t>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矿山地质环境监测工程</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_Toc22570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17</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pStyle w:val="8"/>
        <w:tabs>
          <w:tab w:val="right" w:leader="dot" w:pos="8312"/>
        </w:tabs>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bCs/>
          <w:caps/>
          <w:color w:val="auto"/>
          <w:szCs w:val="24"/>
          <w:highlight w:val="none"/>
        </w:rPr>
        <w:fldChar w:fldCharType="begin"/>
      </w:r>
      <w:r>
        <w:rPr>
          <w:rFonts w:hint="default" w:ascii="Times New Roman" w:hAnsi="Times New Roman" w:eastAsia="宋体" w:cs="Times New Roman"/>
          <w:bCs/>
          <w:caps/>
          <w:color w:val="auto"/>
          <w:szCs w:val="24"/>
          <w:highlight w:val="none"/>
        </w:rPr>
        <w:instrText xml:space="preserve"> HYPERLINK \l _Toc12565 </w:instrText>
      </w:r>
      <w:r>
        <w:rPr>
          <w:rFonts w:hint="default" w:ascii="Times New Roman" w:hAnsi="Times New Roman" w:eastAsia="宋体" w:cs="Times New Roman"/>
          <w:bCs/>
          <w:caps/>
          <w:color w:val="auto"/>
          <w:szCs w:val="24"/>
          <w:highlight w:val="none"/>
        </w:rPr>
        <w:fldChar w:fldCharType="separate"/>
      </w:r>
      <w:r>
        <w:rPr>
          <w:rFonts w:hint="default" w:ascii="Times New Roman" w:hAnsi="Times New Roman" w:eastAsia="宋体" w:cs="Times New Roman"/>
          <w:bCs w:val="0"/>
          <w:color w:val="auto"/>
          <w:szCs w:val="36"/>
          <w:highlight w:val="none"/>
          <w:lang w:val="en-US" w:eastAsia="zh-CN"/>
        </w:rPr>
        <w:t>六、 经费预算</w:t>
      </w:r>
      <w:r>
        <w:rPr>
          <w:rFonts w:hint="default" w:ascii="Times New Roman" w:hAnsi="Times New Roman" w:eastAsia="宋体" w:cs="Times New Roman"/>
          <w:color w:val="auto"/>
          <w:highlight w:val="none"/>
        </w:rPr>
        <w:tab/>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PAGEREF _Toc12565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20</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bCs/>
          <w:caps/>
          <w:color w:val="auto"/>
          <w:szCs w:val="24"/>
          <w:highlight w:val="none"/>
        </w:rPr>
        <w:fldChar w:fldCharType="end"/>
      </w:r>
    </w:p>
    <w:p>
      <w:pPr>
        <w:keepNext w:val="0"/>
        <w:keepLines w:val="0"/>
        <w:pageBreakBefore w:val="0"/>
        <w:widowControl w:val="0"/>
        <w:kinsoku/>
        <w:wordWrap/>
        <w:overflowPunct/>
        <w:topLinePunct w:val="0"/>
        <w:autoSpaceDE/>
        <w:autoSpaceDN/>
        <w:bidi w:val="0"/>
        <w:spacing w:line="360" w:lineRule="auto"/>
        <w:ind w:firstLine="0" w:firstLineChars="0"/>
        <w:jc w:val="center"/>
        <w:textAlignment w:val="auto"/>
        <w:rPr>
          <w:rFonts w:hint="default" w:ascii="Times New Roman" w:hAnsi="Times New Roman" w:eastAsia="宋体" w:cs="Times New Roman"/>
          <w:bCs/>
          <w:caps/>
          <w:color w:val="auto"/>
          <w:sz w:val="32"/>
          <w:highlight w:val="none"/>
        </w:rPr>
      </w:pPr>
      <w:r>
        <w:rPr>
          <w:rFonts w:hint="default" w:ascii="Times New Roman" w:hAnsi="Times New Roman" w:eastAsia="宋体" w:cs="Times New Roman"/>
          <w:bCs/>
          <w:caps/>
          <w:color w:val="auto"/>
          <w:szCs w:val="24"/>
          <w:highlight w:val="none"/>
        </w:rPr>
        <w:fldChar w:fldCharType="end"/>
      </w:r>
      <w:r>
        <w:rPr>
          <w:rFonts w:hint="default" w:ascii="Times New Roman" w:hAnsi="Times New Roman" w:eastAsia="宋体" w:cs="Times New Roman"/>
          <w:b/>
          <w:color w:val="auto"/>
          <w:sz w:val="28"/>
          <w:szCs w:val="28"/>
          <w:highlight w:val="none"/>
        </w:rPr>
        <w:t>附  图</w:t>
      </w:r>
    </w:p>
    <w:p>
      <w:pPr>
        <w:numPr>
          <w:ilvl w:val="0"/>
          <w:numId w:val="1"/>
        </w:numPr>
        <w:tabs>
          <w:tab w:val="left" w:pos="426"/>
        </w:tabs>
        <w:spacing w:line="500" w:lineRule="exact"/>
        <w:ind w:left="0" w:leftChars="0" w:firstLine="0" w:firstLineChars="0"/>
        <w:jc w:val="center"/>
        <w:rPr>
          <w:rFonts w:hint="default" w:ascii="Times New Roman" w:hAnsi="Times New Roman" w:eastAsia="宋体" w:cs="Times New Roman"/>
          <w:bCs/>
          <w:caps/>
          <w:color w:val="auto"/>
          <w:szCs w:val="24"/>
          <w:highlight w:val="none"/>
        </w:rPr>
      </w:pPr>
      <w:r>
        <w:rPr>
          <w:rFonts w:hint="default" w:ascii="Times New Roman" w:hAnsi="Times New Roman" w:eastAsia="宋体" w:cs="Times New Roman"/>
          <w:color w:val="auto"/>
          <w:spacing w:val="-4"/>
          <w:szCs w:val="22"/>
          <w:highlight w:val="none"/>
          <w:lang w:val="en-US" w:eastAsia="zh-CN"/>
        </w:rPr>
        <w:t>宁城县金根硅石矿202</w:t>
      </w:r>
      <w:r>
        <w:rPr>
          <w:rFonts w:hint="eastAsia" w:cs="Times New Roman"/>
          <w:color w:val="auto"/>
          <w:spacing w:val="-4"/>
          <w:szCs w:val="22"/>
          <w:highlight w:val="none"/>
          <w:lang w:val="en-US" w:eastAsia="zh-CN"/>
        </w:rPr>
        <w:t>4</w:t>
      </w:r>
      <w:r>
        <w:rPr>
          <w:rFonts w:hint="default" w:ascii="Times New Roman" w:hAnsi="Times New Roman" w:eastAsia="宋体" w:cs="Times New Roman"/>
          <w:color w:val="auto"/>
          <w:spacing w:val="-4"/>
          <w:szCs w:val="22"/>
          <w:highlight w:val="none"/>
          <w:lang w:val="en-US" w:eastAsia="zh-CN"/>
        </w:rPr>
        <w:t>年度</w:t>
      </w:r>
      <w:r>
        <w:rPr>
          <w:rFonts w:hint="default" w:ascii="Times New Roman" w:hAnsi="Times New Roman" w:eastAsia="宋体" w:cs="Times New Roman"/>
          <w:color w:val="auto"/>
          <w:spacing w:val="-4"/>
          <w:szCs w:val="22"/>
          <w:highlight w:val="none"/>
        </w:rPr>
        <w:t>矿山地质环境治理工程部署图</w:t>
      </w:r>
      <w:r>
        <w:rPr>
          <w:rFonts w:hint="default" w:ascii="Times New Roman" w:hAnsi="Times New Roman" w:eastAsia="宋体" w:cs="Times New Roman"/>
          <w:color w:val="auto"/>
          <w:spacing w:val="-4"/>
          <w:szCs w:val="22"/>
          <w:highlight w:val="none"/>
          <w:lang w:val="en-US" w:eastAsia="zh-CN"/>
        </w:rPr>
        <w:t xml:space="preserve">     </w:t>
      </w:r>
      <w:r>
        <w:rPr>
          <w:rFonts w:hint="default" w:ascii="Times New Roman" w:hAnsi="Times New Roman" w:eastAsia="宋体" w:cs="Times New Roman"/>
          <w:color w:val="auto"/>
          <w:highlight w:val="none"/>
        </w:rPr>
        <w:t>比例尺</w:t>
      </w:r>
      <w:r>
        <w:rPr>
          <w:rFonts w:hint="default" w:ascii="Times New Roman" w:hAnsi="Times New Roman" w:eastAsia="宋体" w:cs="Times New Roman"/>
          <w:color w:val="auto"/>
          <w:szCs w:val="24"/>
          <w:highlight w:val="none"/>
        </w:rPr>
        <w:t>1:</w:t>
      </w:r>
      <w:r>
        <w:rPr>
          <w:rFonts w:hint="default" w:ascii="Times New Roman" w:hAnsi="Times New Roman" w:eastAsia="宋体" w:cs="Times New Roman"/>
          <w:color w:val="auto"/>
          <w:szCs w:val="24"/>
          <w:highlight w:val="none"/>
          <w:lang w:val="en-US" w:eastAsia="zh-CN"/>
        </w:rPr>
        <w:t>1</w:t>
      </w:r>
      <w:r>
        <w:rPr>
          <w:rFonts w:hint="default" w:ascii="Times New Roman" w:hAnsi="Times New Roman" w:eastAsia="宋体" w:cs="Times New Roman"/>
          <w:color w:val="auto"/>
          <w:szCs w:val="24"/>
          <w:highlight w:val="none"/>
        </w:rPr>
        <w:t>000</w:t>
      </w:r>
    </w:p>
    <w:p>
      <w:pPr>
        <w:spacing w:line="500" w:lineRule="exact"/>
        <w:ind w:right="-518" w:rightChars="-216" w:firstLine="0" w:firstLineChars="0"/>
        <w:textAlignment w:val="center"/>
        <w:rPr>
          <w:rFonts w:hint="default" w:ascii="Times New Roman" w:hAnsi="Times New Roman" w:eastAsia="宋体" w:cs="Times New Roman"/>
          <w:color w:val="auto"/>
          <w:szCs w:val="24"/>
          <w:highlight w:val="none"/>
        </w:rPr>
      </w:pPr>
    </w:p>
    <w:p>
      <w:pPr>
        <w:pStyle w:val="2"/>
        <w:spacing w:before="120" w:after="120" w:line="360" w:lineRule="auto"/>
        <w:jc w:val="both"/>
        <w:rPr>
          <w:rFonts w:hint="default" w:ascii="Times New Roman" w:hAnsi="Times New Roman" w:eastAsia="宋体" w:cs="Times New Roman"/>
          <w:color w:val="auto"/>
          <w:sz w:val="36"/>
          <w:szCs w:val="36"/>
          <w:highlight w:val="none"/>
        </w:rPr>
        <w:sectPr>
          <w:headerReference r:id="rId5" w:type="default"/>
          <w:footerReference r:id="rId6" w:type="default"/>
          <w:pgSz w:w="11906" w:h="16838"/>
          <w:pgMar w:top="1440" w:right="1797" w:bottom="1440" w:left="1797" w:header="851" w:footer="992" w:gutter="0"/>
          <w:pgNumType w:start="1"/>
          <w:cols w:space="720" w:num="1"/>
          <w:docGrid w:linePitch="326" w:charSpace="0"/>
        </w:sectPr>
      </w:pPr>
    </w:p>
    <w:p>
      <w:pPr>
        <w:pStyle w:val="2"/>
        <w:numPr>
          <w:ilvl w:val="0"/>
          <w:numId w:val="2"/>
        </w:numPr>
        <w:spacing w:before="120" w:after="120" w:line="360" w:lineRule="auto"/>
        <w:jc w:val="center"/>
        <w:rPr>
          <w:rFonts w:hint="default" w:ascii="Times New Roman" w:hAnsi="Times New Roman" w:eastAsia="宋体" w:cs="Times New Roman"/>
          <w:b/>
          <w:bCs w:val="0"/>
          <w:color w:val="auto"/>
          <w:sz w:val="36"/>
          <w:szCs w:val="36"/>
          <w:highlight w:val="none"/>
        </w:rPr>
      </w:pPr>
      <w:bookmarkStart w:id="0" w:name="_Toc27005"/>
      <w:r>
        <w:rPr>
          <w:rFonts w:hint="default" w:ascii="Times New Roman" w:hAnsi="Times New Roman" w:eastAsia="宋体" w:cs="Times New Roman"/>
          <w:b/>
          <w:bCs w:val="0"/>
          <w:color w:val="auto"/>
          <w:sz w:val="36"/>
          <w:szCs w:val="36"/>
          <w:highlight w:val="none"/>
        </w:rPr>
        <w:t>矿山基本情况</w:t>
      </w:r>
      <w:bookmarkEnd w:id="0"/>
    </w:p>
    <w:p>
      <w:pPr>
        <w:spacing w:line="400" w:lineRule="exact"/>
        <w:ind w:firstLine="0" w:firstLineChars="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rPr>
        <w:t>-1</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eastAsia="zh-CN"/>
        </w:rPr>
        <w:t>矿山基本信息表</w:t>
      </w:r>
    </w:p>
    <w:tbl>
      <w:tblPr>
        <w:tblStyle w:val="11"/>
        <w:tblW w:w="8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855"/>
        <w:gridCol w:w="2879"/>
        <w:gridCol w:w="1692"/>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8489" w:type="dxa"/>
            <w:gridSpan w:val="5"/>
            <w:vAlign w:val="center"/>
          </w:tcPr>
          <w:p>
            <w:pPr>
              <w:spacing w:line="240" w:lineRule="auto"/>
              <w:ind w:firstLine="42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矿山企业基本信息表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矿山名称</w:t>
            </w:r>
          </w:p>
        </w:tc>
        <w:tc>
          <w:tcPr>
            <w:tcW w:w="6982" w:type="dxa"/>
            <w:gridSpan w:val="4"/>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宁城县金根硅石矿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采矿权人</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宁城县金根硅石矿</w:t>
            </w:r>
          </w:p>
        </w:tc>
        <w:tc>
          <w:tcPr>
            <w:tcW w:w="169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法人代表</w:t>
            </w:r>
          </w:p>
        </w:tc>
        <w:tc>
          <w:tcPr>
            <w:tcW w:w="155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刘晓丽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采矿许可证号</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C1504002010127120086632</w:t>
            </w:r>
          </w:p>
        </w:tc>
        <w:tc>
          <w:tcPr>
            <w:tcW w:w="169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发证机关</w:t>
            </w:r>
          </w:p>
        </w:tc>
        <w:tc>
          <w:tcPr>
            <w:tcW w:w="155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赤峰市自然资源局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有限期限</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highlight w:val="none"/>
                <w:lang w:val="en-US" w:eastAsia="zh-CN"/>
              </w:rPr>
              <w:t>20</w:t>
            </w:r>
            <w:r>
              <w:rPr>
                <w:rFonts w:hint="default" w:ascii="Times New Roman" w:hAnsi="Times New Roman" w:eastAsia="宋体" w:cs="Times New Roman"/>
                <w:color w:val="auto"/>
                <w:sz w:val="21"/>
                <w:szCs w:val="21"/>
                <w:highlight w:val="none"/>
                <w:lang w:val="en-US" w:eastAsia="zh-CN"/>
              </w:rPr>
              <w:t>年8月14日至2022年8月14日</w:t>
            </w:r>
          </w:p>
        </w:tc>
        <w:tc>
          <w:tcPr>
            <w:tcW w:w="169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发证日期</w:t>
            </w:r>
          </w:p>
        </w:tc>
        <w:tc>
          <w:tcPr>
            <w:tcW w:w="155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矿区地址</w:t>
            </w:r>
          </w:p>
        </w:tc>
        <w:tc>
          <w:tcPr>
            <w:tcW w:w="6982" w:type="dxa"/>
            <w:gridSpan w:val="4"/>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宁城县小城子镇长皋村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经纬度坐标</w:t>
            </w:r>
          </w:p>
        </w:tc>
        <w:tc>
          <w:tcPr>
            <w:tcW w:w="6982" w:type="dxa"/>
            <w:gridSpan w:val="4"/>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东经：118°49′37″～118°49′54″；</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北纬： 41°50′22″～41°50′38″。</w:t>
            </w:r>
          </w:p>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经济类型</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私营独资企业</w:t>
            </w:r>
          </w:p>
        </w:tc>
        <w:tc>
          <w:tcPr>
            <w:tcW w:w="169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生产规模</w:t>
            </w:r>
          </w:p>
        </w:tc>
        <w:tc>
          <w:tcPr>
            <w:tcW w:w="155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开采矿种</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脉石英</w:t>
            </w:r>
          </w:p>
        </w:tc>
        <w:tc>
          <w:tcPr>
            <w:tcW w:w="169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采矿方式</w:t>
            </w:r>
          </w:p>
        </w:tc>
        <w:tc>
          <w:tcPr>
            <w:tcW w:w="155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露天开采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矿区面积</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0.0918</w:t>
            </w:r>
            <w:r>
              <w:rPr>
                <w:rFonts w:hint="default" w:ascii="Times New Roman" w:hAnsi="Times New Roman" w:eastAsia="宋体" w:cs="Times New Roman"/>
                <w:color w:val="auto"/>
                <w:sz w:val="21"/>
                <w:szCs w:val="21"/>
                <w:highlight w:val="none"/>
              </w:rPr>
              <w:t>km</w:t>
            </w:r>
            <w:r>
              <w:rPr>
                <w:rFonts w:hint="default" w:ascii="Times New Roman" w:hAnsi="Times New Roman" w:eastAsia="宋体" w:cs="Times New Roman"/>
                <w:color w:val="auto"/>
                <w:sz w:val="21"/>
                <w:szCs w:val="21"/>
                <w:highlight w:val="none"/>
                <w:vertAlign w:val="superscript"/>
              </w:rPr>
              <w:t>2</w:t>
            </w:r>
          </w:p>
        </w:tc>
        <w:tc>
          <w:tcPr>
            <w:tcW w:w="169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生产现状</w:t>
            </w:r>
          </w:p>
        </w:tc>
        <w:tc>
          <w:tcPr>
            <w:tcW w:w="155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停产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建矿时间</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2005</w:t>
            </w:r>
            <w:r>
              <w:rPr>
                <w:rFonts w:hint="default" w:ascii="Times New Roman" w:hAnsi="Times New Roman" w:eastAsia="宋体" w:cs="Times New Roman"/>
                <w:color w:val="auto"/>
                <w:sz w:val="21"/>
                <w:szCs w:val="21"/>
                <w:highlight w:val="none"/>
              </w:rPr>
              <w:t>年</w:t>
            </w:r>
          </w:p>
        </w:tc>
        <w:tc>
          <w:tcPr>
            <w:tcW w:w="169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设计生产能力</w:t>
            </w:r>
          </w:p>
        </w:tc>
        <w:tc>
          <w:tcPr>
            <w:tcW w:w="155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万吨/年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设计服务年限</w:t>
            </w:r>
          </w:p>
        </w:tc>
        <w:tc>
          <w:tcPr>
            <w:tcW w:w="3734" w:type="dxa"/>
            <w:gridSpan w:val="2"/>
            <w:tcBorders>
              <w:bottom w:val="single" w:color="auto"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17.2</w:t>
            </w:r>
            <w:r>
              <w:rPr>
                <w:rFonts w:hint="default" w:ascii="Times New Roman" w:hAnsi="Times New Roman" w:eastAsia="宋体" w:cs="Times New Roman"/>
                <w:color w:val="auto"/>
                <w:sz w:val="21"/>
                <w:szCs w:val="21"/>
                <w:highlight w:val="none"/>
                <w:lang w:eastAsia="zh-CN"/>
              </w:rPr>
              <w:t>年</w:t>
            </w:r>
          </w:p>
        </w:tc>
        <w:tc>
          <w:tcPr>
            <w:tcW w:w="169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实际生产能力</w:t>
            </w:r>
          </w:p>
        </w:tc>
        <w:tc>
          <w:tcPr>
            <w:tcW w:w="155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万吨/年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剩余服务年限</w:t>
            </w:r>
          </w:p>
        </w:tc>
        <w:tc>
          <w:tcPr>
            <w:tcW w:w="3734" w:type="dxa"/>
            <w:gridSpan w:val="2"/>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9.9</w:t>
            </w:r>
            <w:r>
              <w:rPr>
                <w:rFonts w:hint="default" w:ascii="Times New Roman" w:hAnsi="Times New Roman" w:eastAsia="宋体" w:cs="Times New Roman"/>
                <w:color w:val="auto"/>
                <w:sz w:val="21"/>
                <w:szCs w:val="21"/>
                <w:highlight w:val="none"/>
                <w:lang w:eastAsia="zh-CN"/>
              </w:rPr>
              <w:t>年</w:t>
            </w:r>
          </w:p>
        </w:tc>
        <w:tc>
          <w:tcPr>
            <w:tcW w:w="169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开采深度</w:t>
            </w:r>
          </w:p>
        </w:tc>
        <w:tc>
          <w:tcPr>
            <w:tcW w:w="155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1270-1190m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查明资源储量</w:t>
            </w:r>
          </w:p>
        </w:tc>
        <w:tc>
          <w:tcPr>
            <w:tcW w:w="3734" w:type="dxa"/>
            <w:gridSpan w:val="2"/>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172000t</w:t>
            </w:r>
          </w:p>
        </w:tc>
        <w:tc>
          <w:tcPr>
            <w:tcW w:w="169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剩余资源储量</w:t>
            </w:r>
          </w:p>
        </w:tc>
        <w:tc>
          <w:tcPr>
            <w:tcW w:w="155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99120</w:t>
            </w:r>
            <w:r>
              <w:rPr>
                <w:rFonts w:hint="default" w:ascii="Times New Roman" w:hAnsi="Times New Roman" w:eastAsia="宋体" w:cs="Times New Roman"/>
                <w:color w:val="auto"/>
                <w:sz w:val="21"/>
                <w:szCs w:val="21"/>
                <w:highlight w:val="non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Merge w:val="restar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矿区范围拐点坐标</w:t>
            </w:r>
          </w:p>
        </w:tc>
        <w:tc>
          <w:tcPr>
            <w:tcW w:w="6982" w:type="dxa"/>
            <w:gridSpan w:val="4"/>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2000国家大地坐标系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55" w:type="dxa"/>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点号</w:t>
            </w:r>
          </w:p>
        </w:tc>
        <w:tc>
          <w:tcPr>
            <w:tcW w:w="2879" w:type="dxa"/>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3248" w:type="dxa"/>
            <w:gridSpan w:val="2"/>
            <w:shd w:val="clear" w:color="auto" w:fill="auto"/>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55" w:type="dxa"/>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879" w:type="dxa"/>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4634809.1358</w:t>
            </w:r>
          </w:p>
        </w:tc>
        <w:tc>
          <w:tcPr>
            <w:tcW w:w="3248" w:type="dxa"/>
            <w:gridSpan w:val="2"/>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40402638.7582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55" w:type="dxa"/>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879" w:type="dxa"/>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4635001.9366</w:t>
            </w:r>
          </w:p>
        </w:tc>
        <w:tc>
          <w:tcPr>
            <w:tcW w:w="3248" w:type="dxa"/>
            <w:gridSpan w:val="2"/>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40402847.5784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55" w:type="dxa"/>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879" w:type="dxa"/>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4634771.0665</w:t>
            </w:r>
          </w:p>
        </w:tc>
        <w:tc>
          <w:tcPr>
            <w:tcW w:w="3248" w:type="dxa"/>
            <w:gridSpan w:val="2"/>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40403012.5895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Merge w:val="continue"/>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55" w:type="dxa"/>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879" w:type="dxa"/>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4634512.3056</w:t>
            </w:r>
          </w:p>
        </w:tc>
        <w:tc>
          <w:tcPr>
            <w:tcW w:w="3248" w:type="dxa"/>
            <w:gridSpan w:val="2"/>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40402830.4695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基金计提</w:t>
            </w:r>
          </w:p>
        </w:tc>
        <w:tc>
          <w:tcPr>
            <w:tcW w:w="3734" w:type="dxa"/>
            <w:gridSpan w:val="2"/>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9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基金使用</w:t>
            </w:r>
          </w:p>
        </w:tc>
        <w:tc>
          <w:tcPr>
            <w:tcW w:w="155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9" w:type="dxa"/>
            <w:gridSpan w:val="5"/>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矿山企业联系方式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联系人</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刘晓丽</w:t>
            </w:r>
          </w:p>
        </w:tc>
        <w:tc>
          <w:tcPr>
            <w:tcW w:w="169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手机号</w:t>
            </w:r>
          </w:p>
        </w:tc>
        <w:tc>
          <w:tcPr>
            <w:tcW w:w="155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13848769359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通讯地址</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宁城县小城子镇长皋村</w:t>
            </w:r>
          </w:p>
        </w:tc>
        <w:tc>
          <w:tcPr>
            <w:tcW w:w="169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邮编</w:t>
            </w:r>
          </w:p>
        </w:tc>
        <w:tc>
          <w:tcPr>
            <w:tcW w:w="155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024</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7"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固定电话</w:t>
            </w:r>
          </w:p>
        </w:tc>
        <w:tc>
          <w:tcPr>
            <w:tcW w:w="373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w:t>
            </w:r>
          </w:p>
        </w:tc>
        <w:tc>
          <w:tcPr>
            <w:tcW w:w="1692"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E-mail</w:t>
            </w:r>
          </w:p>
        </w:tc>
        <w:tc>
          <w:tcPr>
            <w:tcW w:w="155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bl>
    <w:p>
      <w:pPr>
        <w:spacing w:line="240" w:lineRule="auto"/>
        <w:ind w:firstLine="0" w:firstLineChars="0"/>
        <w:rPr>
          <w:rFonts w:hint="default" w:ascii="Times New Roman" w:hAnsi="Times New Roman" w:eastAsia="宋体" w:cs="Times New Roman"/>
          <w:color w:val="auto"/>
          <w:highlight w:val="none"/>
        </w:rPr>
      </w:pPr>
    </w:p>
    <w:p>
      <w:pPr>
        <w:pStyle w:val="2"/>
        <w:numPr>
          <w:ilvl w:val="0"/>
          <w:numId w:val="2"/>
        </w:numPr>
        <w:spacing w:before="120" w:after="120" w:line="360" w:lineRule="auto"/>
        <w:jc w:val="center"/>
        <w:rPr>
          <w:rFonts w:hint="default" w:ascii="Times New Roman" w:hAnsi="Times New Roman" w:eastAsia="宋体" w:cs="Times New Roman"/>
          <w:b/>
          <w:bCs w:val="0"/>
          <w:color w:val="auto"/>
          <w:sz w:val="36"/>
          <w:szCs w:val="36"/>
          <w:highlight w:val="none"/>
          <w:lang w:eastAsia="zh-CN"/>
        </w:rPr>
      </w:pPr>
      <w:bookmarkStart w:id="1" w:name="_Toc22530"/>
      <w:r>
        <w:rPr>
          <w:rFonts w:hint="default" w:ascii="Times New Roman" w:hAnsi="Times New Roman" w:eastAsia="宋体" w:cs="Times New Roman"/>
          <w:b/>
          <w:bCs w:val="0"/>
          <w:color w:val="auto"/>
          <w:sz w:val="36"/>
          <w:szCs w:val="36"/>
          <w:highlight w:val="none"/>
        </w:rPr>
        <w:t>矿山地质环境</w:t>
      </w:r>
      <w:r>
        <w:rPr>
          <w:rFonts w:hint="default" w:ascii="Times New Roman" w:hAnsi="Times New Roman" w:eastAsia="宋体" w:cs="Times New Roman"/>
          <w:b/>
          <w:bCs w:val="0"/>
          <w:color w:val="auto"/>
          <w:sz w:val="36"/>
          <w:szCs w:val="36"/>
          <w:highlight w:val="none"/>
          <w:lang w:eastAsia="zh-CN"/>
        </w:rPr>
        <w:t>治理方案的编制与执行情况</w:t>
      </w:r>
      <w:bookmarkEnd w:id="1"/>
    </w:p>
    <w:p>
      <w:pPr>
        <w:pStyle w:val="3"/>
        <w:spacing w:before="120" w:after="120" w:line="360" w:lineRule="auto"/>
        <w:jc w:val="left"/>
        <w:rPr>
          <w:rFonts w:hint="default" w:ascii="Times New Roman" w:hAnsi="Times New Roman" w:eastAsia="宋体" w:cs="Times New Roman"/>
          <w:color w:val="auto"/>
          <w:sz w:val="30"/>
          <w:highlight w:val="none"/>
          <w:lang w:eastAsia="zh-CN"/>
        </w:rPr>
      </w:pPr>
      <w:bookmarkStart w:id="2" w:name="_Toc1933"/>
      <w:r>
        <w:rPr>
          <w:rFonts w:hint="default" w:ascii="Times New Roman" w:hAnsi="Times New Roman" w:eastAsia="宋体" w:cs="Times New Roman"/>
          <w:color w:val="auto"/>
          <w:sz w:val="30"/>
          <w:highlight w:val="none"/>
          <w:lang w:eastAsia="zh-CN"/>
        </w:rPr>
        <w:t>（一）方案编制概况</w:t>
      </w:r>
      <w:bookmarkEnd w:id="2"/>
    </w:p>
    <w:p>
      <w:pPr>
        <w:ind w:firstLine="464"/>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rPr>
        <w:t>矿山</w:t>
      </w:r>
      <w:r>
        <w:rPr>
          <w:rFonts w:hint="default" w:ascii="Times New Roman" w:hAnsi="Times New Roman" w:eastAsia="宋体" w:cs="Times New Roman"/>
          <w:color w:val="auto"/>
          <w:szCs w:val="24"/>
          <w:highlight w:val="none"/>
          <w:lang w:eastAsia="zh-CN"/>
        </w:rPr>
        <w:t>自</w:t>
      </w:r>
      <w:r>
        <w:rPr>
          <w:rFonts w:hint="default" w:ascii="Times New Roman" w:hAnsi="Times New Roman" w:eastAsia="宋体" w:cs="Times New Roman"/>
          <w:color w:val="auto"/>
          <w:szCs w:val="24"/>
          <w:highlight w:val="none"/>
          <w:lang w:val="en-US" w:eastAsia="zh-CN"/>
        </w:rPr>
        <w:t>2010年至今编制了多个矿山地质环境治理方案：</w:t>
      </w:r>
    </w:p>
    <w:p>
      <w:pPr>
        <w:pStyle w:val="15"/>
        <w:tabs>
          <w:tab w:val="left" w:pos="6120"/>
        </w:tabs>
        <w:spacing w:line="360" w:lineRule="auto"/>
        <w:ind w:firstLine="480"/>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 w:val="24"/>
          <w:highlight w:val="none"/>
        </w:rPr>
        <w:t>2010年4月，辽宁省有色地质局勘查总院编制的《宁城县金根硅石矿矿山地质环境保护与治理恢复方案》（备案文号：10095号）</w:t>
      </w:r>
      <w:r>
        <w:rPr>
          <w:rFonts w:hint="default" w:ascii="Times New Roman" w:hAnsi="Times New Roman" w:eastAsia="宋体" w:cs="Times New Roman"/>
          <w:color w:val="auto"/>
          <w:sz w:val="24"/>
          <w:highlight w:val="none"/>
          <w:lang w:eastAsia="zh-CN"/>
        </w:rPr>
        <w:t>，以下简称“原综治方案”；</w:t>
      </w:r>
    </w:p>
    <w:p>
      <w:pPr>
        <w:ind w:firstLine="464"/>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2014年11月，内蒙古顺源水文勘测有限责任公司编制的《</w:t>
      </w:r>
      <w:r>
        <w:rPr>
          <w:rFonts w:hint="default" w:ascii="Times New Roman" w:hAnsi="Times New Roman" w:eastAsia="宋体" w:cs="Times New Roman"/>
          <w:color w:val="auto"/>
          <w:sz w:val="24"/>
          <w:highlight w:val="none"/>
          <w:lang w:val="zh-CN"/>
        </w:rPr>
        <w:t>宁城金根硅石矿矿山地质环境分期治理及土地复垦方案（2011.1.1-2014.8.1）</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bCs/>
          <w:color w:val="auto"/>
          <w:sz w:val="24"/>
          <w:highlight w:val="none"/>
        </w:rPr>
        <w:t>（备案文号：赤国土环分治备字[2014]228号）</w:t>
      </w:r>
      <w:r>
        <w:rPr>
          <w:rFonts w:hint="default" w:ascii="Times New Roman" w:hAnsi="Times New Roman" w:eastAsia="宋体" w:cs="Times New Roman"/>
          <w:color w:val="auto"/>
          <w:sz w:val="24"/>
          <w:szCs w:val="24"/>
          <w:highlight w:val="none"/>
        </w:rPr>
        <w:t>，以下简称“一分期”；</w:t>
      </w:r>
    </w:p>
    <w:p>
      <w:pPr>
        <w:ind w:firstLine="464"/>
        <w:rPr>
          <w:rFonts w:hint="default" w:ascii="Times New Roman" w:hAnsi="Times New Roman" w:eastAsia="宋体" w:cs="Times New Roman"/>
          <w:color w:val="auto"/>
          <w:sz w:val="24"/>
          <w:szCs w:val="22"/>
          <w:highlight w:val="none"/>
          <w:lang w:eastAsia="zh-CN"/>
        </w:rPr>
      </w:pPr>
      <w:r>
        <w:rPr>
          <w:rFonts w:hint="default" w:ascii="Times New Roman" w:hAnsi="Times New Roman" w:eastAsia="宋体" w:cs="Times New Roman"/>
          <w:color w:val="auto"/>
          <w:sz w:val="24"/>
          <w:szCs w:val="22"/>
          <w:highlight w:val="none"/>
          <w:lang w:eastAsia="zh-CN"/>
        </w:rPr>
        <w:t>矿山未编制二分期治理方案。</w:t>
      </w:r>
    </w:p>
    <w:p>
      <w:pPr>
        <w:ind w:firstLine="464"/>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月，由</w:t>
      </w:r>
      <w:r>
        <w:rPr>
          <w:rFonts w:hint="default" w:ascii="Times New Roman" w:hAnsi="Times New Roman" w:eastAsia="宋体" w:cs="Times New Roman"/>
          <w:color w:val="auto"/>
          <w:sz w:val="24"/>
          <w:szCs w:val="24"/>
          <w:highlight w:val="none"/>
          <w:lang w:eastAsia="zh-CN"/>
        </w:rPr>
        <w:t>矿权人自行</w:t>
      </w:r>
      <w:r>
        <w:rPr>
          <w:rFonts w:hint="default" w:ascii="Times New Roman" w:hAnsi="Times New Roman" w:eastAsia="宋体" w:cs="Times New Roman"/>
          <w:color w:val="auto"/>
          <w:sz w:val="24"/>
          <w:szCs w:val="24"/>
          <w:highlight w:val="none"/>
        </w:rPr>
        <w:t>编制的《内蒙古自治区宁城县金根硅石矿20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年度矿山地质环境治理计划书》，以下简称“</w:t>
      </w:r>
      <w:r>
        <w:rPr>
          <w:rFonts w:hint="default" w:ascii="Times New Roman" w:hAnsi="Times New Roman" w:eastAsia="宋体" w:cs="Times New Roman"/>
          <w:color w:val="auto"/>
          <w:sz w:val="24"/>
          <w:szCs w:val="24"/>
          <w:highlight w:val="none"/>
          <w:lang w:val="en-US" w:eastAsia="zh-CN"/>
        </w:rPr>
        <w:t>2020年度治理计划书</w:t>
      </w:r>
      <w:r>
        <w:rPr>
          <w:rFonts w:hint="default" w:ascii="Times New Roman" w:hAnsi="Times New Roman" w:eastAsia="宋体" w:cs="Times New Roman"/>
          <w:color w:val="auto"/>
          <w:sz w:val="24"/>
          <w:szCs w:val="24"/>
          <w:highlight w:val="none"/>
        </w:rPr>
        <w:t>”；</w:t>
      </w:r>
    </w:p>
    <w:p>
      <w:pPr>
        <w:ind w:firstLine="464"/>
        <w:rPr>
          <w:rFonts w:hint="default" w:ascii="Times New Roman" w:hAnsi="Times New Roman" w:eastAsia="宋体" w:cs="Times New Roman"/>
          <w:color w:val="auto"/>
          <w:sz w:val="24"/>
          <w:szCs w:val="22"/>
          <w:highlight w:val="none"/>
          <w:lang w:eastAsia="zh-CN"/>
        </w:rPr>
      </w:pPr>
      <w:r>
        <w:rPr>
          <w:rFonts w:hint="default" w:ascii="Times New Roman" w:hAnsi="Times New Roman" w:eastAsia="宋体" w:cs="Times New Roman"/>
          <w:color w:val="auto"/>
          <w:sz w:val="24"/>
          <w:szCs w:val="22"/>
          <w:highlight w:val="none"/>
          <w:lang w:eastAsia="zh-CN"/>
        </w:rPr>
        <w:t>20</w:t>
      </w:r>
      <w:r>
        <w:rPr>
          <w:rFonts w:hint="default" w:ascii="Times New Roman" w:hAnsi="Times New Roman" w:eastAsia="宋体" w:cs="Times New Roman"/>
          <w:color w:val="auto"/>
          <w:sz w:val="24"/>
          <w:szCs w:val="22"/>
          <w:highlight w:val="none"/>
          <w:lang w:val="en-US" w:eastAsia="zh-CN"/>
        </w:rPr>
        <w:t>20</w:t>
      </w:r>
      <w:r>
        <w:rPr>
          <w:rFonts w:hint="default" w:ascii="Times New Roman" w:hAnsi="Times New Roman" w:eastAsia="宋体" w:cs="Times New Roman"/>
          <w:color w:val="auto"/>
          <w:sz w:val="24"/>
          <w:szCs w:val="22"/>
          <w:highlight w:val="none"/>
          <w:lang w:eastAsia="zh-CN"/>
        </w:rPr>
        <w:t>年1</w:t>
      </w:r>
      <w:r>
        <w:rPr>
          <w:rFonts w:hint="default" w:ascii="Times New Roman" w:hAnsi="Times New Roman" w:eastAsia="宋体" w:cs="Times New Roman"/>
          <w:color w:val="auto"/>
          <w:sz w:val="24"/>
          <w:szCs w:val="22"/>
          <w:highlight w:val="none"/>
          <w:lang w:val="en-US" w:eastAsia="zh-CN"/>
        </w:rPr>
        <w:t>0</w:t>
      </w:r>
      <w:r>
        <w:rPr>
          <w:rFonts w:hint="default" w:ascii="Times New Roman" w:hAnsi="Times New Roman" w:eastAsia="宋体" w:cs="Times New Roman"/>
          <w:color w:val="auto"/>
          <w:sz w:val="24"/>
          <w:szCs w:val="22"/>
          <w:highlight w:val="none"/>
          <w:lang w:eastAsia="zh-CN"/>
        </w:rPr>
        <w:t>月，内蒙古顺源水文勘测有限责任公司编制的《内蒙古自治区宁城县金根硅石矿矿山地质环境治理方案》（备案文号：赤矿治字（</w:t>
      </w:r>
      <w:r>
        <w:rPr>
          <w:rFonts w:hint="default" w:ascii="Times New Roman" w:hAnsi="Times New Roman" w:eastAsia="宋体" w:cs="Times New Roman"/>
          <w:color w:val="auto"/>
          <w:sz w:val="24"/>
          <w:szCs w:val="24"/>
          <w:highlight w:val="none"/>
        </w:rPr>
        <w:t>2021</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4"/>
          <w:highlight w:val="none"/>
        </w:rPr>
        <w:t>011</w:t>
      </w:r>
      <w:r>
        <w:rPr>
          <w:rFonts w:hint="default" w:ascii="Times New Roman" w:hAnsi="Times New Roman" w:eastAsia="宋体" w:cs="Times New Roman"/>
          <w:color w:val="auto"/>
          <w:sz w:val="24"/>
          <w:szCs w:val="22"/>
          <w:highlight w:val="none"/>
          <w:lang w:eastAsia="zh-CN"/>
        </w:rPr>
        <w:t>号），以下简称“治理方案”</w:t>
      </w:r>
      <w:r>
        <w:rPr>
          <w:rFonts w:hint="eastAsia" w:cs="Times New Roman"/>
          <w:color w:val="auto"/>
          <w:sz w:val="24"/>
          <w:szCs w:val="22"/>
          <w:highlight w:val="none"/>
          <w:lang w:eastAsia="zh-CN"/>
        </w:rPr>
        <w:t>；</w:t>
      </w:r>
    </w:p>
    <w:p>
      <w:pPr>
        <w:ind w:firstLine="464"/>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月，由</w:t>
      </w:r>
      <w:r>
        <w:rPr>
          <w:rFonts w:hint="default" w:ascii="Times New Roman" w:hAnsi="Times New Roman" w:eastAsia="宋体" w:cs="Times New Roman"/>
          <w:color w:val="auto"/>
          <w:sz w:val="24"/>
          <w:szCs w:val="24"/>
          <w:highlight w:val="none"/>
          <w:lang w:eastAsia="zh-CN"/>
        </w:rPr>
        <w:t>矿权人自行</w:t>
      </w:r>
      <w:r>
        <w:rPr>
          <w:rFonts w:hint="default" w:ascii="Times New Roman" w:hAnsi="Times New Roman" w:eastAsia="宋体" w:cs="Times New Roman"/>
          <w:color w:val="auto"/>
          <w:sz w:val="24"/>
          <w:szCs w:val="24"/>
          <w:highlight w:val="none"/>
        </w:rPr>
        <w:t>编制的《内蒙古自治区宁城县金根硅石矿2021年度矿山地质环境治理计划书》，以下简称“</w:t>
      </w:r>
      <w:r>
        <w:rPr>
          <w:rFonts w:hint="default" w:ascii="Times New Roman" w:hAnsi="Times New Roman" w:eastAsia="宋体" w:cs="Times New Roman"/>
          <w:color w:val="auto"/>
          <w:sz w:val="24"/>
          <w:szCs w:val="24"/>
          <w:highlight w:val="none"/>
          <w:lang w:val="en-US" w:eastAsia="zh-CN"/>
        </w:rPr>
        <w:t>2021年度治理计划书</w:t>
      </w:r>
      <w:r>
        <w:rPr>
          <w:rFonts w:hint="default" w:ascii="Times New Roman" w:hAnsi="Times New Roman" w:eastAsia="宋体" w:cs="Times New Roman"/>
          <w:color w:val="auto"/>
          <w:sz w:val="24"/>
          <w:szCs w:val="24"/>
          <w:highlight w:val="none"/>
        </w:rPr>
        <w:t>”；</w:t>
      </w:r>
    </w:p>
    <w:p>
      <w:pPr>
        <w:ind w:firstLine="464"/>
        <w:rPr>
          <w:rFonts w:hint="eastAsia"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月，由</w:t>
      </w:r>
      <w:r>
        <w:rPr>
          <w:rFonts w:hint="default" w:ascii="Times New Roman" w:hAnsi="Times New Roman" w:eastAsia="宋体" w:cs="Times New Roman"/>
          <w:color w:val="auto"/>
          <w:sz w:val="24"/>
          <w:szCs w:val="24"/>
          <w:highlight w:val="none"/>
          <w:lang w:eastAsia="zh-CN"/>
        </w:rPr>
        <w:t>矿权人自行</w:t>
      </w:r>
      <w:r>
        <w:rPr>
          <w:rFonts w:hint="default" w:ascii="Times New Roman" w:hAnsi="Times New Roman" w:eastAsia="宋体" w:cs="Times New Roman"/>
          <w:color w:val="auto"/>
          <w:sz w:val="24"/>
          <w:szCs w:val="24"/>
          <w:highlight w:val="none"/>
        </w:rPr>
        <w:t>编制的《内蒙古自治区宁城县金根硅石矿202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年度矿山地质环境治理计划书》，以下简称“</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年度治理计划书</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w:t>
      </w:r>
    </w:p>
    <w:p>
      <w:pPr>
        <w:ind w:firstLine="464"/>
        <w:rPr>
          <w:rFonts w:hint="eastAsia"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月，由</w:t>
      </w:r>
      <w:r>
        <w:rPr>
          <w:rFonts w:hint="default" w:ascii="Times New Roman" w:hAnsi="Times New Roman" w:eastAsia="宋体" w:cs="Times New Roman"/>
          <w:color w:val="auto"/>
          <w:sz w:val="24"/>
          <w:szCs w:val="24"/>
          <w:highlight w:val="none"/>
          <w:lang w:eastAsia="zh-CN"/>
        </w:rPr>
        <w:t>矿权人自行</w:t>
      </w:r>
      <w:r>
        <w:rPr>
          <w:rFonts w:hint="default" w:ascii="Times New Roman" w:hAnsi="Times New Roman" w:eastAsia="宋体" w:cs="Times New Roman"/>
          <w:color w:val="auto"/>
          <w:sz w:val="24"/>
          <w:szCs w:val="24"/>
          <w:highlight w:val="none"/>
        </w:rPr>
        <w:t>编制的《内蒙古自治区宁城县金根硅石矿202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年度矿山地质环境治理计划书》，以下简称“</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年度治理计划书</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w:t>
      </w:r>
    </w:p>
    <w:p>
      <w:pPr>
        <w:pStyle w:val="3"/>
        <w:spacing w:before="120" w:after="120" w:line="360" w:lineRule="auto"/>
        <w:jc w:val="left"/>
        <w:rPr>
          <w:rFonts w:hint="default" w:ascii="Times New Roman" w:hAnsi="Times New Roman" w:eastAsia="宋体" w:cs="Times New Roman"/>
          <w:color w:val="auto"/>
          <w:sz w:val="30"/>
          <w:highlight w:val="none"/>
          <w:lang w:eastAsia="zh-CN"/>
        </w:rPr>
      </w:pPr>
      <w:bookmarkStart w:id="3" w:name="_Toc31246"/>
      <w:r>
        <w:rPr>
          <w:rFonts w:hint="default" w:ascii="Times New Roman" w:hAnsi="Times New Roman" w:eastAsia="宋体" w:cs="Times New Roman"/>
          <w:color w:val="auto"/>
          <w:sz w:val="30"/>
          <w:highlight w:val="none"/>
          <w:lang w:eastAsia="zh-CN"/>
        </w:rPr>
        <w:t>（二）治理方案规划的近期治理工程内容</w:t>
      </w:r>
      <w:bookmarkEnd w:id="3"/>
    </w:p>
    <w:p>
      <w:pPr>
        <w:ind w:firstLine="464"/>
        <w:rPr>
          <w:rFonts w:hint="default" w:ascii="Times New Roman" w:hAnsi="Times New Roman" w:eastAsia="宋体" w:cs="Times New Roman"/>
          <w:b/>
          <w:bCs/>
          <w:color w:val="auto"/>
          <w:szCs w:val="24"/>
          <w:highlight w:val="none"/>
          <w:lang w:eastAsia="zh-CN"/>
        </w:rPr>
      </w:pPr>
      <w:r>
        <w:rPr>
          <w:rFonts w:hint="default" w:ascii="Times New Roman" w:hAnsi="Times New Roman" w:eastAsia="宋体" w:cs="Times New Roman"/>
          <w:b/>
          <w:bCs/>
          <w:color w:val="auto"/>
          <w:szCs w:val="24"/>
          <w:highlight w:val="none"/>
          <w:lang w:eastAsia="zh-CN"/>
        </w:rPr>
        <w:t>一、原综治方案</w:t>
      </w:r>
    </w:p>
    <w:p>
      <w:pPr>
        <w:ind w:firstLine="464"/>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 w:val="24"/>
          <w:highlight w:val="none"/>
        </w:rPr>
        <w:t>2010年4月，辽宁省有色地质局勘查总院编制的《宁城县金根硅石矿矿山地质环境保护与治理恢复方案》（备案文号：10095号）</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eastAsia="zh-CN"/>
        </w:rPr>
        <w:t>治理方案编制时间较早，现状适用性差。</w:t>
      </w:r>
    </w:p>
    <w:p>
      <w:pPr>
        <w:ind w:firstLine="464"/>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bCs/>
          <w:color w:val="auto"/>
          <w:szCs w:val="24"/>
          <w:highlight w:val="none"/>
          <w:lang w:eastAsia="zh-CN"/>
        </w:rPr>
        <w:t>二、一分期</w:t>
      </w:r>
    </w:p>
    <w:p>
      <w:pPr>
        <w:ind w:firstLine="464"/>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Cs w:val="24"/>
          <w:highlight w:val="none"/>
        </w:rPr>
        <w:t xml:space="preserve"> </w:t>
      </w:r>
      <w:r>
        <w:rPr>
          <w:rFonts w:hint="default" w:ascii="Times New Roman" w:hAnsi="Times New Roman" w:eastAsia="宋体" w:cs="Times New Roman"/>
          <w:color w:val="auto"/>
          <w:sz w:val="24"/>
          <w:highlight w:val="none"/>
        </w:rPr>
        <w:t>2014年11月由内蒙古顺源水文勘测有限责任公司编制的《</w:t>
      </w:r>
      <w:r>
        <w:rPr>
          <w:rFonts w:hint="default" w:ascii="Times New Roman" w:hAnsi="Times New Roman" w:eastAsia="宋体" w:cs="Times New Roman"/>
          <w:color w:val="auto"/>
          <w:sz w:val="24"/>
          <w:highlight w:val="none"/>
          <w:lang w:val="zh-CN"/>
        </w:rPr>
        <w:t>宁城金根硅石矿矿山地质环境分期治理及土地复垦方案（2011.1.1-2014.8.1）</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bCs/>
          <w:color w:val="auto"/>
          <w:sz w:val="24"/>
          <w:highlight w:val="none"/>
        </w:rPr>
        <w:t>（备案文号：赤国土环分治备字[2014]228号）</w:t>
      </w:r>
      <w:r>
        <w:rPr>
          <w:rFonts w:hint="default" w:ascii="Times New Roman" w:hAnsi="Times New Roman" w:eastAsia="宋体" w:cs="Times New Roman"/>
          <w:color w:val="auto"/>
          <w:sz w:val="24"/>
          <w:szCs w:val="24"/>
          <w:highlight w:val="none"/>
          <w:lang w:eastAsia="zh-CN"/>
        </w:rPr>
        <w:t>。</w:t>
      </w:r>
    </w:p>
    <w:p>
      <w:pP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1、露天采场</w:t>
      </w:r>
    </w:p>
    <w:p>
      <w:pP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露天采场南、北边坡进行清除危岩体消除崩塌地质灾害隐患。</w:t>
      </w:r>
    </w:p>
    <w:p>
      <w:pP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2、废石场</w:t>
      </w:r>
    </w:p>
    <w:p>
      <w:pP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将废石场场地进行石方平整，修整边坡，使其边坡变缓至表土可附着坡度，坡面及场地植树。</w:t>
      </w:r>
    </w:p>
    <w:p>
      <w:pP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3、工业场地和办公生活区</w:t>
      </w:r>
    </w:p>
    <w:p>
      <w:pP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对工业场地和办公生活区周围进行植树绿化。</w:t>
      </w:r>
    </w:p>
    <w:p>
      <w:pPr>
        <w:numPr>
          <w:ilvl w:val="0"/>
          <w:numId w:val="3"/>
        </w:numPr>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拟建内排土场</w:t>
      </w:r>
    </w:p>
    <w:p>
      <w:pPr>
        <w:spacing w:after="0"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rPr>
        <w:t>取土后对场地进行平整，撒播草籽，恢复植被</w:t>
      </w:r>
      <w:r>
        <w:rPr>
          <w:rFonts w:hint="default" w:ascii="Times New Roman" w:hAnsi="Times New Roman" w:eastAsia="宋体" w:cs="Times New Roman"/>
          <w:color w:val="auto"/>
          <w:sz w:val="24"/>
          <w:szCs w:val="24"/>
          <w:highlight w:val="none"/>
          <w:lang w:eastAsia="zh-CN"/>
        </w:rPr>
        <w:t>。（见表</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eastAsia="zh-CN"/>
        </w:rPr>
        <w:t>）</w:t>
      </w:r>
    </w:p>
    <w:p>
      <w:pPr>
        <w:spacing w:after="0"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矿山完成的一分期设计的治理工程，治理成果已经于201</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日通过赤峰市</w:t>
      </w:r>
      <w:r>
        <w:rPr>
          <w:rFonts w:hint="default" w:ascii="Times New Roman" w:hAnsi="Times New Roman" w:eastAsia="宋体" w:cs="Times New Roman"/>
          <w:color w:val="auto"/>
          <w:sz w:val="24"/>
          <w:szCs w:val="24"/>
          <w:highlight w:val="none"/>
          <w:lang w:eastAsia="zh-CN"/>
        </w:rPr>
        <w:t>自然</w:t>
      </w:r>
      <w:r>
        <w:rPr>
          <w:rFonts w:hint="default" w:ascii="Times New Roman" w:hAnsi="Times New Roman" w:eastAsia="宋体" w:cs="Times New Roman"/>
          <w:color w:val="auto"/>
          <w:sz w:val="24"/>
          <w:szCs w:val="24"/>
          <w:highlight w:val="none"/>
        </w:rPr>
        <w:t>资源局组织的专家组验收，并出具了验收意见书（编号1</w:t>
      </w:r>
      <w:r>
        <w:rPr>
          <w:rFonts w:hint="default" w:ascii="Times New Roman" w:hAnsi="Times New Roman" w:eastAsia="宋体" w:cs="Times New Roman"/>
          <w:color w:val="auto"/>
          <w:sz w:val="24"/>
          <w:szCs w:val="24"/>
          <w:highlight w:val="none"/>
          <w:lang w:val="en-US" w:eastAsia="zh-CN"/>
        </w:rPr>
        <w:t>81017</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。（见照片</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eastAsia="zh-CN"/>
        </w:rPr>
        <w:t>）</w:t>
      </w:r>
    </w:p>
    <w:p>
      <w:pPr>
        <w:pStyle w:val="26"/>
        <w:ind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 xml:space="preserve">2-1 </w:t>
      </w:r>
      <w:r>
        <w:rPr>
          <w:rFonts w:hint="default" w:ascii="Times New Roman" w:hAnsi="Times New Roman" w:eastAsia="宋体" w:cs="Times New Roman"/>
          <w:b/>
          <w:bCs/>
          <w:color w:val="auto"/>
          <w:highlight w:val="none"/>
        </w:rPr>
        <w:t xml:space="preserve"> 矿山已完成工程量一览表</w:t>
      </w: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3077"/>
        <w:gridCol w:w="2604"/>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pct"/>
            <w:noWrap w:val="0"/>
            <w:vAlign w:val="center"/>
          </w:tcPr>
          <w:p>
            <w:pPr>
              <w:pStyle w:val="26"/>
              <w:keepNext w:val="0"/>
              <w:keepLines w:val="0"/>
              <w:pageBreakBefore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治理</w:t>
            </w:r>
            <w:r>
              <w:rPr>
                <w:rFonts w:hint="default" w:ascii="Times New Roman" w:hAnsi="Times New Roman" w:eastAsia="宋体" w:cs="Times New Roman"/>
                <w:color w:val="auto"/>
                <w:sz w:val="21"/>
                <w:szCs w:val="21"/>
                <w:highlight w:val="none"/>
                <w:lang w:eastAsia="zh-CN"/>
              </w:rPr>
              <w:t>区域</w:t>
            </w:r>
          </w:p>
        </w:tc>
        <w:tc>
          <w:tcPr>
            <w:tcW w:w="1804" w:type="pct"/>
            <w:noWrap w:val="0"/>
            <w:vAlign w:val="center"/>
          </w:tcPr>
          <w:p>
            <w:pPr>
              <w:pStyle w:val="26"/>
              <w:keepNext w:val="0"/>
              <w:keepLines w:val="0"/>
              <w:pageBreakBefore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设计</w:t>
            </w:r>
            <w:r>
              <w:rPr>
                <w:rFonts w:hint="default" w:ascii="Times New Roman" w:hAnsi="Times New Roman" w:eastAsia="宋体" w:cs="Times New Roman"/>
                <w:color w:val="auto"/>
                <w:sz w:val="21"/>
                <w:szCs w:val="21"/>
                <w:highlight w:val="none"/>
              </w:rPr>
              <w:t>治理内容</w:t>
            </w:r>
          </w:p>
        </w:tc>
        <w:tc>
          <w:tcPr>
            <w:tcW w:w="1527" w:type="pct"/>
            <w:noWrap w:val="0"/>
            <w:vAlign w:val="center"/>
          </w:tcPr>
          <w:p>
            <w:pPr>
              <w:pStyle w:val="26"/>
              <w:keepNext w:val="0"/>
              <w:keepLines w:val="0"/>
              <w:pageBreakBefore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完成治理工程量</w:t>
            </w:r>
          </w:p>
        </w:tc>
        <w:tc>
          <w:tcPr>
            <w:tcW w:w="758" w:type="pct"/>
            <w:noWrap w:val="0"/>
            <w:vAlign w:val="center"/>
          </w:tcPr>
          <w:p>
            <w:pPr>
              <w:pStyle w:val="26"/>
              <w:keepNext w:val="0"/>
              <w:keepLines w:val="0"/>
              <w:pageBreakBefore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露天采场</w:t>
            </w:r>
          </w:p>
        </w:tc>
        <w:tc>
          <w:tcPr>
            <w:tcW w:w="180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南、北边坡进行清除危岩体。</w:t>
            </w:r>
          </w:p>
        </w:tc>
        <w:tc>
          <w:tcPr>
            <w:tcW w:w="152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削坡</w:t>
            </w:r>
            <w:r>
              <w:rPr>
                <w:rFonts w:hint="default" w:ascii="Times New Roman" w:hAnsi="Times New Roman" w:eastAsia="宋体" w:cs="Times New Roman"/>
                <w:color w:val="auto"/>
                <w:sz w:val="21"/>
                <w:szCs w:val="21"/>
                <w:highlight w:val="none"/>
                <w:lang w:val="en-US" w:eastAsia="zh-CN"/>
              </w:rPr>
              <w:t>330m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，清除危岩体</w:t>
            </w:r>
            <w:r>
              <w:rPr>
                <w:rFonts w:hint="default" w:ascii="Times New Roman" w:hAnsi="Times New Roman" w:eastAsia="宋体" w:cs="Times New Roman"/>
                <w:color w:val="auto"/>
                <w:sz w:val="21"/>
                <w:szCs w:val="21"/>
                <w:highlight w:val="none"/>
                <w:lang w:val="en-US" w:eastAsia="zh-CN"/>
              </w:rPr>
              <w:t>310m</w:t>
            </w:r>
            <w:r>
              <w:rPr>
                <w:rFonts w:hint="default" w:ascii="Times New Roman" w:hAnsi="Times New Roman" w:eastAsia="宋体" w:cs="Times New Roman"/>
                <w:color w:val="auto"/>
                <w:sz w:val="21"/>
                <w:szCs w:val="21"/>
                <w:highlight w:val="none"/>
                <w:vertAlign w:val="superscript"/>
                <w:lang w:val="en-US" w:eastAsia="zh-CN"/>
              </w:rPr>
              <w:t>3</w:t>
            </w:r>
          </w:p>
        </w:tc>
        <w:tc>
          <w:tcPr>
            <w:tcW w:w="758"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废石场</w:t>
            </w:r>
          </w:p>
        </w:tc>
        <w:tc>
          <w:tcPr>
            <w:tcW w:w="180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石方平整，修整边坡，坡面及场地植树。</w:t>
            </w:r>
          </w:p>
        </w:tc>
        <w:tc>
          <w:tcPr>
            <w:tcW w:w="152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平整</w:t>
            </w:r>
            <w:r>
              <w:rPr>
                <w:rFonts w:hint="default" w:ascii="Times New Roman" w:hAnsi="Times New Roman" w:eastAsia="宋体" w:cs="Times New Roman"/>
                <w:color w:val="auto"/>
                <w:sz w:val="21"/>
                <w:szCs w:val="21"/>
                <w:highlight w:val="none"/>
                <w:lang w:val="en-US" w:eastAsia="zh-CN"/>
              </w:rPr>
              <w:t>720m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eastAsia="zh-CN"/>
              </w:rPr>
              <w:t>，种植油松330株</w:t>
            </w:r>
          </w:p>
        </w:tc>
        <w:tc>
          <w:tcPr>
            <w:tcW w:w="75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工业场地和办公生活区</w:t>
            </w:r>
          </w:p>
        </w:tc>
        <w:tc>
          <w:tcPr>
            <w:tcW w:w="180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周边植树绿化</w:t>
            </w:r>
          </w:p>
        </w:tc>
        <w:tc>
          <w:tcPr>
            <w:tcW w:w="152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种树</w:t>
            </w:r>
            <w:r>
              <w:rPr>
                <w:rFonts w:hint="default" w:ascii="Times New Roman" w:hAnsi="Times New Roman" w:eastAsia="宋体" w:cs="Times New Roman"/>
                <w:color w:val="auto"/>
                <w:sz w:val="21"/>
                <w:szCs w:val="21"/>
                <w:highlight w:val="none"/>
                <w:lang w:val="en-US" w:eastAsia="zh-CN"/>
              </w:rPr>
              <w:t>15株</w:t>
            </w:r>
          </w:p>
        </w:tc>
        <w:tc>
          <w:tcPr>
            <w:tcW w:w="75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拟建内排土场</w:t>
            </w:r>
          </w:p>
        </w:tc>
        <w:tc>
          <w:tcPr>
            <w:tcW w:w="180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取土后对场地进行平整，撒播草籽，恢复植被。</w:t>
            </w:r>
          </w:p>
        </w:tc>
        <w:tc>
          <w:tcPr>
            <w:tcW w:w="1527"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未启用</w:t>
            </w:r>
          </w:p>
        </w:tc>
        <w:tc>
          <w:tcPr>
            <w:tcW w:w="758"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p>
        </w:tc>
      </w:tr>
    </w:tbl>
    <w:p>
      <w:pPr>
        <w:keepNext w:val="0"/>
        <w:keepLines w:val="0"/>
        <w:pageBreakBefore w:val="0"/>
        <w:widowControl/>
        <w:tabs>
          <w:tab w:val="left" w:pos="1300"/>
        </w:tabs>
        <w:kinsoku/>
        <w:wordWrap/>
        <w:overflowPunct/>
        <w:topLinePunct w:val="0"/>
        <w:autoSpaceDE/>
        <w:autoSpaceDN/>
        <w:bidi w:val="0"/>
        <w:adjustRightInd/>
        <w:snapToGrid/>
        <w:spacing w:before="120" w:beforeLines="50" w:after="0" w:line="360" w:lineRule="auto"/>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drawing>
          <wp:inline distT="0" distB="0" distL="114300" distR="114300">
            <wp:extent cx="4083685" cy="2296795"/>
            <wp:effectExtent l="0" t="0" r="1206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4083685" cy="2296795"/>
                    </a:xfrm>
                    <a:prstGeom prst="rect">
                      <a:avLst/>
                    </a:prstGeom>
                    <a:noFill/>
                    <a:ln>
                      <a:noFill/>
                    </a:ln>
                  </pic:spPr>
                </pic:pic>
              </a:graphicData>
            </a:graphic>
          </wp:inline>
        </w:drawing>
      </w:r>
    </w:p>
    <w:p>
      <w:pPr>
        <w:ind w:firstLine="464"/>
        <w:jc w:val="center"/>
        <w:rPr>
          <w:rFonts w:hint="default" w:ascii="Times New Roman" w:hAnsi="Times New Roman" w:eastAsia="宋体" w:cs="Times New Roman"/>
          <w:b/>
          <w:bCs/>
          <w:color w:val="auto"/>
          <w:szCs w:val="24"/>
          <w:highlight w:val="none"/>
          <w:lang w:eastAsia="zh-CN"/>
        </w:rPr>
      </w:pPr>
      <w:r>
        <w:rPr>
          <w:rFonts w:hint="default" w:ascii="Times New Roman" w:hAnsi="Times New Roman" w:eastAsia="宋体" w:cs="Times New Roman"/>
          <w:b/>
          <w:bCs w:val="0"/>
          <w:color w:val="auto"/>
          <w:sz w:val="24"/>
          <w:szCs w:val="24"/>
          <w:highlight w:val="none"/>
          <w:lang w:eastAsia="zh-CN"/>
        </w:rPr>
        <w:t>照片</w:t>
      </w:r>
      <w:r>
        <w:rPr>
          <w:rFonts w:hint="default" w:ascii="Times New Roman" w:hAnsi="Times New Roman" w:eastAsia="宋体" w:cs="Times New Roman"/>
          <w:b/>
          <w:bCs w:val="0"/>
          <w:color w:val="auto"/>
          <w:sz w:val="24"/>
          <w:szCs w:val="24"/>
          <w:highlight w:val="none"/>
          <w:lang w:val="en-US" w:eastAsia="zh-CN"/>
        </w:rPr>
        <w:t>2-1  废石场治理效果</w:t>
      </w:r>
    </w:p>
    <w:p>
      <w:pPr>
        <w:tabs>
          <w:tab w:val="left" w:pos="1300"/>
        </w:tabs>
        <w:spacing w:before="120" w:beforeLines="50" w:after="0" w:line="360" w:lineRule="auto"/>
        <w:ind w:firstLine="482" w:firstLineChars="200"/>
        <w:jc w:val="both"/>
        <w:rPr>
          <w:rFonts w:hint="default" w:ascii="Times New Roman" w:hAnsi="Times New Roman" w:eastAsia="宋体" w:cs="Times New Roman"/>
          <w:b/>
          <w:bCs w:val="0"/>
          <w:color w:val="auto"/>
          <w:kern w:val="2"/>
          <w:sz w:val="24"/>
          <w:szCs w:val="20"/>
          <w:highlight w:val="none"/>
        </w:rPr>
      </w:pPr>
      <w:r>
        <w:rPr>
          <w:rFonts w:hint="default" w:ascii="Times New Roman" w:hAnsi="Times New Roman" w:eastAsia="宋体" w:cs="Times New Roman"/>
          <w:b/>
          <w:bCs w:val="0"/>
          <w:color w:val="auto"/>
          <w:kern w:val="2"/>
          <w:sz w:val="24"/>
          <w:szCs w:val="20"/>
          <w:highlight w:val="none"/>
          <w:lang w:val="en-US" w:eastAsia="zh-CN"/>
        </w:rPr>
        <w:t>三</w:t>
      </w:r>
      <w:r>
        <w:rPr>
          <w:rFonts w:hint="default" w:ascii="Times New Roman" w:hAnsi="Times New Roman" w:eastAsia="宋体" w:cs="Times New Roman"/>
          <w:b/>
          <w:bCs w:val="0"/>
          <w:color w:val="auto"/>
          <w:kern w:val="2"/>
          <w:sz w:val="24"/>
          <w:szCs w:val="20"/>
          <w:highlight w:val="none"/>
        </w:rPr>
        <w:t>、</w:t>
      </w:r>
      <w:r>
        <w:rPr>
          <w:rFonts w:hint="default" w:ascii="Times New Roman" w:hAnsi="Times New Roman" w:eastAsia="宋体" w:cs="Times New Roman"/>
          <w:b/>
          <w:bCs w:val="0"/>
          <w:color w:val="auto"/>
          <w:kern w:val="2"/>
          <w:sz w:val="24"/>
          <w:szCs w:val="20"/>
          <w:highlight w:val="none"/>
          <w:lang w:val="en-US" w:eastAsia="zh-CN"/>
        </w:rPr>
        <w:t>2020年度治理计划书</w:t>
      </w:r>
    </w:p>
    <w:p>
      <w:pPr>
        <w:widowControl w:val="0"/>
        <w:autoSpaceDE w:val="0"/>
        <w:autoSpaceDN w:val="0"/>
        <w:adjustRightInd w:val="0"/>
        <w:snapToGrid w:val="0"/>
        <w:spacing w:after="0" w:line="360" w:lineRule="auto"/>
        <w:ind w:firstLine="470" w:firstLineChars="196"/>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2020年3月，矿权人自行编制了《内蒙古自治区宁城县金根硅石矿2020年度矿山地质环境治理计划书》（以下简称“治理计划书”），治理计划书设计治理内容为二分期设计治理内容：</w:t>
      </w:r>
      <w:r>
        <w:rPr>
          <w:rFonts w:hint="default" w:ascii="Times New Roman" w:hAnsi="Times New Roman" w:eastAsia="宋体" w:cs="Times New Roman"/>
          <w:color w:val="auto"/>
          <w:szCs w:val="24"/>
          <w:highlight w:val="none"/>
          <w:lang w:eastAsia="zh-CN"/>
        </w:rPr>
        <w:t>对工业场地、办公生活区、废石场和临时取土场进行补种补植</w:t>
      </w:r>
      <w:r>
        <w:rPr>
          <w:rFonts w:hint="default" w:ascii="Times New Roman" w:hAnsi="Times New Roman" w:eastAsia="宋体" w:cs="Times New Roman"/>
          <w:color w:val="auto"/>
          <w:sz w:val="24"/>
          <w:szCs w:val="24"/>
          <w:highlight w:val="none"/>
          <w:lang w:eastAsia="zh-CN"/>
        </w:rPr>
        <w:t>。</w:t>
      </w:r>
    </w:p>
    <w:p>
      <w:pPr>
        <w:widowControl w:val="0"/>
        <w:autoSpaceDE w:val="0"/>
        <w:autoSpaceDN w:val="0"/>
        <w:adjustRightInd w:val="0"/>
        <w:snapToGrid w:val="0"/>
        <w:spacing w:after="0" w:line="360" w:lineRule="auto"/>
        <w:ind w:firstLine="470" w:firstLineChars="196"/>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赤峰市自然资源局组织核查组对其执行情况进行核查，经现场核查，矿山已完成“2020年度治理计划书”设计的治理内容，并出具《治理工程现场核查意见书》。</w:t>
      </w:r>
    </w:p>
    <w:p>
      <w:pPr>
        <w:tabs>
          <w:tab w:val="left" w:pos="1300"/>
        </w:tabs>
        <w:spacing w:before="120" w:beforeLines="50" w:after="0" w:line="360" w:lineRule="auto"/>
        <w:ind w:firstLine="482" w:firstLineChars="200"/>
        <w:jc w:val="both"/>
        <w:rPr>
          <w:rFonts w:hint="default" w:ascii="Times New Roman" w:hAnsi="Times New Roman" w:eastAsia="宋体" w:cs="Times New Roman"/>
          <w:b/>
          <w:bCs w:val="0"/>
          <w:color w:val="auto"/>
          <w:kern w:val="2"/>
          <w:sz w:val="24"/>
          <w:szCs w:val="20"/>
          <w:highlight w:val="none"/>
        </w:rPr>
      </w:pPr>
      <w:r>
        <w:rPr>
          <w:rFonts w:hint="default" w:ascii="Times New Roman" w:hAnsi="Times New Roman" w:eastAsia="宋体" w:cs="Times New Roman"/>
          <w:b/>
          <w:bCs w:val="0"/>
          <w:color w:val="auto"/>
          <w:kern w:val="2"/>
          <w:sz w:val="24"/>
          <w:szCs w:val="20"/>
          <w:highlight w:val="none"/>
          <w:lang w:val="en-US" w:eastAsia="zh-CN"/>
        </w:rPr>
        <w:t>四</w:t>
      </w:r>
      <w:r>
        <w:rPr>
          <w:rFonts w:hint="default" w:ascii="Times New Roman" w:hAnsi="Times New Roman" w:eastAsia="宋体" w:cs="Times New Roman"/>
          <w:b/>
          <w:bCs w:val="0"/>
          <w:color w:val="auto"/>
          <w:kern w:val="2"/>
          <w:sz w:val="24"/>
          <w:szCs w:val="20"/>
          <w:highlight w:val="none"/>
        </w:rPr>
        <w:t>、</w:t>
      </w:r>
      <w:r>
        <w:rPr>
          <w:rFonts w:hint="default" w:ascii="Times New Roman" w:hAnsi="Times New Roman" w:eastAsia="宋体" w:cs="Times New Roman"/>
          <w:b/>
          <w:bCs w:val="0"/>
          <w:color w:val="auto"/>
          <w:kern w:val="2"/>
          <w:sz w:val="24"/>
          <w:szCs w:val="20"/>
          <w:highlight w:val="none"/>
          <w:lang w:val="en-US" w:eastAsia="zh-CN"/>
        </w:rPr>
        <w:t>2021年度治理计划书</w:t>
      </w:r>
    </w:p>
    <w:p>
      <w:pPr>
        <w:widowControl w:val="0"/>
        <w:autoSpaceDE w:val="0"/>
        <w:autoSpaceDN w:val="0"/>
        <w:adjustRightInd w:val="0"/>
        <w:snapToGrid w:val="0"/>
        <w:spacing w:after="0" w:line="360" w:lineRule="auto"/>
        <w:ind w:firstLine="470" w:firstLineChars="196"/>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2021年3月，矿权人自行编制了《内蒙古自治区宁城县金根硅石矿2021年度矿山地质环境治理计划书》（以下简称“治理计划书”），治理计划书设计治理内容为：对露天采场危岩体清理、完善废石场、工业场地及办公生活区的植被恢复工程</w:t>
      </w:r>
      <w:r>
        <w:rPr>
          <w:rFonts w:hint="default" w:ascii="Times New Roman" w:hAnsi="Times New Roman" w:eastAsia="宋体" w:cs="Times New Roman"/>
          <w:color w:val="auto"/>
          <w:sz w:val="24"/>
          <w:szCs w:val="24"/>
          <w:highlight w:val="none"/>
          <w:lang w:eastAsia="zh-CN"/>
        </w:rPr>
        <w:t>。</w:t>
      </w:r>
    </w:p>
    <w:p>
      <w:pPr>
        <w:widowControl w:val="0"/>
        <w:autoSpaceDE w:val="0"/>
        <w:autoSpaceDN w:val="0"/>
        <w:adjustRightInd w:val="0"/>
        <w:snapToGrid w:val="0"/>
        <w:spacing w:after="0" w:line="360" w:lineRule="auto"/>
        <w:ind w:firstLine="470" w:firstLineChars="196"/>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2021年年度治理计划书治理内容暂未实施，未进行现场核查，本年度进行完善。</w:t>
      </w:r>
    </w:p>
    <w:p>
      <w:pPr>
        <w:widowControl w:val="0"/>
        <w:autoSpaceDE w:val="0"/>
        <w:autoSpaceDN w:val="0"/>
        <w:adjustRightInd w:val="0"/>
        <w:snapToGrid w:val="0"/>
        <w:spacing w:after="0" w:line="360" w:lineRule="auto"/>
        <w:ind w:firstLine="472" w:firstLineChars="196"/>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五、治理方案首期</w:t>
      </w:r>
    </w:p>
    <w:p>
      <w:pPr>
        <w:widowControl w:val="0"/>
        <w:autoSpaceDE w:val="0"/>
        <w:autoSpaceDN w:val="0"/>
        <w:adjustRightInd w:val="0"/>
        <w:snapToGrid w:val="0"/>
        <w:spacing w:after="0" w:line="360" w:lineRule="auto"/>
        <w:ind w:firstLine="470" w:firstLineChars="196"/>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szCs w:val="24"/>
          <w:highlight w:val="none"/>
          <w:lang w:val="en-US" w:eastAsia="zh-CN"/>
        </w:rPr>
        <w:t>2020年10月，内蒙古顺源水文勘测有限责任公司编制的《内蒙古自治区宁城县金根硅石矿矿山地质环境治理方案》（备案文号：赤矿治字（2021）011号）。治理方案首期设计对露天采场设置网围栏、警示牌，对露天采场进行监测，对边坡危岩体进行清理；</w:t>
      </w:r>
      <w:r>
        <w:rPr>
          <w:rFonts w:hint="default" w:ascii="Times New Roman" w:hAnsi="Times New Roman" w:eastAsia="宋体" w:cs="Times New Roman"/>
          <w:color w:val="auto"/>
          <w:sz w:val="24"/>
          <w:highlight w:val="none"/>
          <w:lang w:eastAsia="zh-CN"/>
        </w:rPr>
        <w:t>首期</w:t>
      </w:r>
      <w:r>
        <w:rPr>
          <w:rFonts w:hint="default" w:ascii="Times New Roman" w:hAnsi="Times New Roman" w:eastAsia="宋体" w:cs="Times New Roman"/>
          <w:color w:val="auto"/>
          <w:sz w:val="24"/>
          <w:highlight w:val="none"/>
        </w:rPr>
        <w:t>对工业场地边坡进行整形，覆土、撒播草籽、管护</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对堆存表土撒播草籽进行保护</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bCs/>
          <w:color w:val="auto"/>
          <w:sz w:val="24"/>
          <w:highlight w:val="none"/>
        </w:rPr>
        <w:t>对残山废石作为回填、垫坡整形物源进行清运，清运后场地全面进行覆土、复垦为林地、管护</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color w:val="auto"/>
          <w:sz w:val="24"/>
          <w:highlight w:val="none"/>
        </w:rPr>
        <w:t>对前期治理验收区域进行补植</w:t>
      </w:r>
      <w:r>
        <w:rPr>
          <w:rFonts w:hint="default" w:ascii="Times New Roman" w:hAnsi="Times New Roman" w:eastAsia="宋体" w:cs="Times New Roman"/>
          <w:color w:val="auto"/>
          <w:sz w:val="24"/>
          <w:highlight w:val="none"/>
          <w:lang w:eastAsia="zh-CN"/>
        </w:rPr>
        <w:t>。其中第二年度（</w:t>
      </w:r>
      <w:r>
        <w:rPr>
          <w:rFonts w:hint="default" w:ascii="Times New Roman" w:hAnsi="Times New Roman" w:eastAsia="宋体" w:cs="Times New Roman"/>
          <w:color w:val="auto"/>
          <w:sz w:val="24"/>
          <w:highlight w:val="none"/>
          <w:lang w:val="en-US" w:eastAsia="zh-CN"/>
        </w:rPr>
        <w:t>202</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年度</w:t>
      </w:r>
      <w:r>
        <w:rPr>
          <w:rFonts w:hint="default" w:ascii="Times New Roman" w:hAnsi="Times New Roman" w:eastAsia="宋体" w:cs="Times New Roman"/>
          <w:color w:val="auto"/>
          <w:sz w:val="24"/>
          <w:highlight w:val="none"/>
          <w:lang w:eastAsia="zh-CN"/>
        </w:rPr>
        <w:t>）设计治理工程为：对露天采场清理危岩体，对工业场地边坡进行垫坡整形、覆土、种草。</w:t>
      </w:r>
    </w:p>
    <w:p>
      <w:pPr>
        <w:ind w:firstLine="482"/>
        <w:jc w:val="center"/>
        <w:rPr>
          <w:rFonts w:hint="eastAsia" w:ascii="宋体" w:hAnsi="宋体" w:cs="宋体"/>
          <w:bCs/>
          <w:color w:val="auto"/>
          <w:sz w:val="24"/>
          <w:highlight w:val="none"/>
        </w:rPr>
      </w:pPr>
      <w:r>
        <w:rPr>
          <w:rFonts w:hint="eastAsia" w:ascii="宋体" w:hAnsi="宋体" w:cs="宋体"/>
          <w:b/>
          <w:color w:val="auto"/>
          <w:sz w:val="24"/>
          <w:highlight w:val="none"/>
        </w:rPr>
        <w:t>表</w:t>
      </w: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 xml:space="preserve">  矿山环境近期治理年度实施计划安排表</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64"/>
        <w:gridCol w:w="2192"/>
        <w:gridCol w:w="1199"/>
        <w:gridCol w:w="2194"/>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blHeader/>
        </w:trPr>
        <w:tc>
          <w:tcPr>
            <w:tcW w:w="759" w:type="pc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年份</w:t>
            </w:r>
          </w:p>
        </w:tc>
        <w:tc>
          <w:tcPr>
            <w:tcW w:w="1315" w:type="pc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治理场地名称</w:t>
            </w:r>
          </w:p>
        </w:tc>
        <w:tc>
          <w:tcPr>
            <w:tcW w:w="719" w:type="pc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面积（m</w:t>
            </w:r>
            <w:r>
              <w:rPr>
                <w:rFonts w:hint="eastAsia" w:ascii="宋体" w:hAnsi="宋体" w:cs="宋体"/>
                <w:color w:val="auto"/>
                <w:kern w:val="0"/>
                <w:sz w:val="21"/>
                <w:szCs w:val="21"/>
                <w:highlight w:val="none"/>
                <w:vertAlign w:val="superscript"/>
                <w:lang w:bidi="ar"/>
              </w:rPr>
              <w:t>2</w:t>
            </w:r>
            <w:r>
              <w:rPr>
                <w:rFonts w:hint="eastAsia" w:ascii="宋体" w:hAnsi="宋体" w:cs="宋体"/>
                <w:color w:val="auto"/>
                <w:kern w:val="0"/>
                <w:sz w:val="21"/>
                <w:szCs w:val="21"/>
                <w:highlight w:val="none"/>
                <w:lang w:bidi="ar"/>
              </w:rPr>
              <w:t>）</w:t>
            </w:r>
          </w:p>
        </w:tc>
        <w:tc>
          <w:tcPr>
            <w:tcW w:w="1316" w:type="pc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主要措施</w:t>
            </w:r>
          </w:p>
        </w:tc>
        <w:tc>
          <w:tcPr>
            <w:tcW w:w="889" w:type="pc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主要工程量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exact"/>
        </w:trPr>
        <w:tc>
          <w:tcPr>
            <w:tcW w:w="759" w:type="pc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2020.7.1-</w:t>
            </w:r>
          </w:p>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2021.6.30</w:t>
            </w:r>
          </w:p>
        </w:tc>
        <w:tc>
          <w:tcPr>
            <w:tcW w:w="4240" w:type="pct"/>
            <w:gridSpan w:val="4"/>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补充完善“一分期”治理工程：</w:t>
            </w:r>
          </w:p>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对已验收区域植被进行补植、管护。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restart"/>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2021.7.1</w:t>
            </w:r>
          </w:p>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w:t>
            </w:r>
          </w:p>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2022.6.30</w:t>
            </w:r>
          </w:p>
        </w:tc>
        <w:tc>
          <w:tcPr>
            <w:tcW w:w="1315" w:type="pct"/>
            <w:vMerge w:val="restar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露天采场</w:t>
            </w:r>
          </w:p>
        </w:tc>
        <w:tc>
          <w:tcPr>
            <w:tcW w:w="719" w:type="pct"/>
            <w:vMerge w:val="restar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14387</w:t>
            </w:r>
          </w:p>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（复垦面积</w:t>
            </w:r>
            <w:r>
              <w:rPr>
                <w:rFonts w:hint="eastAsia" w:ascii="宋体" w:hAnsi="宋体" w:cs="宋体"/>
                <w:color w:val="auto"/>
                <w:sz w:val="21"/>
                <w:szCs w:val="21"/>
                <w:highlight w:val="none"/>
                <w:lang w:val="en-US" w:eastAsia="zh-CN"/>
              </w:rPr>
              <w:t>2205</w:t>
            </w:r>
            <w:r>
              <w:rPr>
                <w:rFonts w:hint="eastAsia" w:ascii="宋体" w:hAnsi="宋体" w:cs="宋体"/>
                <w:color w:val="auto"/>
                <w:sz w:val="21"/>
                <w:szCs w:val="21"/>
                <w:highlight w:val="none"/>
              </w:rPr>
              <w:t>m</w:t>
            </w:r>
            <w:r>
              <w:rPr>
                <w:rFonts w:hint="eastAsia" w:ascii="宋体" w:hAnsi="宋体" w:cs="宋体"/>
                <w:color w:val="auto"/>
                <w:sz w:val="21"/>
                <w:szCs w:val="21"/>
                <w:highlight w:val="none"/>
                <w:vertAlign w:val="superscript"/>
              </w:rPr>
              <w:t>3</w:t>
            </w:r>
            <w:r>
              <w:rPr>
                <w:rFonts w:hint="eastAsia" w:ascii="宋体" w:hAnsi="宋体" w:cs="宋体"/>
                <w:color w:val="auto"/>
                <w:sz w:val="21"/>
                <w:szCs w:val="21"/>
                <w:highlight w:val="none"/>
                <w:lang w:eastAsia="zh-CN"/>
              </w:rPr>
              <w:t>）</w:t>
            </w:r>
          </w:p>
        </w:tc>
        <w:tc>
          <w:tcPr>
            <w:tcW w:w="1316"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警示牌（块）</w:t>
            </w:r>
          </w:p>
        </w:tc>
        <w:tc>
          <w:tcPr>
            <w:tcW w:w="88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rPr>
                <w:rFonts w:hint="eastAsia" w:ascii="宋体" w:hAnsi="宋体" w:cs="宋体"/>
                <w:color w:val="auto"/>
                <w:sz w:val="21"/>
                <w:szCs w:val="21"/>
                <w:highlight w:val="none"/>
              </w:rPr>
            </w:pPr>
          </w:p>
        </w:tc>
        <w:tc>
          <w:tcPr>
            <w:tcW w:w="1315" w:type="pct"/>
            <w:vMerge w:val="continue"/>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p>
        </w:tc>
        <w:tc>
          <w:tcPr>
            <w:tcW w:w="719" w:type="pct"/>
            <w:vMerge w:val="continue"/>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p>
        </w:tc>
        <w:tc>
          <w:tcPr>
            <w:tcW w:w="1316"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网围栏（m）</w:t>
            </w:r>
          </w:p>
        </w:tc>
        <w:tc>
          <w:tcPr>
            <w:tcW w:w="88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rPr>
                <w:rFonts w:hint="eastAsia" w:ascii="宋体" w:hAnsi="宋体" w:cs="宋体"/>
                <w:color w:val="auto"/>
                <w:sz w:val="21"/>
                <w:szCs w:val="21"/>
                <w:highlight w:val="none"/>
              </w:rPr>
            </w:pPr>
          </w:p>
        </w:tc>
        <w:tc>
          <w:tcPr>
            <w:tcW w:w="1315" w:type="pct"/>
            <w:vMerge w:val="continue"/>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p>
        </w:tc>
        <w:tc>
          <w:tcPr>
            <w:tcW w:w="719" w:type="pct"/>
            <w:vMerge w:val="continue"/>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p>
        </w:tc>
        <w:tc>
          <w:tcPr>
            <w:tcW w:w="1316"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危岩体清理（m</w:t>
            </w:r>
            <w:r>
              <w:rPr>
                <w:rFonts w:hint="eastAsia" w:ascii="宋体" w:hAnsi="宋体" w:cs="宋体"/>
                <w:color w:val="auto"/>
                <w:sz w:val="21"/>
                <w:szCs w:val="21"/>
                <w:highlight w:val="none"/>
                <w:vertAlign w:val="superscript"/>
              </w:rPr>
              <w:t>3</w:t>
            </w:r>
            <w:r>
              <w:rPr>
                <w:rFonts w:hint="eastAsia" w:ascii="宋体" w:hAnsi="宋体" w:cs="宋体"/>
                <w:color w:val="auto"/>
                <w:sz w:val="21"/>
                <w:szCs w:val="21"/>
                <w:highlight w:val="none"/>
              </w:rPr>
              <w:t>）</w:t>
            </w:r>
          </w:p>
        </w:tc>
        <w:tc>
          <w:tcPr>
            <w:tcW w:w="88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127.06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rPr>
                <w:rFonts w:hint="eastAsia" w:ascii="宋体" w:hAnsi="宋体" w:cs="宋体"/>
                <w:color w:val="auto"/>
                <w:sz w:val="21"/>
                <w:szCs w:val="21"/>
                <w:highlight w:val="none"/>
              </w:rPr>
            </w:pPr>
          </w:p>
        </w:tc>
        <w:tc>
          <w:tcPr>
            <w:tcW w:w="1315" w:type="pct"/>
            <w:vMerge w:val="continue"/>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p>
        </w:tc>
        <w:tc>
          <w:tcPr>
            <w:tcW w:w="719" w:type="pct"/>
            <w:vMerge w:val="continue"/>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p>
        </w:tc>
        <w:tc>
          <w:tcPr>
            <w:tcW w:w="1316"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覆土（m</w:t>
            </w:r>
            <w:r>
              <w:rPr>
                <w:rFonts w:hint="eastAsia" w:ascii="宋体" w:hAnsi="宋体" w:cs="宋体"/>
                <w:color w:val="auto"/>
                <w:sz w:val="21"/>
                <w:szCs w:val="21"/>
                <w:highlight w:val="none"/>
                <w:vertAlign w:val="superscript"/>
              </w:rPr>
              <w:t>3</w:t>
            </w:r>
            <w:r>
              <w:rPr>
                <w:rFonts w:hint="eastAsia" w:ascii="宋体" w:hAnsi="宋体" w:cs="宋体"/>
                <w:color w:val="auto"/>
                <w:sz w:val="21"/>
                <w:szCs w:val="21"/>
                <w:highlight w:val="none"/>
              </w:rPr>
              <w:t>）</w:t>
            </w:r>
          </w:p>
        </w:tc>
        <w:tc>
          <w:tcPr>
            <w:tcW w:w="88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rPr>
                <w:rFonts w:hint="eastAsia" w:ascii="宋体" w:hAnsi="宋体" w:cs="宋体"/>
                <w:color w:val="auto"/>
                <w:sz w:val="21"/>
                <w:szCs w:val="21"/>
                <w:highlight w:val="none"/>
              </w:rPr>
            </w:pPr>
          </w:p>
        </w:tc>
        <w:tc>
          <w:tcPr>
            <w:tcW w:w="1315" w:type="pct"/>
            <w:vMerge w:val="continue"/>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p>
        </w:tc>
        <w:tc>
          <w:tcPr>
            <w:tcW w:w="719" w:type="pct"/>
            <w:vMerge w:val="continue"/>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p>
        </w:tc>
        <w:tc>
          <w:tcPr>
            <w:tcW w:w="1316"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撒播羊草草籽（m</w:t>
            </w:r>
            <w:r>
              <w:rPr>
                <w:rFonts w:hint="eastAsia" w:ascii="宋体" w:hAnsi="宋体" w:cs="宋体"/>
                <w:color w:val="auto"/>
                <w:sz w:val="21"/>
                <w:szCs w:val="21"/>
                <w:highlight w:val="none"/>
                <w:vertAlign w:val="superscript"/>
              </w:rPr>
              <w:t>2</w:t>
            </w:r>
            <w:r>
              <w:rPr>
                <w:rFonts w:hint="eastAsia" w:ascii="宋体" w:hAnsi="宋体" w:cs="宋体"/>
                <w:color w:val="auto"/>
                <w:sz w:val="21"/>
                <w:szCs w:val="21"/>
                <w:highlight w:val="none"/>
              </w:rPr>
              <w:t>）</w:t>
            </w:r>
          </w:p>
        </w:tc>
        <w:tc>
          <w:tcPr>
            <w:tcW w:w="88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2207.35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rPr>
                <w:rFonts w:hint="eastAsia" w:ascii="宋体" w:hAnsi="宋体" w:cs="宋体"/>
                <w:color w:val="auto"/>
                <w:sz w:val="21"/>
                <w:szCs w:val="21"/>
                <w:highlight w:val="none"/>
              </w:rPr>
            </w:pPr>
          </w:p>
        </w:tc>
        <w:tc>
          <w:tcPr>
            <w:tcW w:w="1315" w:type="pct"/>
            <w:vMerge w:val="continue"/>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p>
        </w:tc>
        <w:tc>
          <w:tcPr>
            <w:tcW w:w="719" w:type="pct"/>
            <w:vMerge w:val="continue"/>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p>
        </w:tc>
        <w:tc>
          <w:tcPr>
            <w:tcW w:w="1316"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种植油松（株）</w:t>
            </w:r>
          </w:p>
        </w:tc>
        <w:tc>
          <w:tcPr>
            <w:tcW w:w="88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rPr>
                <w:rFonts w:hint="eastAsia" w:ascii="宋体" w:hAnsi="宋体" w:cs="宋体"/>
                <w:color w:val="auto"/>
                <w:sz w:val="21"/>
                <w:szCs w:val="21"/>
                <w:highlight w:val="none"/>
              </w:rPr>
            </w:pPr>
          </w:p>
        </w:tc>
        <w:tc>
          <w:tcPr>
            <w:tcW w:w="4240" w:type="pct"/>
            <w:gridSpan w:val="4"/>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继续补充完善前期治理工程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rPr>
                <w:rFonts w:hint="eastAsia" w:ascii="宋体" w:hAnsi="宋体" w:cs="宋体"/>
                <w:color w:val="auto"/>
                <w:sz w:val="21"/>
                <w:szCs w:val="21"/>
                <w:highlight w:val="none"/>
              </w:rPr>
            </w:pPr>
          </w:p>
        </w:tc>
        <w:tc>
          <w:tcPr>
            <w:tcW w:w="4240" w:type="pct"/>
            <w:gridSpan w:val="4"/>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全年进行地质灾害监测及土地资源监测，并做好监测记录。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restart"/>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2022.7.1</w:t>
            </w:r>
          </w:p>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w:t>
            </w:r>
          </w:p>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2023.6.30</w:t>
            </w:r>
          </w:p>
        </w:tc>
        <w:tc>
          <w:tcPr>
            <w:tcW w:w="1315" w:type="pct"/>
            <w:vMerge w:val="restar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工业场地（部分）</w:t>
            </w:r>
          </w:p>
        </w:tc>
        <w:tc>
          <w:tcPr>
            <w:tcW w:w="719" w:type="pct"/>
            <w:vMerge w:val="restar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158</w:t>
            </w:r>
          </w:p>
        </w:tc>
        <w:tc>
          <w:tcPr>
            <w:tcW w:w="1316"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垫坡整形（m</w:t>
            </w:r>
            <w:r>
              <w:rPr>
                <w:rFonts w:hint="eastAsia" w:ascii="宋体" w:hAnsi="宋体" w:cs="宋体"/>
                <w:color w:val="auto"/>
                <w:sz w:val="21"/>
                <w:szCs w:val="21"/>
                <w:highlight w:val="none"/>
                <w:vertAlign w:val="superscript"/>
              </w:rPr>
              <w:t>3</w:t>
            </w:r>
            <w:r>
              <w:rPr>
                <w:rFonts w:hint="eastAsia" w:ascii="宋体" w:hAnsi="宋体" w:cs="宋体"/>
                <w:color w:val="auto"/>
                <w:sz w:val="21"/>
                <w:szCs w:val="21"/>
                <w:highlight w:val="none"/>
              </w:rPr>
              <w:t>）</w:t>
            </w:r>
          </w:p>
        </w:tc>
        <w:tc>
          <w:tcPr>
            <w:tcW w:w="88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rPr>
                <w:rFonts w:hint="eastAsia" w:ascii="宋体" w:hAnsi="宋体" w:cs="宋体"/>
                <w:color w:val="auto"/>
                <w:sz w:val="21"/>
                <w:szCs w:val="21"/>
                <w:highlight w:val="none"/>
              </w:rPr>
            </w:pPr>
          </w:p>
        </w:tc>
        <w:tc>
          <w:tcPr>
            <w:tcW w:w="1315" w:type="pct"/>
            <w:vMerge w:val="continue"/>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p>
        </w:tc>
        <w:tc>
          <w:tcPr>
            <w:tcW w:w="719" w:type="pct"/>
            <w:vMerge w:val="continue"/>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p>
        </w:tc>
        <w:tc>
          <w:tcPr>
            <w:tcW w:w="1316"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覆土</w:t>
            </w:r>
          </w:p>
        </w:tc>
        <w:tc>
          <w:tcPr>
            <w:tcW w:w="88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rPr>
                <w:rFonts w:hint="eastAsia" w:ascii="宋体" w:hAnsi="宋体" w:cs="宋体"/>
                <w:color w:val="auto"/>
                <w:sz w:val="21"/>
                <w:szCs w:val="21"/>
                <w:highlight w:val="none"/>
              </w:rPr>
            </w:pPr>
          </w:p>
        </w:tc>
        <w:tc>
          <w:tcPr>
            <w:tcW w:w="1315" w:type="pct"/>
            <w:vMerge w:val="continue"/>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p>
        </w:tc>
        <w:tc>
          <w:tcPr>
            <w:tcW w:w="719" w:type="pct"/>
            <w:vMerge w:val="continue"/>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p>
        </w:tc>
        <w:tc>
          <w:tcPr>
            <w:tcW w:w="1316"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撒播羊草草籽（m</w:t>
            </w:r>
            <w:r>
              <w:rPr>
                <w:rFonts w:hint="eastAsia" w:ascii="宋体" w:hAnsi="宋体" w:cs="宋体"/>
                <w:color w:val="auto"/>
                <w:sz w:val="21"/>
                <w:szCs w:val="21"/>
                <w:highlight w:val="none"/>
                <w:vertAlign w:val="superscript"/>
              </w:rPr>
              <w:t>2</w:t>
            </w:r>
            <w:r>
              <w:rPr>
                <w:rFonts w:hint="eastAsia" w:ascii="宋体" w:hAnsi="宋体" w:cs="宋体"/>
                <w:color w:val="auto"/>
                <w:sz w:val="21"/>
                <w:szCs w:val="21"/>
                <w:highlight w:val="none"/>
              </w:rPr>
              <w:t>）</w:t>
            </w:r>
          </w:p>
        </w:tc>
        <w:tc>
          <w:tcPr>
            <w:tcW w:w="88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rPr>
                <w:rFonts w:hint="eastAsia" w:ascii="宋体" w:hAnsi="宋体" w:cs="宋体"/>
                <w:color w:val="auto"/>
                <w:sz w:val="21"/>
                <w:szCs w:val="21"/>
                <w:highlight w:val="none"/>
              </w:rPr>
            </w:pPr>
          </w:p>
        </w:tc>
        <w:tc>
          <w:tcPr>
            <w:tcW w:w="1315"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露天采场</w:t>
            </w:r>
          </w:p>
        </w:tc>
        <w:tc>
          <w:tcPr>
            <w:tcW w:w="71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w:t>
            </w:r>
          </w:p>
        </w:tc>
        <w:tc>
          <w:tcPr>
            <w:tcW w:w="1316"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危岩体清理（m</w:t>
            </w:r>
            <w:r>
              <w:rPr>
                <w:rFonts w:hint="eastAsia" w:ascii="宋体" w:hAnsi="宋体" w:cs="宋体"/>
                <w:color w:val="auto"/>
                <w:sz w:val="21"/>
                <w:szCs w:val="21"/>
                <w:highlight w:val="none"/>
                <w:vertAlign w:val="superscript"/>
              </w:rPr>
              <w:t>3</w:t>
            </w:r>
            <w:r>
              <w:rPr>
                <w:rFonts w:hint="eastAsia" w:ascii="宋体" w:hAnsi="宋体" w:cs="宋体"/>
                <w:color w:val="auto"/>
                <w:sz w:val="21"/>
                <w:szCs w:val="21"/>
                <w:highlight w:val="none"/>
              </w:rPr>
              <w:t>）</w:t>
            </w:r>
          </w:p>
        </w:tc>
        <w:tc>
          <w:tcPr>
            <w:tcW w:w="88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127.06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rPr>
                <w:rFonts w:hint="eastAsia" w:ascii="宋体" w:hAnsi="宋体" w:cs="宋体"/>
                <w:color w:val="auto"/>
                <w:sz w:val="21"/>
                <w:szCs w:val="21"/>
                <w:highlight w:val="none"/>
              </w:rPr>
            </w:pPr>
          </w:p>
        </w:tc>
        <w:tc>
          <w:tcPr>
            <w:tcW w:w="4240" w:type="pct"/>
            <w:gridSpan w:val="4"/>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全年进行地质灾害监测及土地资源监测，并做好监测记录。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restart"/>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2023.7.1-</w:t>
            </w:r>
          </w:p>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2024.6.30</w:t>
            </w:r>
          </w:p>
        </w:tc>
        <w:tc>
          <w:tcPr>
            <w:tcW w:w="1315"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拟建内排土场</w:t>
            </w:r>
          </w:p>
        </w:tc>
        <w:tc>
          <w:tcPr>
            <w:tcW w:w="71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撒播羊草草籽（m</w:t>
            </w:r>
            <w:r>
              <w:rPr>
                <w:rFonts w:hint="eastAsia" w:ascii="宋体" w:hAnsi="宋体" w:cs="宋体"/>
                <w:color w:val="auto"/>
                <w:sz w:val="21"/>
                <w:szCs w:val="21"/>
                <w:highlight w:val="none"/>
                <w:vertAlign w:val="superscript"/>
              </w:rPr>
              <w:t>2</w:t>
            </w:r>
            <w:r>
              <w:rPr>
                <w:rFonts w:hint="eastAsia" w:ascii="宋体" w:hAnsi="宋体" w:cs="宋体"/>
                <w:color w:val="auto"/>
                <w:sz w:val="21"/>
                <w:szCs w:val="21"/>
                <w:highlight w:val="none"/>
              </w:rPr>
              <w:t>）</w:t>
            </w:r>
          </w:p>
        </w:tc>
        <w:tc>
          <w:tcPr>
            <w:tcW w:w="1316" w:type="pc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撒播羊草草籽</w:t>
            </w:r>
            <w:r>
              <w:rPr>
                <w:rFonts w:hint="eastAsia" w:ascii="宋体" w:hAnsi="宋体" w:cs="宋体"/>
                <w:color w:val="auto"/>
                <w:kern w:val="0"/>
                <w:sz w:val="21"/>
                <w:szCs w:val="21"/>
                <w:highlight w:val="none"/>
                <w:lang w:bidi="ar"/>
              </w:rPr>
              <w:t>（m</w:t>
            </w:r>
            <w:r>
              <w:rPr>
                <w:rFonts w:hint="eastAsia" w:ascii="宋体" w:hAnsi="宋体" w:cs="宋体"/>
                <w:color w:val="auto"/>
                <w:kern w:val="0"/>
                <w:sz w:val="21"/>
                <w:szCs w:val="21"/>
                <w:highlight w:val="none"/>
                <w:vertAlign w:val="superscript"/>
                <w:lang w:bidi="ar"/>
              </w:rPr>
              <w:t>2</w:t>
            </w:r>
            <w:r>
              <w:rPr>
                <w:rFonts w:hint="eastAsia" w:ascii="宋体" w:hAnsi="宋体" w:cs="宋体"/>
                <w:color w:val="auto"/>
                <w:kern w:val="0"/>
                <w:sz w:val="21"/>
                <w:szCs w:val="21"/>
                <w:highlight w:val="none"/>
                <w:lang w:bidi="ar"/>
              </w:rPr>
              <w:t>）</w:t>
            </w:r>
          </w:p>
        </w:tc>
        <w:tc>
          <w:tcPr>
            <w:tcW w:w="889" w:type="pc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kern w:val="0"/>
                <w:sz w:val="21"/>
                <w:szCs w:val="21"/>
                <w:highlight w:val="none"/>
                <w:lang w:bidi="ar"/>
              </w:rPr>
            </w:pPr>
            <w:r>
              <w:rPr>
                <w:rFonts w:hint="eastAsia" w:ascii="宋体" w:hAnsi="宋体" w:cs="宋体"/>
                <w:color w:val="auto"/>
                <w:sz w:val="21"/>
                <w:szCs w:val="21"/>
                <w:highlight w:val="none"/>
              </w:rPr>
              <w:t>3393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kern w:val="0"/>
                <w:sz w:val="21"/>
                <w:szCs w:val="21"/>
                <w:highlight w:val="none"/>
                <w:lang w:bidi="ar"/>
              </w:rPr>
            </w:pPr>
          </w:p>
        </w:tc>
        <w:tc>
          <w:tcPr>
            <w:tcW w:w="1315"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露天采场</w:t>
            </w:r>
          </w:p>
        </w:tc>
        <w:tc>
          <w:tcPr>
            <w:tcW w:w="71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w:t>
            </w:r>
          </w:p>
        </w:tc>
        <w:tc>
          <w:tcPr>
            <w:tcW w:w="1316"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危岩体清理（m</w:t>
            </w:r>
            <w:r>
              <w:rPr>
                <w:rFonts w:hint="eastAsia" w:ascii="宋体" w:hAnsi="宋体" w:cs="宋体"/>
                <w:color w:val="auto"/>
                <w:sz w:val="21"/>
                <w:szCs w:val="21"/>
                <w:highlight w:val="none"/>
                <w:vertAlign w:val="superscript"/>
              </w:rPr>
              <w:t>3</w:t>
            </w:r>
            <w:r>
              <w:rPr>
                <w:rFonts w:hint="eastAsia" w:ascii="宋体" w:hAnsi="宋体" w:cs="宋体"/>
                <w:color w:val="auto"/>
                <w:sz w:val="21"/>
                <w:szCs w:val="21"/>
                <w:highlight w:val="none"/>
              </w:rPr>
              <w:t>）</w:t>
            </w:r>
          </w:p>
        </w:tc>
        <w:tc>
          <w:tcPr>
            <w:tcW w:w="88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127.06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p>
        </w:tc>
        <w:tc>
          <w:tcPr>
            <w:tcW w:w="4240" w:type="pct"/>
            <w:gridSpan w:val="4"/>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全年进行地质灾害监测及土地资源监测，并做好监测记录。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restart"/>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2024.7.1-</w:t>
            </w:r>
          </w:p>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2025.6.30</w:t>
            </w:r>
          </w:p>
        </w:tc>
        <w:tc>
          <w:tcPr>
            <w:tcW w:w="1315"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露天采场</w:t>
            </w:r>
          </w:p>
        </w:tc>
        <w:tc>
          <w:tcPr>
            <w:tcW w:w="71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w:t>
            </w:r>
          </w:p>
        </w:tc>
        <w:tc>
          <w:tcPr>
            <w:tcW w:w="1316"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危岩体清理（m</w:t>
            </w:r>
            <w:r>
              <w:rPr>
                <w:rFonts w:hint="eastAsia" w:ascii="宋体" w:hAnsi="宋体" w:cs="宋体"/>
                <w:color w:val="auto"/>
                <w:sz w:val="21"/>
                <w:szCs w:val="21"/>
                <w:highlight w:val="none"/>
                <w:vertAlign w:val="superscript"/>
              </w:rPr>
              <w:t>3</w:t>
            </w:r>
            <w:r>
              <w:rPr>
                <w:rFonts w:hint="eastAsia" w:ascii="宋体" w:hAnsi="宋体" w:cs="宋体"/>
                <w:color w:val="auto"/>
                <w:sz w:val="21"/>
                <w:szCs w:val="21"/>
                <w:highlight w:val="none"/>
              </w:rPr>
              <w:t>）</w:t>
            </w:r>
          </w:p>
        </w:tc>
        <w:tc>
          <w:tcPr>
            <w:tcW w:w="88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127.06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kern w:val="0"/>
                <w:sz w:val="21"/>
                <w:szCs w:val="21"/>
                <w:highlight w:val="none"/>
                <w:lang w:bidi="ar"/>
              </w:rPr>
            </w:pPr>
          </w:p>
        </w:tc>
        <w:tc>
          <w:tcPr>
            <w:tcW w:w="1315" w:type="pct"/>
            <w:vMerge w:val="restar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残山</w:t>
            </w:r>
          </w:p>
        </w:tc>
        <w:tc>
          <w:tcPr>
            <w:tcW w:w="719" w:type="pct"/>
            <w:vMerge w:val="restar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ascii="宋体" w:hAnsi="宋体" w:cs="宋体"/>
                <w:color w:val="auto"/>
                <w:sz w:val="21"/>
                <w:szCs w:val="21"/>
                <w:highlight w:val="none"/>
              </w:rPr>
            </w:pPr>
            <w:r>
              <w:rPr>
                <w:rFonts w:hint="eastAsia" w:ascii="宋体" w:hAnsi="宋体" w:cs="宋体"/>
                <w:color w:val="auto"/>
                <w:sz w:val="21"/>
                <w:szCs w:val="21"/>
                <w:highlight w:val="none"/>
              </w:rPr>
              <w:t>5186</w:t>
            </w:r>
          </w:p>
        </w:tc>
        <w:tc>
          <w:tcPr>
            <w:tcW w:w="1316"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清运（m</w:t>
            </w:r>
            <w:r>
              <w:rPr>
                <w:rFonts w:hint="eastAsia" w:ascii="宋体" w:hAnsi="宋体" w:cs="宋体"/>
                <w:color w:val="auto"/>
                <w:sz w:val="21"/>
                <w:szCs w:val="21"/>
                <w:highlight w:val="none"/>
                <w:vertAlign w:val="superscript"/>
              </w:rPr>
              <w:t>3</w:t>
            </w:r>
            <w:r>
              <w:rPr>
                <w:rFonts w:hint="eastAsia" w:ascii="宋体" w:hAnsi="宋体" w:cs="宋体"/>
                <w:color w:val="auto"/>
                <w:sz w:val="21"/>
                <w:szCs w:val="21"/>
                <w:highlight w:val="none"/>
              </w:rPr>
              <w:t>）</w:t>
            </w:r>
          </w:p>
        </w:tc>
        <w:tc>
          <w:tcPr>
            <w:tcW w:w="88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13781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kern w:val="0"/>
                <w:sz w:val="21"/>
                <w:szCs w:val="21"/>
                <w:highlight w:val="none"/>
                <w:lang w:bidi="ar"/>
              </w:rPr>
            </w:pPr>
          </w:p>
        </w:tc>
        <w:tc>
          <w:tcPr>
            <w:tcW w:w="1315" w:type="pct"/>
            <w:vMerge w:val="continue"/>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p>
        </w:tc>
        <w:tc>
          <w:tcPr>
            <w:tcW w:w="719" w:type="pct"/>
            <w:vMerge w:val="continue"/>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p>
        </w:tc>
        <w:tc>
          <w:tcPr>
            <w:tcW w:w="1316"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覆土（m</w:t>
            </w:r>
            <w:r>
              <w:rPr>
                <w:rFonts w:hint="eastAsia" w:ascii="宋体" w:hAnsi="宋体" w:cs="宋体"/>
                <w:color w:val="auto"/>
                <w:sz w:val="21"/>
                <w:szCs w:val="21"/>
                <w:highlight w:val="none"/>
                <w:vertAlign w:val="superscript"/>
              </w:rPr>
              <w:t>3</w:t>
            </w:r>
            <w:r>
              <w:rPr>
                <w:rFonts w:hint="eastAsia" w:ascii="宋体" w:hAnsi="宋体" w:cs="宋体"/>
                <w:color w:val="auto"/>
                <w:sz w:val="21"/>
                <w:szCs w:val="21"/>
                <w:highlight w:val="none"/>
              </w:rPr>
              <w:t>）</w:t>
            </w:r>
          </w:p>
        </w:tc>
        <w:tc>
          <w:tcPr>
            <w:tcW w:w="88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2584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kern w:val="0"/>
                <w:sz w:val="21"/>
                <w:szCs w:val="21"/>
                <w:highlight w:val="none"/>
                <w:lang w:bidi="ar"/>
              </w:rPr>
            </w:pPr>
          </w:p>
        </w:tc>
        <w:tc>
          <w:tcPr>
            <w:tcW w:w="1315" w:type="pct"/>
            <w:vMerge w:val="continue"/>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p>
        </w:tc>
        <w:tc>
          <w:tcPr>
            <w:tcW w:w="719" w:type="pct"/>
            <w:vMerge w:val="continue"/>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p>
        </w:tc>
        <w:tc>
          <w:tcPr>
            <w:tcW w:w="1316"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种植油松（株）</w:t>
            </w:r>
          </w:p>
        </w:tc>
        <w:tc>
          <w:tcPr>
            <w:tcW w:w="88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kern w:val="0"/>
                <w:sz w:val="21"/>
                <w:szCs w:val="21"/>
                <w:highlight w:val="none"/>
                <w:lang w:bidi="ar"/>
              </w:rPr>
            </w:pPr>
          </w:p>
        </w:tc>
        <w:tc>
          <w:tcPr>
            <w:tcW w:w="1315" w:type="pct"/>
            <w:vMerge w:val="continue"/>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ascii="宋体" w:hAnsi="宋体" w:cs="宋体"/>
                <w:color w:val="auto"/>
                <w:sz w:val="21"/>
                <w:szCs w:val="21"/>
                <w:highlight w:val="none"/>
              </w:rPr>
            </w:pPr>
          </w:p>
        </w:tc>
        <w:tc>
          <w:tcPr>
            <w:tcW w:w="719" w:type="pct"/>
            <w:vMerge w:val="continue"/>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rPr>
                <w:rFonts w:hint="eastAsia" w:ascii="宋体" w:hAnsi="宋体" w:cs="宋体"/>
                <w:color w:val="auto"/>
                <w:sz w:val="21"/>
                <w:szCs w:val="21"/>
                <w:highlight w:val="none"/>
              </w:rPr>
            </w:pPr>
          </w:p>
        </w:tc>
        <w:tc>
          <w:tcPr>
            <w:tcW w:w="1316"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sz w:val="21"/>
                <w:szCs w:val="21"/>
                <w:highlight w:val="none"/>
              </w:rPr>
              <w:t>撒播羊草草籽（m</w:t>
            </w:r>
            <w:r>
              <w:rPr>
                <w:rFonts w:hint="eastAsia" w:ascii="宋体" w:hAnsi="宋体" w:cs="宋体"/>
                <w:color w:val="auto"/>
                <w:sz w:val="21"/>
                <w:szCs w:val="21"/>
                <w:highlight w:val="none"/>
                <w:vertAlign w:val="superscript"/>
              </w:rPr>
              <w:t>2</w:t>
            </w:r>
            <w:r>
              <w:rPr>
                <w:rFonts w:hint="eastAsia" w:ascii="宋体" w:hAnsi="宋体" w:cs="宋体"/>
                <w:color w:val="auto"/>
                <w:sz w:val="21"/>
                <w:szCs w:val="21"/>
                <w:highlight w:val="none"/>
              </w:rPr>
              <w:t>）</w:t>
            </w:r>
          </w:p>
        </w:tc>
        <w:tc>
          <w:tcPr>
            <w:tcW w:w="889" w:type="pct"/>
            <w:noWrap w:val="0"/>
            <w:tcMar>
              <w:top w:w="12" w:type="dxa"/>
              <w:left w:w="12" w:type="dxa"/>
              <w:right w:w="12" w:type="dxa"/>
            </w:tcMar>
            <w:vAlign w:val="center"/>
          </w:tcPr>
          <w:p>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exact"/>
        </w:trPr>
        <w:tc>
          <w:tcPr>
            <w:tcW w:w="759" w:type="pct"/>
            <w:vMerge w:val="continue"/>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p>
        </w:tc>
        <w:tc>
          <w:tcPr>
            <w:tcW w:w="4240" w:type="pct"/>
            <w:gridSpan w:val="4"/>
            <w:noWrap w:val="0"/>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全年进行地质灾害监测及土地资源监测，并做好监测记录。</w:t>
            </w:r>
          </w:p>
        </w:tc>
      </w:tr>
    </w:tbl>
    <w:p>
      <w:pPr>
        <w:pStyle w:val="14"/>
        <w:rPr>
          <w:rFonts w:hint="default"/>
          <w:color w:val="auto"/>
          <w:highlight w:val="none"/>
          <w:lang w:val="en-US" w:eastAsia="zh-CN"/>
        </w:rPr>
      </w:pPr>
    </w:p>
    <w:p>
      <w:pPr>
        <w:pStyle w:val="3"/>
        <w:bidi w:val="0"/>
        <w:jc w:val="left"/>
        <w:rPr>
          <w:rFonts w:hint="default" w:ascii="Times New Roman" w:hAnsi="Times New Roman" w:eastAsia="宋体" w:cs="Times New Roman"/>
          <w:color w:val="auto"/>
          <w:szCs w:val="24"/>
          <w:highlight w:val="none"/>
        </w:rPr>
      </w:pPr>
      <w:bookmarkStart w:id="4" w:name="_Toc2004"/>
      <w:r>
        <w:rPr>
          <w:rFonts w:hint="default" w:ascii="Times New Roman" w:hAnsi="Times New Roman" w:eastAsia="宋体" w:cs="Times New Roman"/>
          <w:color w:val="auto"/>
          <w:sz w:val="30"/>
          <w:highlight w:val="none"/>
          <w:lang w:eastAsia="zh-CN"/>
        </w:rPr>
        <w:t>（三）矿山地质环境治理方案执行情况</w:t>
      </w:r>
      <w:bookmarkEnd w:id="4"/>
    </w:p>
    <w:p>
      <w:pPr>
        <w:autoSpaceDE w:val="0"/>
        <w:autoSpaceDN w:val="0"/>
        <w:ind w:firstLine="556" w:firstLineChars="232"/>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eastAsia="zh-CN"/>
        </w:rPr>
        <w:t>矿山已完成一分期治理工程，且通过验收。</w:t>
      </w:r>
    </w:p>
    <w:p>
      <w:pPr>
        <w:autoSpaceDE w:val="0"/>
        <w:autoSpaceDN w:val="0"/>
        <w:ind w:firstLine="556" w:firstLineChars="232"/>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eastAsia="zh-CN"/>
        </w:rPr>
        <w:t>矿山未编制二分期。</w:t>
      </w:r>
    </w:p>
    <w:p>
      <w:pPr>
        <w:autoSpaceDE w:val="0"/>
        <w:autoSpaceDN w:val="0"/>
        <w:ind w:firstLine="556" w:firstLineChars="232"/>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eastAsia="zh-CN"/>
        </w:rPr>
        <w:t>矿山</w:t>
      </w:r>
      <w:r>
        <w:rPr>
          <w:rFonts w:hint="default" w:ascii="Times New Roman" w:hAnsi="Times New Roman" w:eastAsia="宋体" w:cs="Times New Roman"/>
          <w:color w:val="auto"/>
          <w:szCs w:val="24"/>
          <w:highlight w:val="none"/>
          <w:lang w:val="en-US" w:eastAsia="zh-CN"/>
        </w:rPr>
        <w:t>2020年度治理计划书设计治理内容已通过现场核查。</w:t>
      </w:r>
    </w:p>
    <w:p>
      <w:pPr>
        <w:autoSpaceDE w:val="0"/>
        <w:autoSpaceDN w:val="0"/>
        <w:ind w:firstLine="556" w:firstLineChars="232"/>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矿山2021年度治理计划书设计治理内容未进行现场核查。</w:t>
      </w:r>
    </w:p>
    <w:p>
      <w:pPr>
        <w:autoSpaceDE w:val="0"/>
        <w:autoSpaceDN w:val="0"/>
        <w:ind w:firstLine="556" w:firstLineChars="232"/>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治理方案首期（第二年度）设计治理内容暂未实施。</w:t>
      </w:r>
    </w:p>
    <w:p>
      <w:pPr>
        <w:autoSpaceDE w:val="0"/>
        <w:autoSpaceDN w:val="0"/>
        <w:ind w:firstLine="556" w:firstLineChars="232"/>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eastAsia="zh-CN"/>
        </w:rPr>
        <w:br w:type="page"/>
      </w:r>
    </w:p>
    <w:p>
      <w:pPr>
        <w:pStyle w:val="2"/>
        <w:numPr>
          <w:ilvl w:val="0"/>
          <w:numId w:val="2"/>
        </w:numPr>
        <w:spacing w:before="120" w:after="120" w:line="360" w:lineRule="auto"/>
        <w:jc w:val="center"/>
        <w:rPr>
          <w:rFonts w:hint="default" w:ascii="Times New Roman" w:hAnsi="Times New Roman" w:eastAsia="宋体" w:cs="Times New Roman"/>
          <w:b/>
          <w:bCs w:val="0"/>
          <w:color w:val="auto"/>
          <w:sz w:val="36"/>
          <w:szCs w:val="36"/>
          <w:highlight w:val="none"/>
        </w:rPr>
      </w:pPr>
      <w:bookmarkStart w:id="5" w:name="_Toc13463"/>
      <w:r>
        <w:rPr>
          <w:rFonts w:hint="default" w:ascii="Times New Roman" w:hAnsi="Times New Roman" w:eastAsia="宋体" w:cs="Times New Roman"/>
          <w:b/>
          <w:bCs w:val="0"/>
          <w:color w:val="auto"/>
          <w:sz w:val="36"/>
          <w:szCs w:val="36"/>
          <w:highlight w:val="none"/>
          <w:lang w:val="en-US" w:eastAsia="zh-CN"/>
        </w:rPr>
        <w:t>本年度矿山生产计划</w:t>
      </w:r>
      <w:bookmarkEnd w:id="5"/>
    </w:p>
    <w:p>
      <w:pPr>
        <w:pStyle w:val="3"/>
        <w:bidi w:val="0"/>
        <w:jc w:val="left"/>
        <w:rPr>
          <w:rFonts w:hint="default" w:ascii="Times New Roman" w:hAnsi="Times New Roman" w:eastAsia="宋体" w:cs="Times New Roman"/>
          <w:color w:val="auto"/>
          <w:highlight w:val="none"/>
        </w:rPr>
      </w:pPr>
      <w:bookmarkStart w:id="6" w:name="_Toc23099"/>
      <w:r>
        <w:rPr>
          <w:rFonts w:hint="default" w:ascii="Times New Roman" w:hAnsi="Times New Roman" w:eastAsia="宋体" w:cs="Times New Roman"/>
          <w:color w:val="auto"/>
          <w:sz w:val="30"/>
          <w:highlight w:val="none"/>
          <w:lang w:eastAsia="zh-CN"/>
        </w:rPr>
        <w:t>（一）本年度的主要生产指标计划</w:t>
      </w:r>
      <w:bookmarkEnd w:id="6"/>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lang w:eastAsia="zh-CN"/>
        </w:rPr>
        <w:t>本矿山现处于停产状态</w:t>
      </w:r>
      <w:r>
        <w:rPr>
          <w:rFonts w:hint="default" w:ascii="Times New Roman" w:hAnsi="Times New Roman" w:eastAsia="宋体" w:cs="Times New Roman"/>
          <w:color w:val="auto"/>
          <w:szCs w:val="24"/>
          <w:highlight w:val="none"/>
          <w:lang w:val="en-US" w:eastAsia="zh-CN"/>
        </w:rPr>
        <w:t>，本年度矿山无生产指标计划</w:t>
      </w:r>
      <w:r>
        <w:rPr>
          <w:rFonts w:hint="default" w:ascii="Times New Roman" w:hAnsi="Times New Roman" w:eastAsia="宋体" w:cs="Times New Roman"/>
          <w:color w:val="auto"/>
          <w:highlight w:val="none"/>
        </w:rPr>
        <w:t>。</w:t>
      </w:r>
    </w:p>
    <w:p>
      <w:pPr>
        <w:pStyle w:val="3"/>
        <w:keepNext/>
        <w:keepLines/>
        <w:pageBreakBefore w:val="0"/>
        <w:widowControl w:val="0"/>
        <w:kinsoku/>
        <w:wordWrap/>
        <w:overflowPunct/>
        <w:topLinePunct w:val="0"/>
        <w:autoSpaceDE/>
        <w:autoSpaceDN/>
        <w:bidi w:val="0"/>
        <w:adjustRightInd w:val="0"/>
        <w:snapToGrid w:val="0"/>
        <w:spacing w:before="0" w:beforeLines="0"/>
        <w:jc w:val="left"/>
        <w:textAlignment w:val="auto"/>
        <w:rPr>
          <w:rFonts w:hint="default" w:ascii="Times New Roman" w:hAnsi="Times New Roman" w:eastAsia="宋体" w:cs="Times New Roman"/>
          <w:color w:val="auto"/>
          <w:highlight w:val="none"/>
        </w:rPr>
      </w:pPr>
      <w:bookmarkStart w:id="7" w:name="_Toc6900"/>
      <w:r>
        <w:rPr>
          <w:rFonts w:hint="default" w:ascii="Times New Roman" w:hAnsi="Times New Roman" w:eastAsia="宋体" w:cs="Times New Roman"/>
          <w:color w:val="auto"/>
          <w:sz w:val="30"/>
          <w:highlight w:val="none"/>
          <w:lang w:eastAsia="zh-CN"/>
        </w:rPr>
        <w:t>（二）开采范围</w:t>
      </w:r>
      <w:bookmarkEnd w:id="7"/>
    </w:p>
    <w:p>
      <w:pPr>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Cs w:val="24"/>
          <w:highlight w:val="none"/>
          <w:lang w:eastAsia="zh-CN"/>
        </w:rPr>
        <w:t>本矿山现处于停产状态</w:t>
      </w:r>
      <w:r>
        <w:rPr>
          <w:rFonts w:hint="default" w:ascii="Times New Roman" w:hAnsi="Times New Roman" w:eastAsia="宋体" w:cs="Times New Roman"/>
          <w:color w:val="auto"/>
          <w:szCs w:val="24"/>
          <w:highlight w:val="none"/>
          <w:lang w:val="en-US" w:eastAsia="zh-CN"/>
        </w:rPr>
        <w:t>，本年度矿山无生产指标计划，</w:t>
      </w:r>
      <w:r>
        <w:rPr>
          <w:rFonts w:hint="default" w:ascii="Times New Roman" w:hAnsi="Times New Roman" w:eastAsia="宋体" w:cs="Times New Roman"/>
          <w:color w:val="auto"/>
          <w:highlight w:val="none"/>
          <w:lang w:eastAsia="zh-CN"/>
        </w:rPr>
        <w:t>故无新增开采范围。</w:t>
      </w:r>
    </w:p>
    <w:p>
      <w:pPr>
        <w:ind w:left="0" w:leftChars="0" w:firstLine="0" w:firstLineChars="0"/>
        <w:rPr>
          <w:rFonts w:hint="default" w:ascii="Times New Roman" w:hAnsi="Times New Roman" w:eastAsia="宋体" w:cs="Times New Roman"/>
          <w:color w:val="auto"/>
          <w:highlight w:val="none"/>
          <w:lang w:val="en-US" w:eastAsia="zh-CN"/>
        </w:rPr>
      </w:pPr>
    </w:p>
    <w:p>
      <w:pPr>
        <w:ind w:left="0" w:leftChars="0" w:firstLine="0" w:firstLineChars="0"/>
        <w:rPr>
          <w:rFonts w:hint="default" w:ascii="Times New Roman" w:hAnsi="Times New Roman" w:eastAsia="宋体" w:cs="Times New Roman"/>
          <w:color w:val="auto"/>
          <w:highlight w:val="none"/>
          <w:lang w:eastAsia="zh-CN"/>
        </w:rPr>
      </w:pPr>
    </w:p>
    <w:p>
      <w:pPr>
        <w:pStyle w:val="2"/>
        <w:numPr>
          <w:ilvl w:val="0"/>
          <w:numId w:val="2"/>
        </w:numPr>
        <w:spacing w:before="120" w:after="120" w:line="360" w:lineRule="auto"/>
        <w:jc w:val="center"/>
        <w:rPr>
          <w:rFonts w:hint="default" w:ascii="Times New Roman" w:hAnsi="Times New Roman" w:eastAsia="宋体" w:cs="Times New Roman"/>
          <w:b/>
          <w:bCs w:val="0"/>
          <w:color w:val="auto"/>
          <w:sz w:val="36"/>
          <w:szCs w:val="36"/>
          <w:highlight w:val="none"/>
          <w:lang w:val="en-US" w:eastAsia="zh-CN"/>
        </w:rPr>
      </w:pPr>
      <w:bookmarkStart w:id="8" w:name="_Toc25486"/>
      <w:r>
        <w:rPr>
          <w:rFonts w:hint="default" w:ascii="Times New Roman" w:hAnsi="Times New Roman" w:eastAsia="宋体" w:cs="Times New Roman"/>
          <w:b/>
          <w:bCs w:val="0"/>
          <w:color w:val="auto"/>
          <w:sz w:val="36"/>
          <w:szCs w:val="36"/>
          <w:highlight w:val="none"/>
          <w:lang w:val="en-US" w:eastAsia="zh-CN"/>
        </w:rPr>
        <w:t>矿山地质环境问题</w:t>
      </w:r>
      <w:bookmarkEnd w:id="8"/>
    </w:p>
    <w:p>
      <w:pPr>
        <w:pStyle w:val="3"/>
        <w:keepNext/>
        <w:keepLines/>
        <w:pageBreakBefore w:val="0"/>
        <w:widowControl w:val="0"/>
        <w:kinsoku/>
        <w:wordWrap/>
        <w:overflowPunct/>
        <w:topLinePunct w:val="0"/>
        <w:autoSpaceDE/>
        <w:autoSpaceDN/>
        <w:bidi w:val="0"/>
        <w:adjustRightInd w:val="0"/>
        <w:snapToGrid w:val="0"/>
        <w:spacing w:before="0" w:beforeLines="0"/>
        <w:jc w:val="left"/>
        <w:textAlignment w:val="auto"/>
        <w:rPr>
          <w:rFonts w:hint="default" w:ascii="Times New Roman" w:hAnsi="Times New Roman" w:eastAsia="宋体" w:cs="Times New Roman"/>
          <w:color w:val="auto"/>
          <w:sz w:val="30"/>
          <w:highlight w:val="none"/>
          <w:lang w:eastAsia="zh-CN"/>
        </w:rPr>
      </w:pPr>
      <w:bookmarkStart w:id="9" w:name="_Toc19045"/>
      <w:bookmarkStart w:id="10" w:name="_Toc19417"/>
      <w:bookmarkStart w:id="11" w:name="_Toc362269331"/>
      <w:bookmarkStart w:id="12" w:name="_Toc356205339"/>
      <w:r>
        <w:rPr>
          <w:rFonts w:hint="default" w:ascii="Times New Roman" w:hAnsi="Times New Roman" w:eastAsia="宋体" w:cs="Times New Roman"/>
          <w:color w:val="auto"/>
          <w:sz w:val="30"/>
          <w:highlight w:val="none"/>
          <w:lang w:eastAsia="zh-CN"/>
        </w:rPr>
        <w:t>（一）矿山地质环境问题现状</w:t>
      </w:r>
      <w:bookmarkEnd w:id="9"/>
      <w:bookmarkEnd w:id="10"/>
    </w:p>
    <w:p>
      <w:pPr>
        <w:ind w:firstLine="48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1、露天采场</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(1)地质灾害现状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4"/>
          <w:sz w:val="24"/>
          <w:highlight w:val="none"/>
        </w:rPr>
        <w:t>露天采场占地面积14387m</w:t>
      </w:r>
      <w:r>
        <w:rPr>
          <w:rFonts w:hint="default" w:ascii="Times New Roman" w:hAnsi="Times New Roman" w:eastAsia="宋体" w:cs="Times New Roman"/>
          <w:color w:val="auto"/>
          <w:spacing w:val="-4"/>
          <w:sz w:val="24"/>
          <w:highlight w:val="none"/>
          <w:vertAlign w:val="superscript"/>
        </w:rPr>
        <w:t>2</w:t>
      </w:r>
      <w:r>
        <w:rPr>
          <w:rFonts w:hint="default" w:ascii="Times New Roman" w:hAnsi="Times New Roman" w:eastAsia="宋体" w:cs="Times New Roman"/>
          <w:color w:val="auto"/>
          <w:spacing w:val="-4"/>
          <w:sz w:val="24"/>
          <w:highlight w:val="none"/>
        </w:rPr>
        <w:t>，</w:t>
      </w:r>
      <w:r>
        <w:rPr>
          <w:rFonts w:hint="default" w:ascii="Times New Roman" w:hAnsi="Times New Roman" w:eastAsia="宋体" w:cs="Times New Roman"/>
          <w:color w:val="auto"/>
          <w:sz w:val="24"/>
          <w:highlight w:val="none"/>
        </w:rPr>
        <w:t>最高开采标高1270m，最低开采标高1210m，最大开采高度20m。</w:t>
      </w:r>
      <w:r>
        <w:rPr>
          <w:rFonts w:hint="default" w:ascii="Times New Roman" w:hAnsi="Times New Roman" w:eastAsia="宋体" w:cs="Times New Roman"/>
          <w:color w:val="auto"/>
          <w:spacing w:val="-4"/>
          <w:sz w:val="24"/>
          <w:highlight w:val="none"/>
        </w:rPr>
        <w:t>边坡岩体稳定，现状</w:t>
      </w:r>
      <w:r>
        <w:rPr>
          <w:rFonts w:hint="default" w:ascii="Times New Roman" w:hAnsi="Times New Roman" w:eastAsia="宋体" w:cs="Times New Roman"/>
          <w:color w:val="auto"/>
          <w:spacing w:val="-4"/>
          <w:sz w:val="24"/>
          <w:highlight w:val="none"/>
          <w:lang w:eastAsia="zh-CN"/>
        </w:rPr>
        <w:t>地质灾害不发育</w:t>
      </w:r>
      <w:r>
        <w:rPr>
          <w:rFonts w:hint="default" w:ascii="Times New Roman" w:hAnsi="Times New Roman" w:eastAsia="宋体" w:cs="Times New Roman"/>
          <w:color w:val="auto"/>
          <w:spacing w:val="-4"/>
          <w:sz w:val="24"/>
          <w:highlight w:val="none"/>
        </w:rPr>
        <w:t>。</w:t>
      </w:r>
      <w:r>
        <w:rPr>
          <w:rFonts w:hint="default" w:ascii="Times New Roman" w:hAnsi="Times New Roman" w:eastAsia="宋体" w:cs="Times New Roman"/>
          <w:color w:val="auto"/>
          <w:highlight w:val="none"/>
        </w:rPr>
        <w:t>（见照片</w:t>
      </w:r>
      <w:r>
        <w:rPr>
          <w:rFonts w:hint="default" w:ascii="Times New Roman" w:hAnsi="Times New Roman" w:eastAsia="宋体" w:cs="Times New Roman"/>
          <w:color w:val="auto"/>
          <w:highlight w:val="none"/>
          <w:lang w:val="en-US" w:eastAsia="zh-CN"/>
        </w:rPr>
        <w:t>4-1</w:t>
      </w:r>
      <w:r>
        <w:rPr>
          <w:rFonts w:hint="default" w:ascii="Times New Roman" w:hAnsi="Times New Roman" w:eastAsia="宋体" w:cs="Times New Roman"/>
          <w:color w:val="auto"/>
          <w:highlight w:val="none"/>
        </w:rPr>
        <w:t>）。</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（2）含水层破坏现状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本矿山为已投产矿山，矿区基岩裂隙含水层水位标高约为1178m，现状条件下矿区采场最低开采标高为1210m，采矿活动位于矿区基岩裂隙含水层水位之上，因此露天采场采矿过程中未破坏地下含水层。</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（3）地形地貌景观影响现状</w:t>
      </w:r>
    </w:p>
    <w:p>
      <w:pPr>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本矿山沿矿体露头处由东向西开采，目前矿山处于停产状态，已形成露天采场面积为4500m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，形成三个平台，第一平台平均标高1210m，面积约为986m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；第二平台平均标高1235m，面积约为2273m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；第三平台平均标高1245m，面积约为1241m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w w:val="104"/>
          <w:sz w:val="24"/>
          <w:highlight w:val="none"/>
        </w:rPr>
        <w:t>露天开采对地表形态、植被等发生直接的破坏，使山体破损，</w:t>
      </w:r>
      <w:r>
        <w:rPr>
          <w:rFonts w:hint="default" w:ascii="Times New Roman" w:hAnsi="Times New Roman" w:eastAsia="宋体" w:cs="Times New Roman"/>
          <w:color w:val="auto"/>
          <w:sz w:val="24"/>
          <w:highlight w:val="none"/>
        </w:rPr>
        <w:t>场地的建设直接破坏了原生的地形地貌景观和植被</w:t>
      </w:r>
      <w:r>
        <w:rPr>
          <w:rFonts w:hint="default" w:ascii="Times New Roman" w:hAnsi="Times New Roman" w:eastAsia="宋体" w:cs="Times New Roman"/>
          <w:color w:val="auto"/>
          <w:sz w:val="24"/>
          <w:highlight w:val="none"/>
          <w:lang w:eastAsia="zh-CN"/>
        </w:rPr>
        <w:t>，对地形地貌景观产生影响。</w:t>
      </w:r>
    </w:p>
    <w:p>
      <w:pPr>
        <w:ind w:left="0" w:lef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drawing>
          <wp:inline distT="0" distB="0" distL="114300" distR="114300">
            <wp:extent cx="4564380" cy="2567305"/>
            <wp:effectExtent l="0" t="0" r="7620" b="4445"/>
            <wp:docPr id="3" name="图片 2" descr="D:/工作/2024/金根2024年度计划/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工作/2024/金根2024年度计划/3.jpg3"/>
                    <pic:cNvPicPr>
                      <a:picLocks noChangeAspect="1"/>
                    </pic:cNvPicPr>
                  </pic:nvPicPr>
                  <pic:blipFill>
                    <a:blip r:embed="rId16"/>
                    <a:srcRect t="28916" b="28916"/>
                    <a:stretch>
                      <a:fillRect/>
                    </a:stretch>
                  </pic:blipFill>
                  <pic:spPr>
                    <a:xfrm>
                      <a:off x="0" y="0"/>
                      <a:ext cx="4564380" cy="2567305"/>
                    </a:xfrm>
                    <a:prstGeom prst="rect">
                      <a:avLst/>
                    </a:prstGeom>
                    <a:noFill/>
                    <a:ln>
                      <a:noFill/>
                    </a:ln>
                  </pic:spPr>
                </pic:pic>
              </a:graphicData>
            </a:graphic>
          </wp:inline>
        </w:drawing>
      </w:r>
    </w:p>
    <w:p>
      <w:pPr>
        <w:pStyle w:val="14"/>
        <w:spacing w:line="360" w:lineRule="auto"/>
        <w:ind w:left="0" w:leftChars="0"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照片4-1  露天采场</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（4）土地资源影响现状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露天采场面积</w:t>
      </w:r>
      <w:r>
        <w:rPr>
          <w:rFonts w:hint="default" w:ascii="Times New Roman" w:hAnsi="Times New Roman" w:eastAsia="宋体" w:cs="Times New Roman"/>
          <w:color w:val="auto"/>
          <w:highlight w:val="none"/>
          <w:lang w:val="en-US" w:eastAsia="zh-CN"/>
        </w:rPr>
        <w:t>14387</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，露天采场破坏土地类型为灌木林地、其它草地和裸地。其中灌木林地</w:t>
      </w:r>
      <w:r>
        <w:rPr>
          <w:rFonts w:hint="default" w:ascii="Times New Roman" w:hAnsi="Times New Roman" w:eastAsia="宋体" w:cs="Times New Roman"/>
          <w:color w:val="auto"/>
          <w:highlight w:val="none"/>
          <w:lang w:val="en-US" w:eastAsia="zh-CN"/>
        </w:rPr>
        <w:t>9507</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，其它草地</w:t>
      </w:r>
      <w:r>
        <w:rPr>
          <w:rFonts w:hint="default" w:ascii="Times New Roman" w:hAnsi="Times New Roman" w:eastAsia="宋体" w:cs="Times New Roman"/>
          <w:color w:val="auto"/>
          <w:highlight w:val="none"/>
          <w:lang w:val="en-US" w:eastAsia="zh-CN"/>
        </w:rPr>
        <w:t>1711</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，裸地</w:t>
      </w:r>
      <w:r>
        <w:rPr>
          <w:rFonts w:hint="default" w:ascii="Times New Roman" w:hAnsi="Times New Roman" w:eastAsia="宋体" w:cs="Times New Roman"/>
          <w:color w:val="auto"/>
          <w:highlight w:val="none"/>
          <w:lang w:val="en-US" w:eastAsia="zh-CN"/>
        </w:rPr>
        <w:t>9754</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p>
    <w:p>
      <w:pPr>
        <w:ind w:firstLine="48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sz w:val="24"/>
          <w:highlight w:val="none"/>
          <w:lang w:eastAsia="zh-CN"/>
        </w:rPr>
        <w:t>工业场地</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（1）地质灾害现状</w:t>
      </w:r>
    </w:p>
    <w:p>
      <w:pPr>
        <w:ind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工业场地位于矿区范围北部，占地面积6704m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（见照片3-7），局部有小规模堆积切坡，高度约1.5m，切坡长105m，切坡面积158m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w w:val="104"/>
          <w:sz w:val="24"/>
          <w:highlight w:val="none"/>
          <w:lang w:eastAsia="zh-CN"/>
        </w:rPr>
        <w:t>切坡高度较小，坡度较小，现状地质灾害不发育。</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（2）含水层破坏现状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lang w:eastAsia="zh-CN"/>
        </w:rPr>
        <w:t>建筑物建设未揭露含水层，</w:t>
      </w:r>
      <w:r>
        <w:rPr>
          <w:rFonts w:hint="default" w:ascii="Times New Roman" w:hAnsi="Times New Roman" w:eastAsia="宋体" w:cs="Times New Roman"/>
          <w:color w:val="auto"/>
          <w:sz w:val="24"/>
          <w:highlight w:val="none"/>
        </w:rPr>
        <w:t>未破坏含水层结构</w:t>
      </w:r>
      <w:r>
        <w:rPr>
          <w:rFonts w:hint="default" w:ascii="Times New Roman" w:hAnsi="Times New Roman" w:eastAsia="宋体" w:cs="Times New Roman"/>
          <w:color w:val="auto"/>
          <w:sz w:val="24"/>
          <w:highlight w:val="none"/>
          <w:lang w:eastAsia="zh-CN"/>
        </w:rPr>
        <w:t>。</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（3）地形地貌景观影响现状</w:t>
      </w:r>
    </w:p>
    <w:p>
      <w:pPr>
        <w:ind w:firstLine="480"/>
        <w:rPr>
          <w:rFonts w:hint="default" w:ascii="Times New Roman" w:hAnsi="Times New Roman" w:eastAsia="宋体" w:cs="Times New Roman"/>
          <w:color w:val="auto"/>
          <w:spacing w:val="-6"/>
          <w:sz w:val="24"/>
          <w:highlight w:val="none"/>
          <w:lang w:eastAsia="zh-CN"/>
        </w:rPr>
      </w:pPr>
      <w:r>
        <w:rPr>
          <w:rFonts w:hint="default" w:ascii="Times New Roman" w:hAnsi="Times New Roman" w:eastAsia="宋体" w:cs="Times New Roman"/>
          <w:color w:val="auto"/>
          <w:sz w:val="24"/>
          <w:highlight w:val="none"/>
        </w:rPr>
        <w:t>场地的建设直接破坏了原生的地形地貌景观和植被</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pacing w:val="-6"/>
          <w:sz w:val="24"/>
          <w:highlight w:val="none"/>
        </w:rPr>
        <w:t>对矿山地形地貌景观</w:t>
      </w:r>
      <w:r>
        <w:rPr>
          <w:rFonts w:hint="default" w:ascii="Times New Roman" w:hAnsi="Times New Roman" w:eastAsia="宋体" w:cs="Times New Roman"/>
          <w:color w:val="auto"/>
          <w:spacing w:val="-6"/>
          <w:sz w:val="24"/>
          <w:highlight w:val="none"/>
          <w:lang w:eastAsia="zh-CN"/>
        </w:rPr>
        <w:t>产生影响。</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（4）土地资源影响现状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Cs w:val="21"/>
          <w:highlight w:val="none"/>
        </w:rPr>
        <w:t>破坏土地类型为</w:t>
      </w:r>
      <w:r>
        <w:rPr>
          <w:rFonts w:hint="default" w:ascii="Times New Roman" w:hAnsi="Times New Roman" w:eastAsia="宋体" w:cs="Times New Roman"/>
          <w:color w:val="auto"/>
          <w:kern w:val="0"/>
          <w:szCs w:val="21"/>
          <w:highlight w:val="none"/>
          <w:lang w:eastAsia="zh-CN"/>
        </w:rPr>
        <w:t>有林地</w:t>
      </w:r>
      <w:r>
        <w:rPr>
          <w:rFonts w:hint="default" w:ascii="Times New Roman" w:hAnsi="Times New Roman" w:eastAsia="宋体" w:cs="Times New Roman"/>
          <w:color w:val="auto"/>
          <w:kern w:val="0"/>
          <w:szCs w:val="21"/>
          <w:highlight w:val="none"/>
        </w:rPr>
        <w:t>面积</w:t>
      </w:r>
      <w:r>
        <w:rPr>
          <w:rFonts w:hint="default" w:ascii="Times New Roman" w:hAnsi="Times New Roman" w:eastAsia="宋体" w:cs="Times New Roman"/>
          <w:color w:val="auto"/>
          <w:kern w:val="0"/>
          <w:szCs w:val="21"/>
          <w:highlight w:val="none"/>
          <w:lang w:val="en-US" w:eastAsia="zh-CN"/>
        </w:rPr>
        <w:t>6460</w:t>
      </w:r>
      <w:r>
        <w:rPr>
          <w:rFonts w:hint="default" w:ascii="Times New Roman" w:hAnsi="Times New Roman" w:eastAsia="宋体" w:cs="Times New Roman"/>
          <w:color w:val="auto"/>
          <w:kern w:val="0"/>
          <w:szCs w:val="21"/>
          <w:highlight w:val="none"/>
        </w:rPr>
        <w:t>m</w:t>
      </w:r>
      <w:r>
        <w:rPr>
          <w:rFonts w:hint="default" w:ascii="Times New Roman" w:hAnsi="Times New Roman" w:eastAsia="宋体" w:cs="Times New Roman"/>
          <w:color w:val="auto"/>
          <w:kern w:val="0"/>
          <w:szCs w:val="21"/>
          <w:highlight w:val="none"/>
          <w:vertAlign w:val="superscript"/>
        </w:rPr>
        <w:t>2</w:t>
      </w:r>
      <w:r>
        <w:rPr>
          <w:rFonts w:hint="default"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rPr>
        <w:t>其他草地面积</w:t>
      </w:r>
      <w:r>
        <w:rPr>
          <w:rFonts w:hint="default" w:ascii="Times New Roman" w:hAnsi="Times New Roman" w:eastAsia="宋体" w:cs="Times New Roman"/>
          <w:color w:val="auto"/>
          <w:kern w:val="0"/>
          <w:szCs w:val="21"/>
          <w:highlight w:val="none"/>
          <w:lang w:val="en-US" w:eastAsia="zh-CN"/>
        </w:rPr>
        <w:t>244</w:t>
      </w:r>
      <w:r>
        <w:rPr>
          <w:rFonts w:hint="default" w:ascii="Times New Roman" w:hAnsi="Times New Roman" w:eastAsia="宋体" w:cs="Times New Roman"/>
          <w:color w:val="auto"/>
          <w:kern w:val="0"/>
          <w:szCs w:val="21"/>
          <w:highlight w:val="none"/>
        </w:rPr>
        <w:t>m</w:t>
      </w:r>
      <w:r>
        <w:rPr>
          <w:rFonts w:hint="default" w:ascii="Times New Roman" w:hAnsi="Times New Roman" w:eastAsia="宋体" w:cs="Times New Roman"/>
          <w:color w:val="auto"/>
          <w:kern w:val="0"/>
          <w:szCs w:val="21"/>
          <w:highlight w:val="none"/>
          <w:vertAlign w:val="superscript"/>
        </w:rPr>
        <w:t>2</w:t>
      </w:r>
      <w:r>
        <w:rPr>
          <w:rFonts w:hint="default" w:ascii="Times New Roman" w:hAnsi="Times New Roman" w:eastAsia="宋体" w:cs="Times New Roman"/>
          <w:color w:val="auto"/>
          <w:kern w:val="0"/>
          <w:szCs w:val="21"/>
          <w:highlight w:val="none"/>
        </w:rPr>
        <w:t>。</w:t>
      </w:r>
    </w:p>
    <w:p>
      <w:pPr>
        <w:ind w:firstLine="48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sz w:val="24"/>
          <w:highlight w:val="none"/>
        </w:rPr>
        <w:drawing>
          <wp:inline distT="0" distB="0" distL="114300" distR="114300">
            <wp:extent cx="3450590" cy="1997710"/>
            <wp:effectExtent l="0" t="0" r="16510" b="2540"/>
            <wp:docPr id="4" name="图片 7" descr="IMG_20200711_16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0200711_164759"/>
                    <pic:cNvPicPr>
                      <a:picLocks noChangeAspect="1"/>
                    </pic:cNvPicPr>
                  </pic:nvPicPr>
                  <pic:blipFill>
                    <a:blip r:embed="rId17"/>
                    <a:srcRect l="53758" t="29237" r="10999" b="43568"/>
                    <a:stretch>
                      <a:fillRect/>
                    </a:stretch>
                  </pic:blipFill>
                  <pic:spPr>
                    <a:xfrm>
                      <a:off x="0" y="0"/>
                      <a:ext cx="3450590" cy="1997710"/>
                    </a:xfrm>
                    <a:prstGeom prst="rect">
                      <a:avLst/>
                    </a:prstGeom>
                    <a:noFill/>
                    <a:ln>
                      <a:noFill/>
                    </a:ln>
                  </pic:spPr>
                </pic:pic>
              </a:graphicData>
            </a:graphic>
          </wp:inline>
        </w:drawing>
      </w:r>
    </w:p>
    <w:p>
      <w:pPr>
        <w:ind w:firstLine="48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照片4-2  工业场地</w:t>
      </w:r>
    </w:p>
    <w:p>
      <w:pPr>
        <w:ind w:firstLine="48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sz w:val="24"/>
          <w:highlight w:val="none"/>
        </w:rPr>
        <w:t>废石堆1</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（1）地质灾害现状</w:t>
      </w:r>
    </w:p>
    <w:p>
      <w:pPr>
        <w:ind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废石堆1</w:t>
      </w:r>
      <w:r>
        <w:rPr>
          <w:rFonts w:hint="default" w:ascii="Times New Roman" w:hAnsi="Times New Roman" w:eastAsia="宋体" w:cs="Times New Roman"/>
          <w:color w:val="auto"/>
          <w:w w:val="104"/>
          <w:sz w:val="24"/>
          <w:highlight w:val="none"/>
        </w:rPr>
        <w:t>位于露天采场西南侧，存放矿山开采期间产生的废石，面积6103m</w:t>
      </w:r>
      <w:r>
        <w:rPr>
          <w:rFonts w:hint="default" w:ascii="Times New Roman" w:hAnsi="Times New Roman" w:eastAsia="宋体" w:cs="Times New Roman"/>
          <w:color w:val="auto"/>
          <w:w w:val="104"/>
          <w:sz w:val="24"/>
          <w:highlight w:val="none"/>
          <w:vertAlign w:val="superscript"/>
        </w:rPr>
        <w:t>2</w:t>
      </w:r>
      <w:r>
        <w:rPr>
          <w:rFonts w:hint="default" w:ascii="Times New Roman" w:hAnsi="Times New Roman" w:eastAsia="宋体" w:cs="Times New Roman"/>
          <w:color w:val="auto"/>
          <w:w w:val="104"/>
          <w:sz w:val="24"/>
          <w:highlight w:val="none"/>
        </w:rPr>
        <w:t>，堆放</w:t>
      </w:r>
      <w:r>
        <w:rPr>
          <w:rFonts w:hint="default" w:ascii="Times New Roman" w:hAnsi="Times New Roman" w:eastAsia="宋体" w:cs="Times New Roman"/>
          <w:bCs/>
          <w:color w:val="auto"/>
          <w:w w:val="104"/>
          <w:sz w:val="24"/>
          <w:highlight w:val="none"/>
        </w:rPr>
        <w:t>坡角25-35°，顺坡堆放，</w:t>
      </w:r>
      <w:r>
        <w:rPr>
          <w:rFonts w:hint="default" w:ascii="Times New Roman" w:hAnsi="Times New Roman" w:eastAsia="宋体" w:cs="Times New Roman"/>
          <w:color w:val="auto"/>
          <w:w w:val="104"/>
          <w:sz w:val="24"/>
          <w:highlight w:val="none"/>
        </w:rPr>
        <w:t>厚度约1-2m，堆放量为6120m</w:t>
      </w:r>
      <w:r>
        <w:rPr>
          <w:rFonts w:hint="default" w:ascii="Times New Roman" w:hAnsi="Times New Roman" w:eastAsia="宋体" w:cs="Times New Roman"/>
          <w:color w:val="auto"/>
          <w:w w:val="104"/>
          <w:sz w:val="24"/>
          <w:highlight w:val="none"/>
          <w:vertAlign w:val="superscript"/>
        </w:rPr>
        <w:t>3</w:t>
      </w:r>
      <w:r>
        <w:rPr>
          <w:rFonts w:hint="default" w:ascii="Times New Roman" w:hAnsi="Times New Roman" w:eastAsia="宋体" w:cs="Times New Roman"/>
          <w:color w:val="auto"/>
          <w:w w:val="104"/>
          <w:sz w:val="24"/>
          <w:highlight w:val="none"/>
        </w:rPr>
        <w:t>，</w:t>
      </w:r>
      <w:r>
        <w:rPr>
          <w:rFonts w:hint="default" w:ascii="Times New Roman" w:hAnsi="Times New Roman" w:eastAsia="宋体" w:cs="Times New Roman"/>
          <w:color w:val="auto"/>
          <w:w w:val="104"/>
          <w:sz w:val="24"/>
          <w:highlight w:val="none"/>
          <w:lang w:eastAsia="zh-CN"/>
        </w:rPr>
        <w:t>堆放高度较小，坡度较小，现状地质灾害不发育。</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（2）含水层破坏现状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废石直接排放于地表，废石中不含有毒有害物质，废石场对含水层影响较小。</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（3）地形地貌景观影响现状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废石直接排放于沟谷内，废石排放量较小，</w:t>
      </w:r>
      <w:r>
        <w:rPr>
          <w:rFonts w:hint="default" w:ascii="Times New Roman" w:hAnsi="Times New Roman" w:eastAsia="宋体" w:cs="Times New Roman"/>
          <w:color w:val="auto"/>
          <w:highlight w:val="none"/>
          <w:lang w:eastAsia="zh-CN"/>
        </w:rPr>
        <w:t>对地形地貌景观产生影响</w:t>
      </w:r>
      <w:r>
        <w:rPr>
          <w:rFonts w:hint="default" w:ascii="Times New Roman" w:hAnsi="Times New Roman" w:eastAsia="宋体" w:cs="Times New Roman"/>
          <w:color w:val="auto"/>
          <w:highlight w:val="none"/>
        </w:rPr>
        <w:t>。</w:t>
      </w:r>
    </w:p>
    <w:p>
      <w:pPr>
        <w:pStyle w:val="14"/>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drawing>
          <wp:inline distT="0" distB="0" distL="114300" distR="114300">
            <wp:extent cx="4343400" cy="2130425"/>
            <wp:effectExtent l="0" t="0" r="0" b="3175"/>
            <wp:docPr id="7" name="图片 6" descr="mmexport159451499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mmexport1594514990187"/>
                    <pic:cNvPicPr>
                      <a:picLocks noChangeAspect="1"/>
                    </pic:cNvPicPr>
                  </pic:nvPicPr>
                  <pic:blipFill>
                    <a:blip r:embed="rId18"/>
                    <a:srcRect t="12812"/>
                    <a:stretch>
                      <a:fillRect/>
                    </a:stretch>
                  </pic:blipFill>
                  <pic:spPr>
                    <a:xfrm>
                      <a:off x="0" y="0"/>
                      <a:ext cx="4343400" cy="2130425"/>
                    </a:xfrm>
                    <a:prstGeom prst="rect">
                      <a:avLst/>
                    </a:prstGeom>
                    <a:noFill/>
                    <a:ln>
                      <a:noFill/>
                    </a:ln>
                  </pic:spPr>
                </pic:pic>
              </a:graphicData>
            </a:graphic>
          </wp:inline>
        </w:drawing>
      </w:r>
    </w:p>
    <w:p>
      <w:pPr>
        <w:pStyle w:val="14"/>
        <w:jc w:val="center"/>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b/>
          <w:bCs w:val="0"/>
          <w:color w:val="auto"/>
          <w:kern w:val="2"/>
          <w:sz w:val="21"/>
          <w:szCs w:val="21"/>
          <w:highlight w:val="none"/>
          <w:lang w:val="en-US" w:eastAsia="zh-CN" w:bidi="ar-SA"/>
        </w:rPr>
        <w:t>照片4-3  废石堆1</w:t>
      </w:r>
    </w:p>
    <w:p>
      <w:pPr>
        <w:pStyle w:val="14"/>
        <w:rPr>
          <w:rFonts w:hint="default" w:ascii="Times New Roman" w:hAnsi="Times New Roman" w:eastAsia="宋体" w:cs="Times New Roman"/>
          <w:color w:val="auto"/>
          <w:highlight w:val="none"/>
        </w:rPr>
      </w:pP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（4）土地资源影响现状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废石堆1</w:t>
      </w:r>
      <w:r>
        <w:rPr>
          <w:rFonts w:hint="default" w:ascii="Times New Roman" w:hAnsi="Times New Roman" w:eastAsia="宋体" w:cs="Times New Roman"/>
          <w:color w:val="auto"/>
          <w:highlight w:val="none"/>
        </w:rPr>
        <w:t>面积</w:t>
      </w:r>
      <w:r>
        <w:rPr>
          <w:rFonts w:hint="default" w:ascii="Times New Roman" w:hAnsi="Times New Roman" w:eastAsia="宋体" w:cs="Times New Roman"/>
          <w:color w:val="auto"/>
          <w:highlight w:val="none"/>
          <w:lang w:val="en-US" w:eastAsia="zh-CN"/>
        </w:rPr>
        <w:t>6103</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，破坏土地类型为灌木林地</w:t>
      </w:r>
      <w:r>
        <w:rPr>
          <w:rFonts w:hint="default" w:ascii="Times New Roman" w:hAnsi="Times New Roman" w:eastAsia="宋体" w:cs="Times New Roman"/>
          <w:color w:val="auto"/>
          <w:highlight w:val="none"/>
          <w:lang w:eastAsia="zh-CN"/>
        </w:rPr>
        <w:t>和其他草地，其中</w:t>
      </w:r>
      <w:r>
        <w:rPr>
          <w:rFonts w:hint="default" w:ascii="Times New Roman" w:hAnsi="Times New Roman" w:eastAsia="宋体" w:cs="Times New Roman"/>
          <w:color w:val="auto"/>
          <w:highlight w:val="none"/>
        </w:rPr>
        <w:t>灌木林地</w:t>
      </w:r>
      <w:r>
        <w:rPr>
          <w:rFonts w:hint="default" w:ascii="Times New Roman" w:hAnsi="Times New Roman" w:eastAsia="宋体" w:cs="Times New Roman"/>
          <w:color w:val="auto"/>
          <w:highlight w:val="none"/>
          <w:lang w:val="en-US" w:eastAsia="zh-CN"/>
        </w:rPr>
        <w:t>5563</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lang w:eastAsia="zh-CN"/>
        </w:rPr>
        <w:t>、其他草地</w:t>
      </w:r>
      <w:r>
        <w:rPr>
          <w:rFonts w:hint="default" w:ascii="Times New Roman" w:hAnsi="Times New Roman" w:eastAsia="宋体" w:cs="Times New Roman"/>
          <w:color w:val="auto"/>
          <w:highlight w:val="none"/>
          <w:lang w:val="en-US" w:eastAsia="zh-CN"/>
        </w:rPr>
        <w:t>540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p>
    <w:p>
      <w:pPr>
        <w:ind w:firstLine="48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sz w:val="24"/>
          <w:highlight w:val="none"/>
        </w:rPr>
        <w:t>废石堆</w:t>
      </w:r>
      <w:r>
        <w:rPr>
          <w:rFonts w:hint="default" w:ascii="Times New Roman" w:hAnsi="Times New Roman" w:eastAsia="宋体" w:cs="Times New Roman"/>
          <w:b/>
          <w:bCs/>
          <w:color w:val="auto"/>
          <w:sz w:val="24"/>
          <w:highlight w:val="none"/>
          <w:lang w:val="en-US" w:eastAsia="zh-CN"/>
        </w:rPr>
        <w:t>2</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（1）地质灾害现状</w:t>
      </w:r>
    </w:p>
    <w:p>
      <w:pPr>
        <w:ind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废石堆2</w:t>
      </w:r>
      <w:r>
        <w:rPr>
          <w:rFonts w:hint="default" w:ascii="Times New Roman" w:hAnsi="Times New Roman" w:eastAsia="宋体" w:cs="Times New Roman"/>
          <w:color w:val="auto"/>
          <w:w w:val="104"/>
          <w:sz w:val="24"/>
          <w:highlight w:val="none"/>
        </w:rPr>
        <w:t>位于露天采场东南侧，存放矿山开采期间产生的废石，面积7026m</w:t>
      </w:r>
      <w:r>
        <w:rPr>
          <w:rFonts w:hint="default" w:ascii="Times New Roman" w:hAnsi="Times New Roman" w:eastAsia="宋体" w:cs="Times New Roman"/>
          <w:color w:val="auto"/>
          <w:w w:val="104"/>
          <w:sz w:val="24"/>
          <w:highlight w:val="none"/>
          <w:vertAlign w:val="superscript"/>
        </w:rPr>
        <w:t>2</w:t>
      </w:r>
      <w:r>
        <w:rPr>
          <w:rFonts w:hint="default" w:ascii="Times New Roman" w:hAnsi="Times New Roman" w:eastAsia="宋体" w:cs="Times New Roman"/>
          <w:color w:val="auto"/>
          <w:w w:val="104"/>
          <w:sz w:val="24"/>
          <w:highlight w:val="none"/>
        </w:rPr>
        <w:t>，堆放</w:t>
      </w:r>
      <w:r>
        <w:rPr>
          <w:rFonts w:hint="default" w:ascii="Times New Roman" w:hAnsi="Times New Roman" w:eastAsia="宋体" w:cs="Times New Roman"/>
          <w:bCs/>
          <w:color w:val="auto"/>
          <w:w w:val="104"/>
          <w:sz w:val="24"/>
          <w:highlight w:val="none"/>
        </w:rPr>
        <w:t>坡角25-35°，顺坡堆放，</w:t>
      </w:r>
      <w:r>
        <w:rPr>
          <w:rFonts w:hint="default" w:ascii="Times New Roman" w:hAnsi="Times New Roman" w:eastAsia="宋体" w:cs="Times New Roman"/>
          <w:color w:val="auto"/>
          <w:w w:val="104"/>
          <w:sz w:val="24"/>
          <w:highlight w:val="none"/>
        </w:rPr>
        <w:t>厚度约1.5-2.0m，堆放量为7130m</w:t>
      </w:r>
      <w:r>
        <w:rPr>
          <w:rFonts w:hint="default" w:ascii="Times New Roman" w:hAnsi="Times New Roman" w:eastAsia="宋体" w:cs="Times New Roman"/>
          <w:color w:val="auto"/>
          <w:w w:val="104"/>
          <w:sz w:val="24"/>
          <w:highlight w:val="none"/>
          <w:vertAlign w:val="superscript"/>
        </w:rPr>
        <w:t>3</w:t>
      </w:r>
      <w:r>
        <w:rPr>
          <w:rFonts w:hint="default" w:ascii="Times New Roman" w:hAnsi="Times New Roman" w:eastAsia="宋体" w:cs="Times New Roman"/>
          <w:color w:val="auto"/>
          <w:w w:val="104"/>
          <w:sz w:val="24"/>
          <w:highlight w:val="none"/>
        </w:rPr>
        <w:t>。</w:t>
      </w:r>
      <w:r>
        <w:rPr>
          <w:rFonts w:hint="default" w:ascii="Times New Roman" w:hAnsi="Times New Roman" w:eastAsia="宋体" w:cs="Times New Roman"/>
          <w:color w:val="auto"/>
          <w:w w:val="104"/>
          <w:sz w:val="24"/>
          <w:highlight w:val="none"/>
          <w:lang w:eastAsia="zh-CN"/>
        </w:rPr>
        <w:t>堆放高度较小，坡度较小，现状地质灾害不发育。</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（2）含水层破坏现状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废石直接排放于地表，废石中不含有毒有害物质，废石场对含水层影响较小。</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（3）地形地貌景观影响现状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废石直接排放于沟谷内，废石排放量较小，</w:t>
      </w:r>
      <w:r>
        <w:rPr>
          <w:rFonts w:hint="default" w:ascii="Times New Roman" w:hAnsi="Times New Roman" w:eastAsia="宋体" w:cs="Times New Roman"/>
          <w:color w:val="auto"/>
          <w:highlight w:val="none"/>
          <w:lang w:eastAsia="zh-CN"/>
        </w:rPr>
        <w:t>对地形地貌景观产生影响</w:t>
      </w:r>
      <w:r>
        <w:rPr>
          <w:rFonts w:hint="default" w:ascii="Times New Roman" w:hAnsi="Times New Roman" w:eastAsia="宋体" w:cs="Times New Roman"/>
          <w:color w:val="auto"/>
          <w:highlight w:val="none"/>
        </w:rPr>
        <w:t>。</w:t>
      </w:r>
    </w:p>
    <w:p>
      <w:pPr>
        <w:pStyle w:val="14"/>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 w:val="24"/>
          <w:highlight w:val="none"/>
        </w:rPr>
        <w:drawing>
          <wp:inline distT="0" distB="0" distL="114300" distR="114300">
            <wp:extent cx="4420870" cy="2487295"/>
            <wp:effectExtent l="0" t="0" r="17780" b="8255"/>
            <wp:docPr id="6" name="图片 5" descr="D:/工作/2024/金根2024年度计划/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D:/工作/2024/金根2024年度计划/2.jpg2"/>
                    <pic:cNvPicPr>
                      <a:picLocks noChangeAspect="1"/>
                    </pic:cNvPicPr>
                  </pic:nvPicPr>
                  <pic:blipFill>
                    <a:blip r:embed="rId19"/>
                    <a:srcRect t="28914" b="28914"/>
                    <a:stretch>
                      <a:fillRect/>
                    </a:stretch>
                  </pic:blipFill>
                  <pic:spPr>
                    <a:xfrm>
                      <a:off x="0" y="0"/>
                      <a:ext cx="4420870" cy="2487295"/>
                    </a:xfrm>
                    <a:prstGeom prst="rect">
                      <a:avLst/>
                    </a:prstGeom>
                    <a:noFill/>
                    <a:ln>
                      <a:noFill/>
                    </a:ln>
                  </pic:spPr>
                </pic:pic>
              </a:graphicData>
            </a:graphic>
          </wp:inline>
        </w:drawing>
      </w:r>
    </w:p>
    <w:p>
      <w:pPr>
        <w:pStyle w:val="14"/>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b/>
          <w:bCs w:val="0"/>
          <w:color w:val="auto"/>
          <w:kern w:val="2"/>
          <w:sz w:val="21"/>
          <w:szCs w:val="21"/>
          <w:highlight w:val="none"/>
          <w:lang w:val="en-US" w:eastAsia="zh-CN" w:bidi="ar-SA"/>
        </w:rPr>
        <w:t>照片4-4  废石堆2</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（4）土地资源影响现状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废石堆</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highlight w:val="none"/>
        </w:rPr>
        <w:t>面积</w:t>
      </w:r>
      <w:r>
        <w:rPr>
          <w:rFonts w:hint="default" w:ascii="Times New Roman" w:hAnsi="Times New Roman" w:eastAsia="宋体" w:cs="Times New Roman"/>
          <w:color w:val="auto"/>
          <w:highlight w:val="none"/>
          <w:lang w:val="en-US" w:eastAsia="zh-CN"/>
        </w:rPr>
        <w:t>7026</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，破坏土地类型为灌木林地。</w:t>
      </w:r>
    </w:p>
    <w:p>
      <w:pPr>
        <w:ind w:firstLine="48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highlight w:val="none"/>
          <w:lang w:val="en-US" w:eastAsia="zh-CN"/>
        </w:rPr>
        <w:t>5、残山</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（1）地质灾害现状</w:t>
      </w:r>
    </w:p>
    <w:p>
      <w:pPr>
        <w:ind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残山为露天采场开采时形成，岩质边坡，坡度约60-75°，部分直立。残山占地面积5168m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，残山方量13781m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现状岩土体稳定</w:t>
      </w:r>
      <w:r>
        <w:rPr>
          <w:rFonts w:hint="default" w:ascii="Times New Roman" w:hAnsi="Times New Roman" w:eastAsia="宋体" w:cs="Times New Roman"/>
          <w:color w:val="auto"/>
          <w:w w:val="104"/>
          <w:sz w:val="24"/>
          <w:highlight w:val="none"/>
          <w:lang w:eastAsia="zh-CN"/>
        </w:rPr>
        <w:t>，现状地质灾害不发育。</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（2）含水层破坏现状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残山未揭露含水层，对含水层破坏较小</w:t>
      </w:r>
      <w:r>
        <w:rPr>
          <w:rFonts w:hint="default" w:ascii="Times New Roman" w:hAnsi="Times New Roman" w:eastAsia="宋体" w:cs="Times New Roman"/>
          <w:color w:val="auto"/>
          <w:highlight w:val="none"/>
        </w:rPr>
        <w:t>。</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（3）地形地貌景观影响现状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孤立残山</w:t>
      </w:r>
      <w:r>
        <w:rPr>
          <w:rFonts w:hint="default" w:ascii="Times New Roman" w:hAnsi="Times New Roman" w:eastAsia="宋体" w:cs="Times New Roman"/>
          <w:color w:val="auto"/>
          <w:sz w:val="24"/>
          <w:highlight w:val="none"/>
        </w:rPr>
        <w:t>直接破坏了原生的地形地貌景观和植被</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eastAsia="zh-CN"/>
        </w:rPr>
        <w:t>对地形地貌景观产生影响</w:t>
      </w:r>
      <w:r>
        <w:rPr>
          <w:rFonts w:hint="default" w:ascii="Times New Roman" w:hAnsi="Times New Roman" w:eastAsia="宋体" w:cs="Times New Roman"/>
          <w:color w:val="auto"/>
          <w:highlight w:val="none"/>
        </w:rPr>
        <w:t>。</w:t>
      </w:r>
    </w:p>
    <w:p>
      <w:pPr>
        <w:ind w:firstLine="48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drawing>
          <wp:inline distT="0" distB="0" distL="114300" distR="114300">
            <wp:extent cx="4063365" cy="2286000"/>
            <wp:effectExtent l="0" t="0" r="13335" b="0"/>
            <wp:docPr id="5" name="图片 4" descr="mmexport159451499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mmexport1594514995839"/>
                    <pic:cNvPicPr>
                      <a:picLocks noChangeAspect="1"/>
                    </pic:cNvPicPr>
                  </pic:nvPicPr>
                  <pic:blipFill>
                    <a:blip r:embed="rId20"/>
                    <a:stretch>
                      <a:fillRect/>
                    </a:stretch>
                  </pic:blipFill>
                  <pic:spPr>
                    <a:xfrm>
                      <a:off x="0" y="0"/>
                      <a:ext cx="4063365" cy="2286000"/>
                    </a:xfrm>
                    <a:prstGeom prst="rect">
                      <a:avLst/>
                    </a:prstGeom>
                    <a:noFill/>
                    <a:ln>
                      <a:noFill/>
                    </a:ln>
                  </pic:spPr>
                </pic:pic>
              </a:graphicData>
            </a:graphic>
          </wp:inline>
        </w:drawing>
      </w:r>
    </w:p>
    <w:p>
      <w:pPr>
        <w:pStyle w:val="14"/>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b/>
          <w:bCs w:val="0"/>
          <w:color w:val="auto"/>
          <w:kern w:val="2"/>
          <w:sz w:val="21"/>
          <w:szCs w:val="21"/>
          <w:highlight w:val="none"/>
          <w:lang w:val="en-US" w:eastAsia="zh-CN" w:bidi="ar-SA"/>
        </w:rPr>
        <w:t>照片4- 5  残山</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（4）土地资源影响现状</w:t>
      </w:r>
    </w:p>
    <w:p>
      <w:pPr>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highlight w:val="none"/>
          <w:lang w:eastAsia="zh-CN"/>
        </w:rPr>
        <w:t>残山</w:t>
      </w:r>
      <w:r>
        <w:rPr>
          <w:rFonts w:hint="default" w:ascii="Times New Roman" w:hAnsi="Times New Roman" w:eastAsia="宋体" w:cs="Times New Roman"/>
          <w:color w:val="auto"/>
          <w:highlight w:val="none"/>
        </w:rPr>
        <w:t>面积</w:t>
      </w:r>
      <w:r>
        <w:rPr>
          <w:rFonts w:hint="default" w:ascii="Times New Roman" w:hAnsi="Times New Roman" w:eastAsia="宋体" w:cs="Times New Roman"/>
          <w:color w:val="auto"/>
          <w:highlight w:val="none"/>
          <w:lang w:val="en-US" w:eastAsia="zh-CN"/>
        </w:rPr>
        <w:t>5168</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，破坏土地类型为灌木林地</w:t>
      </w:r>
      <w:r>
        <w:rPr>
          <w:rFonts w:hint="default" w:ascii="Times New Roman" w:hAnsi="Times New Roman" w:eastAsia="宋体" w:cs="Times New Roman"/>
          <w:color w:val="auto"/>
          <w:highlight w:val="none"/>
          <w:lang w:val="en-US" w:eastAsia="zh-CN"/>
        </w:rPr>
        <w:t>2625</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lang w:eastAsia="zh-CN"/>
        </w:rPr>
        <w:t>、其他草地</w:t>
      </w:r>
      <w:r>
        <w:rPr>
          <w:rFonts w:hint="default" w:ascii="Times New Roman" w:hAnsi="Times New Roman" w:eastAsia="宋体" w:cs="Times New Roman"/>
          <w:color w:val="auto"/>
          <w:highlight w:val="none"/>
          <w:lang w:val="en-US" w:eastAsia="zh-CN"/>
        </w:rPr>
        <w:t>386</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lang w:eastAsia="zh-CN"/>
        </w:rPr>
        <w:t>、裸地</w:t>
      </w:r>
      <w:r>
        <w:rPr>
          <w:rFonts w:hint="default" w:ascii="Times New Roman" w:hAnsi="Times New Roman" w:eastAsia="宋体" w:cs="Times New Roman"/>
          <w:color w:val="auto"/>
          <w:highlight w:val="none"/>
          <w:lang w:val="en-US" w:eastAsia="zh-CN"/>
        </w:rPr>
        <w:t>2157</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p>
    <w:p>
      <w:pPr>
        <w:ind w:firstLine="48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highlight w:val="none"/>
          <w:lang w:val="en-US" w:eastAsia="zh-CN"/>
        </w:rPr>
        <w:t>6、料堆1</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（1）地质灾害现状</w:t>
      </w:r>
    </w:p>
    <w:p>
      <w:pPr>
        <w:ind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料堆集中堆放在工业场地西南部，道路西侧，地势平缓无切坡，</w:t>
      </w:r>
      <w:r>
        <w:rPr>
          <w:rFonts w:hint="default" w:ascii="Times New Roman" w:hAnsi="Times New Roman" w:eastAsia="宋体" w:cs="Times New Roman"/>
          <w:bCs/>
          <w:color w:val="auto"/>
          <w:sz w:val="24"/>
          <w:highlight w:val="none"/>
        </w:rPr>
        <w:t>堆料高度约3.5m，堆放坡角约30°，</w:t>
      </w:r>
      <w:r>
        <w:rPr>
          <w:rFonts w:hint="default" w:ascii="Times New Roman" w:hAnsi="Times New Roman" w:eastAsia="宋体" w:cs="Times New Roman"/>
          <w:color w:val="auto"/>
          <w:w w:val="104"/>
          <w:sz w:val="24"/>
          <w:highlight w:val="none"/>
          <w:lang w:eastAsia="zh-CN"/>
        </w:rPr>
        <w:t>堆放高度较小，坡度较小，现状地质灾害不发育。</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（2）含水层破坏现状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料堆</w:t>
      </w:r>
      <w:r>
        <w:rPr>
          <w:rFonts w:hint="default" w:ascii="Times New Roman" w:hAnsi="Times New Roman" w:eastAsia="宋体" w:cs="Times New Roman"/>
          <w:color w:val="auto"/>
          <w:highlight w:val="none"/>
        </w:rPr>
        <w:t>直接排放于地表，不含有毒有害物质，废石场对含水层影响较小。</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（3）地形地貌景观影响现状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 w:val="24"/>
          <w:highlight w:val="none"/>
        </w:rPr>
        <w:t>料堆的堆放，形成人工堆积地貌，与周围地形地貌不协调，</w:t>
      </w:r>
      <w:r>
        <w:rPr>
          <w:rFonts w:hint="default" w:ascii="Times New Roman" w:hAnsi="Times New Roman" w:eastAsia="宋体" w:cs="Times New Roman"/>
          <w:color w:val="auto"/>
          <w:highlight w:val="none"/>
          <w:lang w:eastAsia="zh-CN"/>
        </w:rPr>
        <w:t>对地形地貌景观产生影响</w:t>
      </w:r>
      <w:r>
        <w:rPr>
          <w:rFonts w:hint="default" w:ascii="Times New Roman" w:hAnsi="Times New Roman" w:eastAsia="宋体" w:cs="Times New Roman"/>
          <w:color w:val="auto"/>
          <w:highlight w:val="none"/>
        </w:rPr>
        <w:t>。</w:t>
      </w:r>
    </w:p>
    <w:p>
      <w:pPr>
        <w:ind w:left="0" w:leftChars="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drawing>
          <wp:inline distT="0" distB="0" distL="114300" distR="114300">
            <wp:extent cx="2624455" cy="1916430"/>
            <wp:effectExtent l="0" t="0" r="4445" b="7620"/>
            <wp:docPr id="12" name="图片 7" descr="D:/工作/2024/金根2024年度计划/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D:/工作/2024/金根2024年度计划/4.jpg4"/>
                    <pic:cNvPicPr>
                      <a:picLocks noChangeAspect="1"/>
                    </pic:cNvPicPr>
                  </pic:nvPicPr>
                  <pic:blipFill>
                    <a:blip r:embed="rId21"/>
                    <a:srcRect t="22635" b="22635"/>
                    <a:stretch>
                      <a:fillRect/>
                    </a:stretch>
                  </pic:blipFill>
                  <pic:spPr>
                    <a:xfrm>
                      <a:off x="0" y="0"/>
                      <a:ext cx="2624455" cy="1916430"/>
                    </a:xfrm>
                    <a:prstGeom prst="rect">
                      <a:avLst/>
                    </a:prstGeom>
                    <a:noFill/>
                    <a:ln>
                      <a:noFill/>
                    </a:ln>
                  </pic:spPr>
                </pic:pic>
              </a:graphicData>
            </a:graphic>
          </wp:inline>
        </w:drawing>
      </w:r>
    </w:p>
    <w:p>
      <w:pPr>
        <w:pStyle w:val="14"/>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b/>
          <w:bCs w:val="0"/>
          <w:color w:val="auto"/>
          <w:kern w:val="2"/>
          <w:sz w:val="21"/>
          <w:szCs w:val="21"/>
          <w:highlight w:val="none"/>
          <w:lang w:val="en-US" w:eastAsia="zh-CN" w:bidi="ar-SA"/>
        </w:rPr>
        <w:t>照片4-6  料堆1</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（4）土地资源影响现状</w:t>
      </w:r>
    </w:p>
    <w:p>
      <w:pPr>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料堆</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面积</w:t>
      </w:r>
      <w:r>
        <w:rPr>
          <w:rFonts w:hint="default" w:ascii="Times New Roman" w:hAnsi="Times New Roman" w:eastAsia="宋体" w:cs="Times New Roman"/>
          <w:color w:val="auto"/>
          <w:highlight w:val="none"/>
          <w:lang w:val="en-US" w:eastAsia="zh-CN"/>
        </w:rPr>
        <w:t>687</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，破坏土地类型为</w:t>
      </w:r>
      <w:r>
        <w:rPr>
          <w:rFonts w:hint="default" w:ascii="Times New Roman" w:hAnsi="Times New Roman" w:eastAsia="宋体" w:cs="Times New Roman"/>
          <w:color w:val="auto"/>
          <w:highlight w:val="none"/>
          <w:lang w:eastAsia="zh-CN"/>
        </w:rPr>
        <w:t>有</w:t>
      </w:r>
      <w:r>
        <w:rPr>
          <w:rFonts w:hint="default" w:ascii="Times New Roman" w:hAnsi="Times New Roman" w:eastAsia="宋体" w:cs="Times New Roman"/>
          <w:color w:val="auto"/>
          <w:highlight w:val="none"/>
        </w:rPr>
        <w:t>林地</w:t>
      </w:r>
      <w:r>
        <w:rPr>
          <w:rFonts w:hint="default" w:ascii="Times New Roman" w:hAnsi="Times New Roman" w:eastAsia="宋体" w:cs="Times New Roman"/>
          <w:color w:val="auto"/>
          <w:highlight w:val="none"/>
          <w:lang w:val="en-US" w:eastAsia="zh-CN"/>
        </w:rPr>
        <w:t>652</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lang w:eastAsia="zh-CN"/>
        </w:rPr>
        <w:t>、裸地</w:t>
      </w:r>
      <w:r>
        <w:rPr>
          <w:rFonts w:hint="default" w:ascii="Times New Roman" w:hAnsi="Times New Roman" w:eastAsia="宋体" w:cs="Times New Roman"/>
          <w:color w:val="auto"/>
          <w:highlight w:val="none"/>
          <w:lang w:val="en-US" w:eastAsia="zh-CN"/>
        </w:rPr>
        <w:t>35</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p>
    <w:p>
      <w:pPr>
        <w:ind w:firstLine="48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highlight w:val="none"/>
          <w:lang w:val="en-US" w:eastAsia="zh-CN"/>
        </w:rPr>
        <w:t>7、料堆2</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（1）地质灾害现状</w:t>
      </w:r>
    </w:p>
    <w:p>
      <w:pPr>
        <w:ind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料堆集中堆放在工业场地西南部，道路东侧，地势平缓无切坡，</w:t>
      </w:r>
      <w:r>
        <w:rPr>
          <w:rFonts w:hint="default" w:ascii="Times New Roman" w:hAnsi="Times New Roman" w:eastAsia="宋体" w:cs="Times New Roman"/>
          <w:bCs/>
          <w:color w:val="auto"/>
          <w:sz w:val="24"/>
          <w:highlight w:val="none"/>
        </w:rPr>
        <w:t>堆料高度约2.8m，堆放坡角约30°，</w:t>
      </w:r>
      <w:r>
        <w:rPr>
          <w:rFonts w:hint="default" w:ascii="Times New Roman" w:hAnsi="Times New Roman" w:eastAsia="宋体" w:cs="Times New Roman"/>
          <w:color w:val="auto"/>
          <w:w w:val="104"/>
          <w:sz w:val="24"/>
          <w:highlight w:val="none"/>
          <w:lang w:eastAsia="zh-CN"/>
        </w:rPr>
        <w:t>堆放高度较小，坡度较小，现状地质灾害不发育。</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（2）含水层破坏现状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料堆</w:t>
      </w:r>
      <w:r>
        <w:rPr>
          <w:rFonts w:hint="default" w:ascii="Times New Roman" w:hAnsi="Times New Roman" w:eastAsia="宋体" w:cs="Times New Roman"/>
          <w:color w:val="auto"/>
          <w:highlight w:val="none"/>
        </w:rPr>
        <w:t>直接排放于地表，不含有毒有害物质，废石场对含水层影响较小。</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（3）地形地貌景观影响现状</w:t>
      </w:r>
    </w:p>
    <w:p>
      <w:pPr>
        <w:ind w:firstLine="48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Cs/>
          <w:color w:val="auto"/>
          <w:sz w:val="24"/>
          <w:highlight w:val="none"/>
        </w:rPr>
        <w:t>料堆的堆放，形成人工堆积地貌，与周围地形地貌不协调，</w:t>
      </w:r>
      <w:r>
        <w:rPr>
          <w:rFonts w:hint="default" w:ascii="Times New Roman" w:hAnsi="Times New Roman" w:eastAsia="宋体" w:cs="Times New Roman"/>
          <w:color w:val="auto"/>
          <w:highlight w:val="none"/>
          <w:lang w:eastAsia="zh-CN"/>
        </w:rPr>
        <w:t>对地形地貌景观产生影响</w:t>
      </w:r>
      <w:r>
        <w:rPr>
          <w:rFonts w:hint="default" w:ascii="Times New Roman" w:hAnsi="Times New Roman" w:eastAsia="宋体" w:cs="Times New Roman"/>
          <w:color w:val="auto"/>
          <w:highlight w:val="none"/>
        </w:rPr>
        <w:t>。</w:t>
      </w:r>
    </w:p>
    <w:p>
      <w:pPr>
        <w:ind w:left="0" w:leftChars="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drawing>
          <wp:inline distT="0" distB="0" distL="114300" distR="114300">
            <wp:extent cx="3766185" cy="1388745"/>
            <wp:effectExtent l="0" t="0" r="5715" b="1905"/>
            <wp:docPr id="11" name="图片 7" descr="IMG_20200711_16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0200711_164759"/>
                    <pic:cNvPicPr>
                      <a:picLocks noChangeAspect="1"/>
                    </pic:cNvPicPr>
                  </pic:nvPicPr>
                  <pic:blipFill>
                    <a:blip r:embed="rId22"/>
                    <a:srcRect l="6619" t="46679" r="49219" b="31616"/>
                    <a:stretch>
                      <a:fillRect/>
                    </a:stretch>
                  </pic:blipFill>
                  <pic:spPr>
                    <a:xfrm>
                      <a:off x="0" y="0"/>
                      <a:ext cx="3766185" cy="1388745"/>
                    </a:xfrm>
                    <a:prstGeom prst="rect">
                      <a:avLst/>
                    </a:prstGeom>
                    <a:noFill/>
                    <a:ln>
                      <a:noFill/>
                    </a:ln>
                  </pic:spPr>
                </pic:pic>
              </a:graphicData>
            </a:graphic>
          </wp:inline>
        </w:drawing>
      </w:r>
    </w:p>
    <w:p>
      <w:pPr>
        <w:pStyle w:val="14"/>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b/>
          <w:bCs w:val="0"/>
          <w:color w:val="auto"/>
          <w:kern w:val="2"/>
          <w:sz w:val="21"/>
          <w:szCs w:val="21"/>
          <w:highlight w:val="none"/>
          <w:lang w:val="en-US" w:eastAsia="zh-CN" w:bidi="ar-SA"/>
        </w:rPr>
        <w:t>照片4- 7  料堆2</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（4）土地资源影响现状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料堆</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面积</w:t>
      </w:r>
      <w:r>
        <w:rPr>
          <w:rFonts w:hint="default" w:ascii="Times New Roman" w:hAnsi="Times New Roman" w:eastAsia="宋体" w:cs="Times New Roman"/>
          <w:color w:val="auto"/>
          <w:highlight w:val="none"/>
          <w:lang w:val="en-US" w:eastAsia="zh-CN"/>
        </w:rPr>
        <w:t>327</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，破坏土地类型为</w:t>
      </w:r>
      <w:r>
        <w:rPr>
          <w:rFonts w:hint="default" w:ascii="Times New Roman" w:hAnsi="Times New Roman" w:eastAsia="宋体" w:cs="Times New Roman"/>
          <w:color w:val="auto"/>
          <w:highlight w:val="none"/>
          <w:lang w:eastAsia="zh-CN"/>
        </w:rPr>
        <w:t>有</w:t>
      </w:r>
      <w:r>
        <w:rPr>
          <w:rFonts w:hint="default" w:ascii="Times New Roman" w:hAnsi="Times New Roman" w:eastAsia="宋体" w:cs="Times New Roman"/>
          <w:color w:val="auto"/>
          <w:highlight w:val="none"/>
        </w:rPr>
        <w:t>林地</w:t>
      </w:r>
      <w:r>
        <w:rPr>
          <w:rFonts w:hint="default" w:ascii="Times New Roman" w:hAnsi="Times New Roman" w:eastAsia="宋体" w:cs="Times New Roman"/>
          <w:color w:val="auto"/>
          <w:highlight w:val="none"/>
          <w:lang w:val="en-US" w:eastAsia="zh-CN"/>
        </w:rPr>
        <w:t>327</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p>
    <w:p>
      <w:pPr>
        <w:ind w:firstLine="48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highlight w:val="none"/>
          <w:lang w:val="en-US" w:eastAsia="zh-CN"/>
        </w:rPr>
        <w:t>8、办公生活区</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（1）地质灾害现状</w:t>
      </w:r>
    </w:p>
    <w:p>
      <w:pPr>
        <w:ind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位于矿区外西北侧，占地面积1480m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（见照片3-7），包括办公室和工人宿舍等，建筑为高3m砖混结构建筑物（1F），地势平缓无切坡。</w:t>
      </w:r>
      <w:r>
        <w:rPr>
          <w:rFonts w:hint="default" w:ascii="Times New Roman" w:hAnsi="Times New Roman" w:eastAsia="宋体" w:cs="Times New Roman"/>
          <w:color w:val="auto"/>
          <w:w w:val="104"/>
          <w:sz w:val="24"/>
          <w:highlight w:val="none"/>
          <w:lang w:eastAsia="zh-CN"/>
        </w:rPr>
        <w:t>现状地质灾害不发育。</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（2）含水层破坏现状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lang w:eastAsia="zh-CN"/>
        </w:rPr>
        <w:t>建筑物建设未揭露含水层，</w:t>
      </w:r>
      <w:r>
        <w:rPr>
          <w:rFonts w:hint="default" w:ascii="Times New Roman" w:hAnsi="Times New Roman" w:eastAsia="宋体" w:cs="Times New Roman"/>
          <w:color w:val="auto"/>
          <w:sz w:val="24"/>
          <w:highlight w:val="none"/>
        </w:rPr>
        <w:t>未破坏含水层结构</w:t>
      </w:r>
      <w:r>
        <w:rPr>
          <w:rFonts w:hint="default" w:ascii="Times New Roman" w:hAnsi="Times New Roman" w:eastAsia="宋体" w:cs="Times New Roman"/>
          <w:color w:val="auto"/>
          <w:sz w:val="24"/>
          <w:highlight w:val="none"/>
          <w:lang w:eastAsia="zh-CN"/>
        </w:rPr>
        <w:t>。</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（3）地形地貌景观影响现状</w:t>
      </w:r>
    </w:p>
    <w:p>
      <w:pPr>
        <w:ind w:firstLine="48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sz w:val="24"/>
          <w:highlight w:val="none"/>
        </w:rPr>
        <w:t>场地的建设直接破坏了原生的地形地貌景观和植被</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pacing w:val="-6"/>
          <w:sz w:val="24"/>
          <w:highlight w:val="none"/>
        </w:rPr>
        <w:t>对矿山地形地貌景观</w:t>
      </w:r>
      <w:r>
        <w:rPr>
          <w:rFonts w:hint="default" w:ascii="Times New Roman" w:hAnsi="Times New Roman" w:eastAsia="宋体" w:cs="Times New Roman"/>
          <w:color w:val="auto"/>
          <w:spacing w:val="-6"/>
          <w:sz w:val="24"/>
          <w:highlight w:val="none"/>
          <w:lang w:eastAsia="zh-CN"/>
        </w:rPr>
        <w:t>产生影响。</w:t>
      </w:r>
    </w:p>
    <w:p>
      <w:pPr>
        <w:ind w:left="0" w:leftChars="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drawing>
          <wp:inline distT="0" distB="0" distL="114300" distR="114300">
            <wp:extent cx="3038475" cy="1584960"/>
            <wp:effectExtent l="0" t="0" r="9525" b="15240"/>
            <wp:docPr id="13" name="图片 7" descr="D:/工作/2024/金根2024年度计划/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D:/工作/2024/金根2024年度计划/1.jpg1"/>
                    <pic:cNvPicPr>
                      <a:picLocks noChangeAspect="1"/>
                    </pic:cNvPicPr>
                  </pic:nvPicPr>
                  <pic:blipFill>
                    <a:blip r:embed="rId23"/>
                    <a:srcRect t="30449" b="30449"/>
                    <a:stretch>
                      <a:fillRect/>
                    </a:stretch>
                  </pic:blipFill>
                  <pic:spPr>
                    <a:xfrm>
                      <a:off x="0" y="0"/>
                      <a:ext cx="3038475" cy="1584960"/>
                    </a:xfrm>
                    <a:prstGeom prst="rect">
                      <a:avLst/>
                    </a:prstGeom>
                    <a:noFill/>
                    <a:ln>
                      <a:noFill/>
                    </a:ln>
                  </pic:spPr>
                </pic:pic>
              </a:graphicData>
            </a:graphic>
          </wp:inline>
        </w:drawing>
      </w:r>
    </w:p>
    <w:p>
      <w:pPr>
        <w:pStyle w:val="14"/>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b/>
          <w:bCs w:val="0"/>
          <w:color w:val="auto"/>
          <w:kern w:val="2"/>
          <w:sz w:val="21"/>
          <w:szCs w:val="21"/>
          <w:highlight w:val="none"/>
          <w:lang w:val="en-US" w:eastAsia="zh-CN" w:bidi="ar-SA"/>
        </w:rPr>
        <w:t>照片4-8  办公生活区</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（4）土地资源影响现状</w:t>
      </w:r>
    </w:p>
    <w:p>
      <w:pPr>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办公生活区</w:t>
      </w:r>
      <w:r>
        <w:rPr>
          <w:rFonts w:hint="default" w:ascii="Times New Roman" w:hAnsi="Times New Roman" w:eastAsia="宋体" w:cs="Times New Roman"/>
          <w:color w:val="auto"/>
          <w:highlight w:val="none"/>
        </w:rPr>
        <w:t>面积</w:t>
      </w:r>
      <w:r>
        <w:rPr>
          <w:rFonts w:hint="default" w:ascii="Times New Roman" w:hAnsi="Times New Roman" w:eastAsia="宋体" w:cs="Times New Roman"/>
          <w:color w:val="auto"/>
          <w:highlight w:val="none"/>
          <w:lang w:val="en-US" w:eastAsia="zh-CN"/>
        </w:rPr>
        <w:t>1480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，破坏土地类型为</w:t>
      </w:r>
      <w:r>
        <w:rPr>
          <w:rFonts w:hint="default" w:ascii="Times New Roman" w:hAnsi="Times New Roman" w:eastAsia="宋体" w:cs="Times New Roman"/>
          <w:color w:val="auto"/>
          <w:highlight w:val="none"/>
          <w:lang w:eastAsia="zh-CN"/>
        </w:rPr>
        <w:t>有</w:t>
      </w:r>
      <w:r>
        <w:rPr>
          <w:rFonts w:hint="default" w:ascii="Times New Roman" w:hAnsi="Times New Roman" w:eastAsia="宋体" w:cs="Times New Roman"/>
          <w:color w:val="auto"/>
          <w:highlight w:val="none"/>
        </w:rPr>
        <w:t>林地</w:t>
      </w:r>
      <w:r>
        <w:rPr>
          <w:rFonts w:hint="default" w:ascii="Times New Roman" w:hAnsi="Times New Roman" w:eastAsia="宋体" w:cs="Times New Roman"/>
          <w:color w:val="auto"/>
          <w:highlight w:val="none"/>
          <w:lang w:val="en-US" w:eastAsia="zh-CN"/>
        </w:rPr>
        <w:t>1442</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lang w:eastAsia="zh-CN"/>
        </w:rPr>
        <w:t>、其他草地</w:t>
      </w:r>
      <w:r>
        <w:rPr>
          <w:rFonts w:hint="default" w:ascii="Times New Roman" w:hAnsi="Times New Roman" w:eastAsia="宋体" w:cs="Times New Roman"/>
          <w:color w:val="auto"/>
          <w:highlight w:val="none"/>
          <w:lang w:val="en-US" w:eastAsia="zh-CN"/>
        </w:rPr>
        <w:t>38</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p>
    <w:p>
      <w:pPr>
        <w:ind w:firstLine="480"/>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val="en-US" w:eastAsia="zh-CN"/>
        </w:rPr>
        <w:t>9、</w:t>
      </w:r>
      <w:r>
        <w:rPr>
          <w:rFonts w:hint="default" w:ascii="Times New Roman" w:hAnsi="Times New Roman" w:eastAsia="宋体" w:cs="Times New Roman"/>
          <w:b/>
          <w:bCs/>
          <w:color w:val="auto"/>
          <w:highlight w:val="none"/>
          <w:lang w:eastAsia="zh-CN"/>
        </w:rPr>
        <w:t>矿区道路</w:t>
      </w:r>
    </w:p>
    <w:p>
      <w:pPr>
        <w:pageBreakBefore w:val="0"/>
        <w:kinsoku/>
        <w:wordWrap/>
        <w:overflowPunct/>
        <w:topLinePunct w:val="0"/>
        <w:bidi w:val="0"/>
        <w:snapToGrid/>
        <w:spacing w:line="384" w:lineRule="auto"/>
        <w:ind w:firstLine="480" w:firstLineChars="200"/>
        <w:contextualSpacing/>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1、地质灾害</w:t>
      </w:r>
    </w:p>
    <w:p>
      <w:pPr>
        <w:pageBreakBefore w:val="0"/>
        <w:kinsoku/>
        <w:wordWrap/>
        <w:overflowPunct/>
        <w:topLinePunct w:val="0"/>
        <w:bidi w:val="0"/>
        <w:snapToGrid/>
        <w:spacing w:line="384" w:lineRule="auto"/>
        <w:ind w:firstLine="480" w:firstLineChars="200"/>
        <w:contextualSpacing/>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现状已开拓道路总长1578m，路面宽3-4m，均为土质路面，占地面积为6119m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道路局部见有小规模土质切坡，高度约0.5m，</w:t>
      </w:r>
      <w:r>
        <w:rPr>
          <w:rFonts w:hint="default" w:ascii="Times New Roman" w:hAnsi="Times New Roman" w:eastAsia="宋体" w:cs="Times New Roman"/>
          <w:color w:val="auto"/>
          <w:spacing w:val="-4"/>
          <w:sz w:val="24"/>
          <w:highlight w:val="none"/>
        </w:rPr>
        <w:t>现状</w:t>
      </w:r>
      <w:r>
        <w:rPr>
          <w:rFonts w:hint="default" w:ascii="Times New Roman" w:hAnsi="Times New Roman" w:eastAsia="宋体" w:cs="Times New Roman"/>
          <w:color w:val="auto"/>
          <w:spacing w:val="-4"/>
          <w:sz w:val="24"/>
          <w:highlight w:val="none"/>
          <w:lang w:eastAsia="zh-CN"/>
        </w:rPr>
        <w:t>地质灾害不发育</w:t>
      </w:r>
      <w:r>
        <w:rPr>
          <w:rFonts w:hint="default" w:ascii="Times New Roman" w:hAnsi="Times New Roman" w:eastAsia="宋体" w:cs="Times New Roman"/>
          <w:color w:val="auto"/>
          <w:spacing w:val="-4"/>
          <w:sz w:val="24"/>
          <w:highlight w:val="none"/>
        </w:rPr>
        <w:t>。</w:t>
      </w:r>
    </w:p>
    <w:p>
      <w:pPr>
        <w:pageBreakBefore w:val="0"/>
        <w:kinsoku/>
        <w:wordWrap/>
        <w:overflowPunct/>
        <w:topLinePunct w:val="0"/>
        <w:bidi w:val="0"/>
        <w:snapToGrid/>
        <w:spacing w:line="384" w:lineRule="auto"/>
        <w:ind w:firstLine="480" w:firstLineChars="200"/>
        <w:contextualSpacing/>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2、含水层</w:t>
      </w:r>
    </w:p>
    <w:p>
      <w:pPr>
        <w:pageBreakBefore w:val="0"/>
        <w:kinsoku/>
        <w:wordWrap/>
        <w:overflowPunct/>
        <w:topLinePunct w:val="0"/>
        <w:bidi w:val="0"/>
        <w:snapToGrid/>
        <w:spacing w:line="384" w:lineRule="auto"/>
        <w:ind w:firstLine="480" w:firstLineChars="200"/>
        <w:contextualSpacing/>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矿区道路未揭露含水层，</w:t>
      </w:r>
      <w:r>
        <w:rPr>
          <w:rFonts w:hint="default" w:ascii="Times New Roman" w:hAnsi="Times New Roman" w:eastAsia="宋体" w:cs="Times New Roman"/>
          <w:color w:val="auto"/>
          <w:sz w:val="24"/>
          <w:highlight w:val="none"/>
        </w:rPr>
        <w:t>未破坏含水层结构</w:t>
      </w:r>
      <w:r>
        <w:rPr>
          <w:rFonts w:hint="default" w:ascii="Times New Roman" w:hAnsi="Times New Roman" w:eastAsia="宋体" w:cs="Times New Roman"/>
          <w:color w:val="auto"/>
          <w:sz w:val="24"/>
          <w:highlight w:val="none"/>
          <w:lang w:eastAsia="zh-CN"/>
        </w:rPr>
        <w:t>。</w:t>
      </w:r>
    </w:p>
    <w:p>
      <w:pPr>
        <w:pageBreakBefore w:val="0"/>
        <w:kinsoku/>
        <w:wordWrap/>
        <w:overflowPunct/>
        <w:topLinePunct w:val="0"/>
        <w:bidi w:val="0"/>
        <w:snapToGrid/>
        <w:spacing w:line="384" w:lineRule="auto"/>
        <w:ind w:firstLine="480" w:firstLineChars="200"/>
        <w:contextualSpacing/>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3、地形地貌景观</w:t>
      </w:r>
    </w:p>
    <w:p>
      <w:pPr>
        <w:pageBreakBefore w:val="0"/>
        <w:kinsoku/>
        <w:wordWrap/>
        <w:overflowPunct/>
        <w:topLinePunct w:val="0"/>
        <w:bidi w:val="0"/>
        <w:snapToGrid/>
        <w:spacing w:line="384" w:lineRule="auto"/>
        <w:ind w:firstLine="480" w:firstLineChars="200"/>
        <w:contextualSpacing/>
        <w:textAlignment w:val="auto"/>
        <w:rPr>
          <w:rFonts w:hint="default" w:ascii="Times New Roman" w:hAnsi="Times New Roman" w:eastAsia="宋体" w:cs="Times New Roman"/>
          <w:color w:val="auto"/>
          <w:spacing w:val="-6"/>
          <w:sz w:val="24"/>
          <w:highlight w:val="none"/>
          <w:lang w:eastAsia="zh-CN"/>
        </w:rPr>
      </w:pPr>
      <w:r>
        <w:rPr>
          <w:rFonts w:hint="default" w:ascii="Times New Roman" w:hAnsi="Times New Roman" w:eastAsia="宋体" w:cs="Times New Roman"/>
          <w:color w:val="auto"/>
          <w:sz w:val="24"/>
          <w:highlight w:val="none"/>
        </w:rPr>
        <w:t>路面宽3-4m，均为土质路面，占地面积为</w:t>
      </w:r>
      <w:r>
        <w:rPr>
          <w:rFonts w:hint="default" w:ascii="Times New Roman" w:hAnsi="Times New Roman" w:eastAsia="宋体" w:cs="Times New Roman"/>
          <w:color w:val="auto"/>
          <w:sz w:val="24"/>
          <w:highlight w:val="none"/>
          <w:lang w:val="en-US" w:eastAsia="zh-CN"/>
        </w:rPr>
        <w:t>6119</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。车辆运输碾压地表，破坏植被，</w:t>
      </w:r>
      <w:r>
        <w:rPr>
          <w:rFonts w:hint="default" w:ascii="Times New Roman" w:hAnsi="Times New Roman" w:eastAsia="宋体" w:cs="Times New Roman"/>
          <w:color w:val="auto"/>
          <w:spacing w:val="-6"/>
          <w:sz w:val="24"/>
          <w:highlight w:val="none"/>
        </w:rPr>
        <w:t>对矿山地形地貌景观</w:t>
      </w:r>
      <w:r>
        <w:rPr>
          <w:rFonts w:hint="default" w:ascii="Times New Roman" w:hAnsi="Times New Roman" w:eastAsia="宋体" w:cs="Times New Roman"/>
          <w:color w:val="auto"/>
          <w:spacing w:val="-6"/>
          <w:sz w:val="24"/>
          <w:highlight w:val="none"/>
          <w:lang w:eastAsia="zh-CN"/>
        </w:rPr>
        <w:t>产生影响。</w:t>
      </w:r>
    </w:p>
    <w:p>
      <w:pPr>
        <w:ind w:left="0" w:leftChars="0" w:firstLine="0"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Cs/>
          <w:color w:val="auto"/>
          <w:sz w:val="24"/>
          <w:highlight w:val="none"/>
        </w:rPr>
        <w:drawing>
          <wp:inline distT="0" distB="0" distL="114300" distR="114300">
            <wp:extent cx="4790440" cy="1551940"/>
            <wp:effectExtent l="0" t="0" r="10160" b="10160"/>
            <wp:docPr id="15" name="图片 8" descr="mmexport159451502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mmexport1594515029742"/>
                    <pic:cNvPicPr>
                      <a:picLocks noChangeAspect="1"/>
                    </pic:cNvPicPr>
                  </pic:nvPicPr>
                  <pic:blipFill>
                    <a:blip r:embed="rId24"/>
                    <a:srcRect t="42413"/>
                    <a:stretch>
                      <a:fillRect/>
                    </a:stretch>
                  </pic:blipFill>
                  <pic:spPr>
                    <a:xfrm>
                      <a:off x="0" y="0"/>
                      <a:ext cx="4790440" cy="1551940"/>
                    </a:xfrm>
                    <a:prstGeom prst="rect">
                      <a:avLst/>
                    </a:prstGeom>
                    <a:noFill/>
                    <a:ln>
                      <a:noFill/>
                    </a:ln>
                  </pic:spPr>
                </pic:pic>
              </a:graphicData>
            </a:graphic>
          </wp:inline>
        </w:drawing>
      </w:r>
    </w:p>
    <w:p>
      <w:pPr>
        <w:pStyle w:val="14"/>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bCs w:val="0"/>
          <w:color w:val="auto"/>
          <w:kern w:val="2"/>
          <w:sz w:val="21"/>
          <w:szCs w:val="21"/>
          <w:highlight w:val="none"/>
          <w:lang w:val="en-US" w:eastAsia="zh-CN" w:bidi="ar-SA"/>
        </w:rPr>
        <w:t>照片4-9  矿区道路</w:t>
      </w:r>
    </w:p>
    <w:p>
      <w:pPr>
        <w:pageBreakBefore w:val="0"/>
        <w:kinsoku/>
        <w:wordWrap/>
        <w:overflowPunct/>
        <w:topLinePunct w:val="0"/>
        <w:bidi w:val="0"/>
        <w:snapToGrid/>
        <w:spacing w:line="384" w:lineRule="auto"/>
        <w:ind w:firstLine="480" w:firstLineChars="200"/>
        <w:contextualSpacing/>
        <w:textAlignment w:val="auto"/>
        <w:rPr>
          <w:rFonts w:hint="default" w:ascii="Times New Roman" w:hAnsi="Times New Roman" w:eastAsia="宋体" w:cs="Times New Roman"/>
          <w:color w:val="auto"/>
          <w:sz w:val="24"/>
          <w:szCs w:val="22"/>
          <w:highlight w:val="none"/>
          <w:lang w:val="en-US" w:eastAsia="zh-CN"/>
        </w:rPr>
      </w:pPr>
      <w:r>
        <w:rPr>
          <w:rFonts w:hint="default" w:ascii="Times New Roman" w:hAnsi="Times New Roman" w:eastAsia="宋体" w:cs="Times New Roman"/>
          <w:color w:val="auto"/>
          <w:sz w:val="24"/>
          <w:szCs w:val="22"/>
          <w:highlight w:val="none"/>
          <w:lang w:val="en-US" w:eastAsia="zh-CN"/>
        </w:rPr>
        <w:t>4、土地资源</w:t>
      </w:r>
    </w:p>
    <w:p>
      <w:pPr>
        <w:ind w:firstLine="48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Cs w:val="21"/>
          <w:highlight w:val="none"/>
        </w:rPr>
        <w:t>破坏土地类型为</w:t>
      </w:r>
      <w:r>
        <w:rPr>
          <w:rFonts w:hint="default" w:ascii="Times New Roman" w:hAnsi="Times New Roman" w:eastAsia="宋体" w:cs="Times New Roman"/>
          <w:color w:val="auto"/>
          <w:kern w:val="0"/>
          <w:szCs w:val="21"/>
          <w:highlight w:val="none"/>
          <w:lang w:eastAsia="zh-CN"/>
        </w:rPr>
        <w:t>有林地</w:t>
      </w:r>
      <w:r>
        <w:rPr>
          <w:rFonts w:hint="default" w:ascii="Times New Roman" w:hAnsi="Times New Roman" w:eastAsia="宋体" w:cs="Times New Roman"/>
          <w:color w:val="auto"/>
          <w:kern w:val="0"/>
          <w:szCs w:val="21"/>
          <w:highlight w:val="none"/>
        </w:rPr>
        <w:t>面积</w:t>
      </w:r>
      <w:r>
        <w:rPr>
          <w:rFonts w:hint="default" w:ascii="Times New Roman" w:hAnsi="Times New Roman" w:eastAsia="宋体" w:cs="Times New Roman"/>
          <w:color w:val="auto"/>
          <w:kern w:val="0"/>
          <w:szCs w:val="21"/>
          <w:highlight w:val="none"/>
          <w:lang w:val="en-US" w:eastAsia="zh-CN"/>
        </w:rPr>
        <w:t>1987</w:t>
      </w:r>
      <w:r>
        <w:rPr>
          <w:rFonts w:hint="default" w:ascii="Times New Roman" w:hAnsi="Times New Roman" w:eastAsia="宋体" w:cs="Times New Roman"/>
          <w:color w:val="auto"/>
          <w:kern w:val="0"/>
          <w:szCs w:val="21"/>
          <w:highlight w:val="none"/>
        </w:rPr>
        <w:t>m</w:t>
      </w:r>
      <w:r>
        <w:rPr>
          <w:rFonts w:hint="default" w:ascii="Times New Roman" w:hAnsi="Times New Roman" w:eastAsia="宋体" w:cs="Times New Roman"/>
          <w:color w:val="auto"/>
          <w:kern w:val="0"/>
          <w:szCs w:val="21"/>
          <w:highlight w:val="none"/>
          <w:vertAlign w:val="superscript"/>
        </w:rPr>
        <w:t>2</w:t>
      </w:r>
      <w:r>
        <w:rPr>
          <w:rFonts w:hint="default" w:ascii="Times New Roman" w:hAnsi="Times New Roman" w:eastAsia="宋体" w:cs="Times New Roman"/>
          <w:color w:val="auto"/>
          <w:kern w:val="0"/>
          <w:szCs w:val="21"/>
          <w:highlight w:val="none"/>
          <w:lang w:eastAsia="zh-CN"/>
        </w:rPr>
        <w:t>、灌木林地</w:t>
      </w:r>
      <w:r>
        <w:rPr>
          <w:rFonts w:hint="default" w:ascii="Times New Roman" w:hAnsi="Times New Roman" w:eastAsia="宋体" w:cs="Times New Roman"/>
          <w:color w:val="auto"/>
          <w:kern w:val="0"/>
          <w:szCs w:val="21"/>
          <w:highlight w:val="none"/>
        </w:rPr>
        <w:t>面积</w:t>
      </w:r>
      <w:r>
        <w:rPr>
          <w:rFonts w:hint="default" w:ascii="Times New Roman" w:hAnsi="Times New Roman" w:eastAsia="宋体" w:cs="Times New Roman"/>
          <w:color w:val="auto"/>
          <w:kern w:val="0"/>
          <w:szCs w:val="21"/>
          <w:highlight w:val="none"/>
          <w:lang w:val="en-US" w:eastAsia="zh-CN"/>
        </w:rPr>
        <w:t>1419</w:t>
      </w:r>
      <w:r>
        <w:rPr>
          <w:rFonts w:hint="default" w:ascii="Times New Roman" w:hAnsi="Times New Roman" w:eastAsia="宋体" w:cs="Times New Roman"/>
          <w:color w:val="auto"/>
          <w:kern w:val="0"/>
          <w:szCs w:val="21"/>
          <w:highlight w:val="none"/>
        </w:rPr>
        <w:t>m</w:t>
      </w:r>
      <w:r>
        <w:rPr>
          <w:rFonts w:hint="default" w:ascii="Times New Roman" w:hAnsi="Times New Roman" w:eastAsia="宋体" w:cs="Times New Roman"/>
          <w:color w:val="auto"/>
          <w:kern w:val="0"/>
          <w:szCs w:val="21"/>
          <w:highlight w:val="none"/>
          <w:vertAlign w:val="superscript"/>
        </w:rPr>
        <w:t>2</w:t>
      </w:r>
      <w:r>
        <w:rPr>
          <w:rFonts w:hint="default" w:ascii="Times New Roman" w:hAnsi="Times New Roman" w:eastAsia="宋体" w:cs="Times New Roman"/>
          <w:color w:val="auto"/>
          <w:kern w:val="0"/>
          <w:szCs w:val="21"/>
          <w:highlight w:val="none"/>
          <w:lang w:eastAsia="zh-CN"/>
        </w:rPr>
        <w:t>、其他草地</w:t>
      </w:r>
      <w:r>
        <w:rPr>
          <w:rFonts w:hint="default" w:ascii="Times New Roman" w:hAnsi="Times New Roman" w:eastAsia="宋体" w:cs="Times New Roman"/>
          <w:color w:val="auto"/>
          <w:kern w:val="0"/>
          <w:szCs w:val="21"/>
          <w:highlight w:val="none"/>
        </w:rPr>
        <w:t>面积</w:t>
      </w:r>
      <w:r>
        <w:rPr>
          <w:rFonts w:hint="default" w:ascii="Times New Roman" w:hAnsi="Times New Roman" w:eastAsia="宋体" w:cs="Times New Roman"/>
          <w:color w:val="auto"/>
          <w:kern w:val="0"/>
          <w:szCs w:val="21"/>
          <w:highlight w:val="none"/>
          <w:lang w:val="en-US" w:eastAsia="zh-CN"/>
        </w:rPr>
        <w:t>837</w:t>
      </w:r>
      <w:r>
        <w:rPr>
          <w:rFonts w:hint="default" w:ascii="Times New Roman" w:hAnsi="Times New Roman" w:eastAsia="宋体" w:cs="Times New Roman"/>
          <w:color w:val="auto"/>
          <w:kern w:val="0"/>
          <w:szCs w:val="21"/>
          <w:highlight w:val="none"/>
        </w:rPr>
        <w:t>m</w:t>
      </w:r>
      <w:r>
        <w:rPr>
          <w:rFonts w:hint="default" w:ascii="Times New Roman" w:hAnsi="Times New Roman" w:eastAsia="宋体" w:cs="Times New Roman"/>
          <w:color w:val="auto"/>
          <w:kern w:val="0"/>
          <w:szCs w:val="21"/>
          <w:highlight w:val="none"/>
          <w:vertAlign w:val="superscript"/>
        </w:rPr>
        <w:t>2</w:t>
      </w:r>
      <w:r>
        <w:rPr>
          <w:rFonts w:hint="default" w:ascii="Times New Roman" w:hAnsi="Times New Roman" w:eastAsia="宋体" w:cs="Times New Roman"/>
          <w:color w:val="auto"/>
          <w:kern w:val="0"/>
          <w:szCs w:val="21"/>
          <w:highlight w:val="none"/>
          <w:lang w:eastAsia="zh-CN"/>
        </w:rPr>
        <w:t>、裸地</w:t>
      </w:r>
      <w:r>
        <w:rPr>
          <w:rFonts w:hint="default" w:ascii="Times New Roman" w:hAnsi="Times New Roman" w:eastAsia="宋体" w:cs="Times New Roman"/>
          <w:color w:val="auto"/>
          <w:kern w:val="0"/>
          <w:szCs w:val="21"/>
          <w:highlight w:val="none"/>
        </w:rPr>
        <w:t>面积</w:t>
      </w:r>
      <w:r>
        <w:rPr>
          <w:rFonts w:hint="default" w:ascii="Times New Roman" w:hAnsi="Times New Roman" w:eastAsia="宋体" w:cs="Times New Roman"/>
          <w:color w:val="auto"/>
          <w:kern w:val="0"/>
          <w:szCs w:val="21"/>
          <w:highlight w:val="none"/>
          <w:lang w:val="en-US" w:eastAsia="zh-CN"/>
        </w:rPr>
        <w:t>1879</w:t>
      </w:r>
      <w:r>
        <w:rPr>
          <w:rFonts w:hint="default" w:ascii="Times New Roman" w:hAnsi="Times New Roman" w:eastAsia="宋体" w:cs="Times New Roman"/>
          <w:color w:val="auto"/>
          <w:kern w:val="0"/>
          <w:szCs w:val="21"/>
          <w:highlight w:val="none"/>
        </w:rPr>
        <w:t>m</w:t>
      </w:r>
      <w:r>
        <w:rPr>
          <w:rFonts w:hint="default" w:ascii="Times New Roman" w:hAnsi="Times New Roman" w:eastAsia="宋体" w:cs="Times New Roman"/>
          <w:color w:val="auto"/>
          <w:kern w:val="0"/>
          <w:szCs w:val="21"/>
          <w:highlight w:val="none"/>
          <w:vertAlign w:val="superscript"/>
        </w:rPr>
        <w:t>2</w:t>
      </w:r>
      <w:r>
        <w:rPr>
          <w:rFonts w:hint="default" w:ascii="Times New Roman" w:hAnsi="Times New Roman" w:eastAsia="宋体" w:cs="Times New Roman"/>
          <w:color w:val="auto"/>
          <w:kern w:val="0"/>
          <w:szCs w:val="21"/>
          <w:highlight w:val="none"/>
          <w:lang w:eastAsia="zh-CN"/>
        </w:rPr>
        <w:t>。</w:t>
      </w:r>
    </w:p>
    <w:p>
      <w:pPr>
        <w:tabs>
          <w:tab w:val="left" w:pos="1300"/>
        </w:tabs>
        <w:spacing w:line="360" w:lineRule="auto"/>
        <w:ind w:firstLine="482"/>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依据第二次土地调查、土地利用现状图</w:t>
      </w:r>
      <w:r>
        <w:rPr>
          <w:rFonts w:hint="default" w:ascii="Times New Roman" w:hAnsi="Times New Roman" w:eastAsia="宋体" w:cs="Times New Roman"/>
          <w:color w:val="auto"/>
          <w:highlight w:val="none"/>
        </w:rPr>
        <w:t>K50G052078</w:t>
      </w:r>
      <w:r>
        <w:rPr>
          <w:rFonts w:hint="default" w:ascii="Times New Roman" w:hAnsi="Times New Roman" w:eastAsia="宋体" w:cs="Times New Roman"/>
          <w:color w:val="auto"/>
          <w:sz w:val="24"/>
          <w:highlight w:val="none"/>
        </w:rPr>
        <w:t>和《土地利用现状分类标准》（GB/T21010-2007），确定项目区内土地利用类型为</w:t>
      </w:r>
      <w:r>
        <w:rPr>
          <w:rFonts w:hint="default" w:ascii="Times New Roman" w:hAnsi="Times New Roman" w:eastAsia="宋体" w:cs="Times New Roman"/>
          <w:color w:val="auto"/>
          <w:sz w:val="24"/>
          <w:highlight w:val="none"/>
          <w:lang w:eastAsia="zh-CN"/>
        </w:rPr>
        <w:t>有林地、</w:t>
      </w:r>
      <w:r>
        <w:rPr>
          <w:rFonts w:hint="default" w:ascii="Times New Roman" w:hAnsi="Times New Roman" w:eastAsia="宋体" w:cs="Times New Roman"/>
          <w:color w:val="auto"/>
          <w:sz w:val="24"/>
          <w:highlight w:val="none"/>
        </w:rPr>
        <w:t>灌木林地、其它草地及裸地，属坤头河林场所有，权属明确，界线明显，不存在权属争议。矿区土地利用现状、土地利用类型及权属见下表</w:t>
      </w:r>
      <w:r>
        <w:rPr>
          <w:rFonts w:hint="default" w:ascii="Times New Roman" w:hAnsi="Times New Roman" w:eastAsia="宋体" w:cs="Times New Roman"/>
          <w:color w:val="auto"/>
          <w:sz w:val="24"/>
          <w:highlight w:val="none"/>
          <w:lang w:val="en-US" w:eastAsia="zh-CN"/>
        </w:rPr>
        <w:t>4-1</w:t>
      </w:r>
      <w:r>
        <w:rPr>
          <w:rFonts w:hint="default" w:ascii="Times New Roman" w:hAnsi="Times New Roman" w:eastAsia="宋体" w:cs="Times New Roman"/>
          <w:color w:val="auto"/>
          <w:sz w:val="24"/>
          <w:highlight w:val="none"/>
        </w:rPr>
        <w:t>。</w:t>
      </w:r>
    </w:p>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表4-2  矿区已损毁单元土地占地类型统计表</w:t>
      </w:r>
    </w:p>
    <w:tbl>
      <w:tblPr>
        <w:tblStyle w:val="10"/>
        <w:tblpPr w:leftFromText="180" w:rightFromText="180" w:vertAnchor="text" w:horzAnchor="page" w:tblpX="1809" w:tblpY="18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9"/>
        <w:gridCol w:w="868"/>
        <w:gridCol w:w="703"/>
        <w:gridCol w:w="1163"/>
        <w:gridCol w:w="653"/>
        <w:gridCol w:w="1249"/>
        <w:gridCol w:w="1180"/>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bookmarkStart w:id="13" w:name="_Hlk528519893"/>
            <w:bookmarkStart w:id="14" w:name="_Hlk528606964"/>
            <w:r>
              <w:rPr>
                <w:rFonts w:hint="default" w:ascii="Times New Roman" w:hAnsi="Times New Roman" w:eastAsia="宋体" w:cs="Times New Roman"/>
                <w:i w:val="0"/>
                <w:color w:val="auto"/>
                <w:kern w:val="0"/>
                <w:sz w:val="21"/>
                <w:szCs w:val="21"/>
                <w:highlight w:val="none"/>
                <w:u w:val="none"/>
                <w:lang w:val="en-US" w:eastAsia="zh-CN" w:bidi="ar"/>
              </w:rPr>
              <w:t>工程场地</w:t>
            </w:r>
          </w:p>
        </w:tc>
        <w:tc>
          <w:tcPr>
            <w:tcW w:w="508"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面积（m</w:t>
            </w:r>
            <w:r>
              <w:rPr>
                <w:rFonts w:hint="default" w:ascii="Times New Roman" w:hAnsi="Times New Roman" w:eastAsia="宋体" w:cs="Times New Roman"/>
                <w:i w:val="0"/>
                <w:color w:val="auto"/>
                <w:kern w:val="0"/>
                <w:sz w:val="21"/>
                <w:szCs w:val="21"/>
                <w:highlight w:val="none"/>
                <w:u w:val="none"/>
                <w:vertAlign w:val="superscript"/>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2901" w:type="pct"/>
            <w:gridSpan w:val="5"/>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地类代码及名称</w:t>
            </w:r>
          </w:p>
        </w:tc>
        <w:tc>
          <w:tcPr>
            <w:tcW w:w="505"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土地</w:t>
            </w:r>
          </w:p>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权属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508"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代码</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名称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代码</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名称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面积（m</w:t>
            </w:r>
            <w:r>
              <w:rPr>
                <w:rFonts w:hint="default" w:ascii="Times New Roman" w:hAnsi="Times New Roman" w:eastAsia="宋体" w:cs="Times New Roman"/>
                <w:i w:val="0"/>
                <w:color w:val="auto"/>
                <w:kern w:val="0"/>
                <w:sz w:val="21"/>
                <w:szCs w:val="21"/>
                <w:highlight w:val="none"/>
                <w:u w:val="none"/>
                <w:vertAlign w:val="superscript"/>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露天采场</w:t>
            </w:r>
          </w:p>
        </w:tc>
        <w:tc>
          <w:tcPr>
            <w:tcW w:w="508"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14387</w:t>
            </w: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林地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032</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灌木林地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9507</w:t>
            </w:r>
          </w:p>
        </w:tc>
        <w:tc>
          <w:tcPr>
            <w:tcW w:w="505"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坤头河林场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508"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04</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草地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043</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其他草地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1711</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508"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其他土地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127</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裸地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5794</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工业场地</w:t>
            </w:r>
          </w:p>
        </w:tc>
        <w:tc>
          <w:tcPr>
            <w:tcW w:w="508"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6704</w:t>
            </w: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林地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031</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有林地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6460</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508"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04</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草地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043</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其他草地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244</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废石堆1</w:t>
            </w:r>
          </w:p>
        </w:tc>
        <w:tc>
          <w:tcPr>
            <w:tcW w:w="508"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6103</w:t>
            </w: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林地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032</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灌木林地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5563</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508"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04</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草地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043</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其他草地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540</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废石堆2</w:t>
            </w:r>
          </w:p>
        </w:tc>
        <w:tc>
          <w:tcPr>
            <w:tcW w:w="508"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7026</w:t>
            </w: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林地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032</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灌木林地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5204</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508"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04</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草地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043</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其他草地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203</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508"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其他土地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127</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裸地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1619</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残山</w:t>
            </w:r>
          </w:p>
        </w:tc>
        <w:tc>
          <w:tcPr>
            <w:tcW w:w="508"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5168</w:t>
            </w: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林地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032</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灌木林地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2625</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508"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04</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草地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043</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其他草地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386</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508"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其他土地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127</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裸地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2157</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料堆1</w:t>
            </w:r>
          </w:p>
        </w:tc>
        <w:tc>
          <w:tcPr>
            <w:tcW w:w="508"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687</w:t>
            </w: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林地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031</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有林地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652</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508"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其他土地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127</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裸地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35</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料堆2</w:t>
            </w:r>
          </w:p>
        </w:tc>
        <w:tc>
          <w:tcPr>
            <w:tcW w:w="508"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327</w:t>
            </w: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林地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031</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有林地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327</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办公生活区</w:t>
            </w:r>
          </w:p>
        </w:tc>
        <w:tc>
          <w:tcPr>
            <w:tcW w:w="508"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1480</w:t>
            </w: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林地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031</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有林地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1442</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508"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04</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草地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043</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其他草地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38</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矿区道路</w:t>
            </w:r>
          </w:p>
        </w:tc>
        <w:tc>
          <w:tcPr>
            <w:tcW w:w="508" w:type="pct"/>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6119</w:t>
            </w: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林地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031</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有林地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1984</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508"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林地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032</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灌木林地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1419</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508"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04</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草地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043</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其他草地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837</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508"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w:t>
            </w: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其他土地</w:t>
            </w: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127</w:t>
            </w: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裸地</w:t>
            </w: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1879</w:t>
            </w:r>
          </w:p>
        </w:tc>
        <w:tc>
          <w:tcPr>
            <w:tcW w:w="505" w:type="pct"/>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4"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合计</w:t>
            </w:r>
          </w:p>
        </w:tc>
        <w:tc>
          <w:tcPr>
            <w:tcW w:w="508"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48001</w:t>
            </w:r>
          </w:p>
        </w:tc>
        <w:tc>
          <w:tcPr>
            <w:tcW w:w="41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8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383"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732"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690"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48001</w:t>
            </w:r>
          </w:p>
        </w:tc>
        <w:tc>
          <w:tcPr>
            <w:tcW w:w="505" w:type="pc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bookmarkEnd w:id="13"/>
      <w:bookmarkEnd w:id="14"/>
    </w:tbl>
    <w:p>
      <w:pPr>
        <w:pStyle w:val="14"/>
        <w:spacing w:line="360" w:lineRule="auto"/>
        <w:rPr>
          <w:rFonts w:hint="default" w:ascii="Times New Roman" w:hAnsi="Times New Roman" w:eastAsia="宋体" w:cs="Times New Roman"/>
          <w:color w:val="auto"/>
          <w:highlight w:val="none"/>
        </w:rPr>
      </w:pPr>
    </w:p>
    <w:p>
      <w:pPr>
        <w:rPr>
          <w:rFonts w:hint="default" w:ascii="Times New Roman" w:hAnsi="Times New Roman" w:eastAsia="宋体" w:cs="Times New Roman"/>
          <w:color w:val="auto"/>
          <w:sz w:val="30"/>
          <w:highlight w:val="none"/>
          <w:lang w:eastAsia="zh-CN"/>
        </w:rPr>
      </w:pPr>
      <w:bookmarkStart w:id="15" w:name="_Toc29465"/>
      <w:bookmarkStart w:id="16" w:name="_Toc28958"/>
      <w:r>
        <w:rPr>
          <w:rFonts w:hint="default" w:ascii="Times New Roman" w:hAnsi="Times New Roman" w:eastAsia="宋体" w:cs="Times New Roman"/>
          <w:color w:val="auto"/>
          <w:sz w:val="30"/>
          <w:highlight w:val="none"/>
          <w:lang w:eastAsia="zh-CN"/>
        </w:rPr>
        <w:br w:type="page"/>
      </w:r>
    </w:p>
    <w:p>
      <w:pPr>
        <w:pStyle w:val="3"/>
        <w:keepNext/>
        <w:keepLines/>
        <w:pageBreakBefore w:val="0"/>
        <w:widowControl w:val="0"/>
        <w:kinsoku/>
        <w:wordWrap/>
        <w:overflowPunct/>
        <w:topLinePunct w:val="0"/>
        <w:autoSpaceDE/>
        <w:autoSpaceDN/>
        <w:bidi w:val="0"/>
        <w:adjustRightInd w:val="0"/>
        <w:snapToGrid w:val="0"/>
        <w:spacing w:before="0" w:beforeLines="0"/>
        <w:jc w:val="left"/>
        <w:textAlignment w:val="auto"/>
        <w:rPr>
          <w:rFonts w:hint="default" w:ascii="Times New Roman" w:hAnsi="Times New Roman" w:eastAsia="宋体" w:cs="Times New Roman"/>
          <w:color w:val="auto"/>
          <w:sz w:val="30"/>
          <w:highlight w:val="none"/>
          <w:lang w:val="en-US" w:eastAsia="zh-CN"/>
        </w:rPr>
      </w:pPr>
      <w:r>
        <w:rPr>
          <w:rFonts w:hint="default" w:ascii="Times New Roman" w:hAnsi="Times New Roman" w:eastAsia="宋体" w:cs="Times New Roman"/>
          <w:color w:val="auto"/>
          <w:sz w:val="30"/>
          <w:highlight w:val="none"/>
          <w:lang w:eastAsia="zh-CN"/>
        </w:rPr>
        <w:t>（二）</w:t>
      </w:r>
      <w:r>
        <w:rPr>
          <w:rFonts w:hint="default" w:ascii="Times New Roman" w:hAnsi="Times New Roman" w:eastAsia="宋体" w:cs="Times New Roman"/>
          <w:color w:val="auto"/>
          <w:sz w:val="30"/>
          <w:highlight w:val="none"/>
          <w:lang w:val="en-US" w:eastAsia="zh-CN"/>
        </w:rPr>
        <w:t>矿山地质环境问题预测</w:t>
      </w:r>
      <w:bookmarkEnd w:id="15"/>
      <w:bookmarkEnd w:id="16"/>
    </w:p>
    <w:p>
      <w:pPr>
        <w:ind w:firstLine="480"/>
        <w:rPr>
          <w:rFonts w:hint="default" w:ascii="Times New Roman" w:hAnsi="Times New Roman" w:eastAsia="宋体" w:cs="Times New Roman"/>
          <w:color w:val="auto"/>
          <w:szCs w:val="22"/>
          <w:highlight w:val="none"/>
          <w:lang w:val="en-US" w:eastAsia="zh-CN"/>
        </w:rPr>
        <w:sectPr>
          <w:footerReference r:id="rId7" w:type="default"/>
          <w:pgSz w:w="11906" w:h="16838"/>
          <w:pgMar w:top="1219" w:right="1797" w:bottom="1440" w:left="1797" w:header="709" w:footer="709" w:gutter="0"/>
          <w:pgNumType w:fmt="decimal"/>
          <w:cols w:space="720" w:num="1"/>
        </w:sectPr>
      </w:pPr>
      <w:r>
        <w:rPr>
          <w:rFonts w:hint="default" w:ascii="Times New Roman" w:hAnsi="Times New Roman" w:eastAsia="宋体" w:cs="Times New Roman"/>
          <w:color w:val="auto"/>
          <w:szCs w:val="22"/>
          <w:highlight w:val="none"/>
          <w:lang w:val="en-US" w:eastAsia="zh-CN"/>
        </w:rPr>
        <w:t>矿山现处于停产、技改状态，受市场价格及企业自身因素影响矿山本年度不计划进行开采，本期无开采计划，因此，本年度矿山不会增加建设新的生产单元，预测本年度开采可能影响区域主要矿山地质环境环境问题及拟损毁土地区域与现状保持一致。</w:t>
      </w:r>
    </w:p>
    <w:bookmarkEnd w:id="11"/>
    <w:p>
      <w:pPr>
        <w:pStyle w:val="2"/>
        <w:numPr>
          <w:ilvl w:val="0"/>
          <w:numId w:val="2"/>
        </w:numPr>
        <w:spacing w:before="120" w:after="120" w:line="360" w:lineRule="auto"/>
        <w:jc w:val="center"/>
        <w:rPr>
          <w:rFonts w:hint="default" w:ascii="Times New Roman" w:hAnsi="Times New Roman" w:eastAsia="宋体" w:cs="Times New Roman"/>
          <w:b/>
          <w:bCs w:val="0"/>
          <w:color w:val="auto"/>
          <w:sz w:val="36"/>
          <w:szCs w:val="36"/>
          <w:highlight w:val="none"/>
          <w:lang w:val="en-US" w:eastAsia="zh-CN"/>
        </w:rPr>
      </w:pPr>
      <w:bookmarkStart w:id="17" w:name="_Toc21415"/>
      <w:r>
        <w:rPr>
          <w:rFonts w:hint="default" w:ascii="Times New Roman" w:hAnsi="Times New Roman" w:eastAsia="宋体" w:cs="Times New Roman"/>
          <w:b/>
          <w:bCs w:val="0"/>
          <w:color w:val="auto"/>
          <w:sz w:val="36"/>
          <w:szCs w:val="36"/>
          <w:highlight w:val="none"/>
          <w:lang w:val="en-US" w:eastAsia="zh-CN"/>
        </w:rPr>
        <w:t>矿山地质环境防治工程</w:t>
      </w:r>
      <w:bookmarkEnd w:id="17"/>
      <w:bookmarkStart w:id="18" w:name="_Toc362269332"/>
    </w:p>
    <w:p>
      <w:pPr>
        <w:pStyle w:val="3"/>
        <w:spacing w:before="240" w:beforeLines="100" w:after="120" w:line="360" w:lineRule="auto"/>
        <w:jc w:val="left"/>
        <w:rPr>
          <w:rFonts w:hint="default" w:ascii="Times New Roman" w:hAnsi="Times New Roman" w:eastAsia="宋体" w:cs="Times New Roman"/>
          <w:color w:val="auto"/>
          <w:sz w:val="30"/>
          <w:highlight w:val="none"/>
        </w:rPr>
      </w:pPr>
      <w:bookmarkStart w:id="19" w:name="_Toc11942"/>
      <w:r>
        <w:rPr>
          <w:rFonts w:hint="default" w:ascii="Times New Roman" w:hAnsi="Times New Roman" w:eastAsia="宋体" w:cs="Times New Roman"/>
          <w:color w:val="auto"/>
          <w:sz w:val="30"/>
          <w:highlight w:val="none"/>
          <w:lang w:eastAsia="zh-CN"/>
        </w:rPr>
        <w:t>（一）</w:t>
      </w:r>
      <w:r>
        <w:rPr>
          <w:rFonts w:hint="default" w:ascii="Times New Roman" w:hAnsi="Times New Roman" w:eastAsia="宋体" w:cs="Times New Roman"/>
          <w:color w:val="auto"/>
          <w:sz w:val="30"/>
          <w:highlight w:val="none"/>
        </w:rPr>
        <w:t>矿山地质环境治理</w:t>
      </w:r>
      <w:r>
        <w:rPr>
          <w:rFonts w:hint="default" w:ascii="Times New Roman" w:hAnsi="Times New Roman" w:eastAsia="宋体" w:cs="Times New Roman"/>
          <w:color w:val="auto"/>
          <w:sz w:val="30"/>
          <w:highlight w:val="none"/>
          <w:lang w:eastAsia="zh-CN"/>
        </w:rPr>
        <w:t>区的确定</w:t>
      </w:r>
      <w:bookmarkEnd w:id="19"/>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治理区及土地复垦责任区确定的原则、方法</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根据矿山地质环境影响现状和预测结果，进行治理区的确定。</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治理区的确定要与矿业生产相协调，应治、可治场地必须治理。</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eastAsia="zh-CN"/>
        </w:rPr>
        <w:t>）对于前期治理工程存在不足，本年度进行完善</w:t>
      </w:r>
      <w:r>
        <w:rPr>
          <w:rFonts w:hint="default" w:ascii="Times New Roman" w:hAnsi="Times New Roman" w:eastAsia="宋体" w:cs="Times New Roman"/>
          <w:color w:val="auto"/>
          <w:highlight w:val="none"/>
        </w:rPr>
        <w:t>。</w:t>
      </w:r>
    </w:p>
    <w:p>
      <w:pPr>
        <w:ind w:firstLine="480"/>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2、治理区及土地复垦责任区确定</w:t>
      </w:r>
    </w:p>
    <w:p>
      <w:pPr>
        <w:spacing w:line="360" w:lineRule="auto"/>
        <w:ind w:firstLine="480" w:firstLineChars="200"/>
        <w:contextualSpacing/>
        <w:rPr>
          <w:rFonts w:hint="default"/>
          <w:color w:val="auto"/>
          <w:sz w:val="24"/>
          <w:highlight w:val="none"/>
          <w:lang w:eastAsia="zh-CN"/>
        </w:rPr>
      </w:pPr>
      <w:r>
        <w:rPr>
          <w:rFonts w:hint="default"/>
          <w:color w:val="auto"/>
          <w:sz w:val="24"/>
          <w:highlight w:val="none"/>
          <w:lang w:eastAsia="zh-CN"/>
        </w:rPr>
        <w:t>根据《内蒙古自治区矿山地质环境分期治理方案编制技术要求》(2015年5月内蒙古自治区国土资源厅编)，治理区域范围包括已存在矿山地质环境问题的区域及本期开采区、矿业活动的影响区域。根据《土地复垦方案编制规程》(TD/T1031-2011)，土地复垦责任范围为复垦区中已损毁和拟损毁的土地及土地复垦方案涉及的生产年限结束后不再留续使用的永久性建设用地共同构成的区域。要坚持“边开采，边治理”、“预防为主，防治结合”、“在保护中开发，在开发中保护”、“谁损毁，谁恢复”的原则，对于本期能够治理及土地复垦的区域进行矿山地质环境治理及土地复垦。</w:t>
      </w:r>
    </w:p>
    <w:p>
      <w:pPr>
        <w:spacing w:line="360" w:lineRule="auto"/>
        <w:ind w:firstLine="480" w:firstLineChars="200"/>
        <w:contextualSpacing/>
        <w:rPr>
          <w:rFonts w:hint="default"/>
          <w:color w:val="auto"/>
          <w:sz w:val="24"/>
          <w:highlight w:val="none"/>
          <w:lang w:eastAsia="zh-CN"/>
        </w:rPr>
      </w:pPr>
      <w:r>
        <w:rPr>
          <w:rFonts w:hint="default"/>
          <w:color w:val="auto"/>
          <w:sz w:val="24"/>
          <w:highlight w:val="none"/>
          <w:lang w:eastAsia="zh-CN"/>
        </w:rPr>
        <w:t>根据矿山本年度开采计划，结合矿山现状和前期治理情况，本年度矿山地质环境 治理区为矿业活动破坏且在后期不会继续利用的范围。</w:t>
      </w:r>
    </w:p>
    <w:p>
      <w:pPr>
        <w:spacing w:line="360" w:lineRule="auto"/>
        <w:ind w:firstLine="480" w:firstLineChars="200"/>
        <w:contextualSpacing/>
        <w:rPr>
          <w:rFonts w:hint="default"/>
          <w:color w:val="auto"/>
          <w:sz w:val="24"/>
          <w:highlight w:val="none"/>
          <w:lang w:val="en-US" w:eastAsia="zh-CN"/>
        </w:rPr>
      </w:pPr>
      <w:r>
        <w:rPr>
          <w:rFonts w:hint="eastAsia"/>
          <w:color w:val="auto"/>
          <w:sz w:val="24"/>
          <w:highlight w:val="none"/>
          <w:lang w:val="en-US" w:eastAsia="zh-CN"/>
        </w:rPr>
        <w:t>综上所述，</w:t>
      </w:r>
      <w:r>
        <w:rPr>
          <w:rFonts w:hint="default"/>
          <w:color w:val="auto"/>
          <w:sz w:val="24"/>
          <w:highlight w:val="none"/>
          <w:lang w:eastAsia="zh-CN"/>
        </w:rPr>
        <w:t>本年度</w:t>
      </w:r>
      <w:r>
        <w:rPr>
          <w:rFonts w:hint="eastAsia"/>
          <w:color w:val="auto"/>
          <w:sz w:val="24"/>
          <w:highlight w:val="none"/>
          <w:lang w:val="en-US" w:eastAsia="zh-CN"/>
        </w:rPr>
        <w:t>主要以监测管护工程为主，</w:t>
      </w:r>
      <w:r>
        <w:rPr>
          <w:rFonts w:hint="default"/>
          <w:color w:val="auto"/>
          <w:sz w:val="24"/>
          <w:highlight w:val="none"/>
          <w:lang w:eastAsia="zh-CN"/>
        </w:rPr>
        <w:t>对地质灾害和地形地貌景观进行监测</w:t>
      </w:r>
      <w:r>
        <w:rPr>
          <w:rFonts w:hint="eastAsia"/>
          <w:color w:val="auto"/>
          <w:sz w:val="24"/>
          <w:highlight w:val="none"/>
          <w:lang w:eastAsia="zh-CN"/>
        </w:rPr>
        <w:t>，加强已治理区域的植被管护工作；</w:t>
      </w:r>
      <w:r>
        <w:rPr>
          <w:rFonts w:hint="eastAsia"/>
          <w:color w:val="auto"/>
          <w:sz w:val="24"/>
          <w:highlight w:val="none"/>
          <w:lang w:val="en-US" w:eastAsia="zh-CN"/>
        </w:rPr>
        <w:t>对前期治理单元进行维护。</w:t>
      </w:r>
    </w:p>
    <w:p>
      <w:pPr>
        <w:pStyle w:val="3"/>
        <w:pageBreakBefore w:val="0"/>
        <w:widowControl w:val="0"/>
        <w:kinsoku/>
        <w:wordWrap/>
        <w:overflowPunct/>
        <w:topLinePunct w:val="0"/>
        <w:bidi w:val="0"/>
        <w:adjustRightInd w:val="0"/>
        <w:spacing w:before="240" w:beforeLines="100" w:after="120" w:line="408" w:lineRule="auto"/>
        <w:jc w:val="left"/>
        <w:textAlignment w:val="auto"/>
        <w:rPr>
          <w:rFonts w:hint="default" w:ascii="Times New Roman" w:hAnsi="Times New Roman" w:eastAsia="宋体" w:cs="Times New Roman"/>
          <w:color w:val="auto"/>
          <w:sz w:val="30"/>
          <w:highlight w:val="none"/>
        </w:rPr>
      </w:pPr>
      <w:bookmarkStart w:id="20" w:name="_Toc22570"/>
      <w:r>
        <w:rPr>
          <w:rFonts w:hint="default" w:ascii="Times New Roman" w:hAnsi="Times New Roman" w:eastAsia="宋体" w:cs="Times New Roman"/>
          <w:color w:val="auto"/>
          <w:sz w:val="30"/>
          <w:highlight w:val="none"/>
          <w:lang w:eastAsia="zh-CN"/>
        </w:rPr>
        <w:t>（</w:t>
      </w:r>
      <w:r>
        <w:rPr>
          <w:rFonts w:hint="eastAsia" w:ascii="Times New Roman" w:hAnsi="Times New Roman" w:cs="Times New Roman"/>
          <w:color w:val="auto"/>
          <w:sz w:val="30"/>
          <w:highlight w:val="none"/>
          <w:lang w:val="en-US" w:eastAsia="zh-CN"/>
        </w:rPr>
        <w:t>二</w:t>
      </w:r>
      <w:r>
        <w:rPr>
          <w:rFonts w:hint="default" w:ascii="Times New Roman" w:hAnsi="Times New Roman" w:eastAsia="宋体" w:cs="Times New Roman"/>
          <w:color w:val="auto"/>
          <w:sz w:val="30"/>
          <w:highlight w:val="none"/>
          <w:lang w:eastAsia="zh-CN"/>
        </w:rPr>
        <w:t>）</w:t>
      </w:r>
      <w:r>
        <w:rPr>
          <w:rFonts w:hint="default" w:ascii="Times New Roman" w:hAnsi="Times New Roman" w:eastAsia="宋体" w:cs="Times New Roman"/>
          <w:color w:val="auto"/>
          <w:sz w:val="30"/>
          <w:highlight w:val="none"/>
        </w:rPr>
        <w:t>矿山地质环境监测工程</w:t>
      </w:r>
      <w:bookmarkEnd w:id="20"/>
    </w:p>
    <w:bookmarkEnd w:id="12"/>
    <w:bookmarkEnd w:id="18"/>
    <w:p>
      <w:pPr>
        <w:spacing w:line="360" w:lineRule="auto"/>
        <w:ind w:firstLine="480" w:firstLineChars="200"/>
        <w:contextualSpacing/>
        <w:rPr>
          <w:rFonts w:hint="default"/>
          <w:color w:val="auto"/>
          <w:sz w:val="24"/>
          <w:highlight w:val="none"/>
        </w:rPr>
      </w:pPr>
      <w:bookmarkStart w:id="21" w:name="_Toc436035418"/>
      <w:r>
        <w:rPr>
          <w:rFonts w:hint="default"/>
          <w:color w:val="auto"/>
          <w:sz w:val="24"/>
          <w:highlight w:val="none"/>
        </w:rPr>
        <w:t>为了切实加强矿山环境保护，矿山存在的地质环境问题主要有：地形地貌景观影响及土地资源破坏。针对以上矿山地质环境问题进行监测工作布置，进行重点监测。本</w:t>
      </w:r>
      <w:r>
        <w:rPr>
          <w:rFonts w:hint="default"/>
          <w:color w:val="auto"/>
          <w:sz w:val="24"/>
          <w:highlight w:val="none"/>
          <w:lang w:eastAsia="zh-CN"/>
        </w:rPr>
        <w:t>年度</w:t>
      </w:r>
      <w:r>
        <w:rPr>
          <w:rFonts w:hint="default"/>
          <w:color w:val="auto"/>
          <w:sz w:val="24"/>
          <w:highlight w:val="none"/>
        </w:rPr>
        <w:t>具体监测方案及内容如下：</w:t>
      </w:r>
    </w:p>
    <w:p>
      <w:pPr>
        <w:tabs>
          <w:tab w:val="left" w:pos="720"/>
        </w:tabs>
        <w:autoSpaceDE w:val="0"/>
        <w:autoSpaceDN w:val="0"/>
        <w:adjustRightInd w:val="0"/>
        <w:spacing w:line="360" w:lineRule="auto"/>
        <w:ind w:firstLine="472"/>
        <w:rPr>
          <w:rFonts w:hint="eastAsia" w:ascii="宋体" w:hAnsi="宋体" w:cs="宋体"/>
          <w:b/>
          <w:color w:val="auto"/>
          <w:sz w:val="24"/>
          <w:highlight w:val="none"/>
        </w:rPr>
      </w:pPr>
      <w:r>
        <w:rPr>
          <w:rFonts w:hint="eastAsia" w:ascii="宋体" w:hAnsi="宋体" w:cs="宋体"/>
          <w:b/>
          <w:color w:val="auto"/>
          <w:sz w:val="24"/>
          <w:highlight w:val="none"/>
          <w:lang w:val="en-US" w:eastAsia="zh-CN"/>
        </w:rPr>
        <w:t>1、</w:t>
      </w:r>
      <w:r>
        <w:rPr>
          <w:rFonts w:hint="eastAsia" w:ascii="宋体" w:hAnsi="宋体" w:cs="宋体"/>
          <w:b/>
          <w:color w:val="auto"/>
          <w:sz w:val="24"/>
          <w:highlight w:val="none"/>
        </w:rPr>
        <w:t>崩塌地质灾害监测</w:t>
      </w:r>
    </w:p>
    <w:p>
      <w:pPr>
        <w:spacing w:line="360" w:lineRule="auto"/>
        <w:ind w:firstLine="480" w:firstLineChars="200"/>
        <w:contextualSpacing/>
        <w:rPr>
          <w:color w:val="auto"/>
          <w:sz w:val="24"/>
          <w:highlight w:val="none"/>
        </w:rPr>
      </w:pPr>
      <w:r>
        <w:rPr>
          <w:color w:val="auto"/>
          <w:sz w:val="24"/>
          <w:highlight w:val="none"/>
        </w:rPr>
        <w:t>建立露天采场边坡岩移观测点，按岩层及地表移动观测规程要求，对受采动影响的地表移动变形情况进行监测。</w:t>
      </w:r>
    </w:p>
    <w:p>
      <w:pPr>
        <w:spacing w:line="360" w:lineRule="auto"/>
        <w:ind w:firstLine="480" w:firstLineChars="200"/>
        <w:contextualSpacing/>
        <w:rPr>
          <w:color w:val="auto"/>
          <w:sz w:val="24"/>
          <w:highlight w:val="none"/>
        </w:rPr>
      </w:pPr>
      <w:r>
        <w:rPr>
          <w:rFonts w:hint="eastAsia"/>
          <w:color w:val="auto"/>
          <w:sz w:val="24"/>
          <w:highlight w:val="none"/>
          <w:lang w:eastAsia="zh-CN"/>
        </w:rPr>
        <w:t>（</w:t>
      </w:r>
      <w:r>
        <w:rPr>
          <w:color w:val="auto"/>
          <w:sz w:val="24"/>
          <w:highlight w:val="none"/>
        </w:rPr>
        <w:t>1</w:t>
      </w:r>
      <w:r>
        <w:rPr>
          <w:rFonts w:hint="eastAsia"/>
          <w:color w:val="auto"/>
          <w:sz w:val="24"/>
          <w:highlight w:val="none"/>
          <w:lang w:eastAsia="zh-CN"/>
        </w:rPr>
        <w:t>）</w:t>
      </w:r>
      <w:r>
        <w:rPr>
          <w:color w:val="auto"/>
          <w:sz w:val="24"/>
          <w:highlight w:val="none"/>
        </w:rPr>
        <w:t>监测点布设</w:t>
      </w:r>
    </w:p>
    <w:p>
      <w:pPr>
        <w:spacing w:line="360" w:lineRule="auto"/>
        <w:ind w:firstLine="480" w:firstLineChars="200"/>
        <w:contextualSpacing/>
        <w:rPr>
          <w:color w:val="auto"/>
          <w:sz w:val="24"/>
          <w:highlight w:val="none"/>
        </w:rPr>
      </w:pPr>
      <w:r>
        <w:rPr>
          <w:color w:val="auto"/>
          <w:sz w:val="24"/>
          <w:highlight w:val="none"/>
        </w:rPr>
        <w:t>根据矿山实际生产情况，在开采过程中的采场边坡进行稳定性监测，实时监测边坡的变化情况。由于监测边坡在开采中不断变化，故监测点设置在露天采场边坡上部。</w:t>
      </w:r>
    </w:p>
    <w:p>
      <w:pPr>
        <w:spacing w:line="360" w:lineRule="auto"/>
        <w:ind w:firstLine="480" w:firstLineChars="200"/>
        <w:contextualSpacing/>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color w:val="auto"/>
          <w:sz w:val="24"/>
          <w:highlight w:val="none"/>
        </w:rPr>
        <w:t>监测内容</w:t>
      </w:r>
    </w:p>
    <w:p>
      <w:pPr>
        <w:spacing w:line="360" w:lineRule="auto"/>
        <w:ind w:firstLine="480" w:firstLineChars="200"/>
        <w:contextualSpacing/>
        <w:rPr>
          <w:color w:val="auto"/>
          <w:sz w:val="24"/>
          <w:highlight w:val="none"/>
        </w:rPr>
      </w:pPr>
      <w:r>
        <w:rPr>
          <w:color w:val="auto"/>
          <w:sz w:val="24"/>
          <w:highlight w:val="none"/>
        </w:rPr>
        <w:t>崩塌：目测、拍照并记录其位置、规模、形成模式、诱因、发生时间等数据；边坡移动变形采用仪器测量其裂缝宽度、变形速度等并进行记录。</w:t>
      </w:r>
    </w:p>
    <w:p>
      <w:pPr>
        <w:spacing w:line="360" w:lineRule="auto"/>
        <w:ind w:firstLine="480" w:firstLineChars="200"/>
        <w:contextualSpacing/>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w:t>
      </w:r>
      <w:r>
        <w:rPr>
          <w:color w:val="auto"/>
          <w:sz w:val="24"/>
          <w:highlight w:val="none"/>
        </w:rPr>
        <w:t>监测方法</w:t>
      </w:r>
    </w:p>
    <w:p>
      <w:pPr>
        <w:spacing w:line="360" w:lineRule="auto"/>
        <w:ind w:firstLine="480" w:firstLineChars="200"/>
        <w:contextualSpacing/>
        <w:rPr>
          <w:color w:val="auto"/>
          <w:sz w:val="24"/>
          <w:highlight w:val="none"/>
        </w:rPr>
      </w:pPr>
      <w:r>
        <w:rPr>
          <w:color w:val="auto"/>
          <w:sz w:val="24"/>
          <w:highlight w:val="none"/>
        </w:rPr>
        <w:t>边坡崩塌监测采用目测法，移动变形监测采用仪器测量法，铺设监测点方法进行监测，监测点位置随边坡向前推进；监测点坐标表见表</w:t>
      </w:r>
      <w:r>
        <w:rPr>
          <w:rFonts w:hint="eastAsia"/>
          <w:color w:val="auto"/>
          <w:sz w:val="24"/>
          <w:highlight w:val="none"/>
          <w:lang w:val="en-US" w:eastAsia="zh-CN"/>
        </w:rPr>
        <w:t>5</w:t>
      </w:r>
      <w:r>
        <w:rPr>
          <w:color w:val="auto"/>
          <w:sz w:val="24"/>
          <w:highlight w:val="none"/>
        </w:rPr>
        <w:t>-</w:t>
      </w:r>
      <w:r>
        <w:rPr>
          <w:rFonts w:hint="eastAsia"/>
          <w:color w:val="auto"/>
          <w:sz w:val="24"/>
          <w:highlight w:val="none"/>
          <w:lang w:val="en-US" w:eastAsia="zh-CN"/>
        </w:rPr>
        <w:t>1</w:t>
      </w:r>
      <w:r>
        <w:rPr>
          <w:color w:val="auto"/>
          <w:sz w:val="24"/>
          <w:highlight w:val="none"/>
        </w:rPr>
        <w:t>。</w:t>
      </w:r>
    </w:p>
    <w:p>
      <w:pPr>
        <w:spacing w:line="360" w:lineRule="auto"/>
        <w:ind w:firstLine="440" w:firstLineChars="200"/>
        <w:contextualSpacing/>
        <w:jc w:val="center"/>
        <w:rPr>
          <w:rFonts w:eastAsia="黑体"/>
          <w:color w:val="auto"/>
          <w:sz w:val="22"/>
          <w:szCs w:val="18"/>
          <w:highlight w:val="none"/>
        </w:rPr>
      </w:pPr>
      <w:r>
        <w:rPr>
          <w:rFonts w:eastAsia="黑体"/>
          <w:color w:val="auto"/>
          <w:sz w:val="22"/>
          <w:szCs w:val="18"/>
          <w:highlight w:val="none"/>
        </w:rPr>
        <w:t>表</w:t>
      </w:r>
      <w:r>
        <w:rPr>
          <w:rFonts w:hint="eastAsia" w:eastAsia="黑体"/>
          <w:color w:val="auto"/>
          <w:sz w:val="22"/>
          <w:szCs w:val="18"/>
          <w:highlight w:val="none"/>
          <w:lang w:val="en-US" w:eastAsia="zh-CN"/>
        </w:rPr>
        <w:t>5</w:t>
      </w:r>
      <w:r>
        <w:rPr>
          <w:rFonts w:eastAsia="黑体"/>
          <w:color w:val="auto"/>
          <w:sz w:val="22"/>
          <w:szCs w:val="18"/>
          <w:highlight w:val="none"/>
        </w:rPr>
        <w:t>-</w:t>
      </w:r>
      <w:r>
        <w:rPr>
          <w:rFonts w:hint="eastAsia" w:eastAsia="黑体"/>
          <w:color w:val="auto"/>
          <w:sz w:val="22"/>
          <w:szCs w:val="18"/>
          <w:highlight w:val="none"/>
          <w:lang w:val="en-US" w:eastAsia="zh-CN"/>
        </w:rPr>
        <w:t>1</w:t>
      </w:r>
      <w:r>
        <w:rPr>
          <w:rFonts w:eastAsia="黑体"/>
          <w:color w:val="auto"/>
          <w:sz w:val="22"/>
          <w:szCs w:val="18"/>
          <w:highlight w:val="none"/>
        </w:rPr>
        <w:t xml:space="preserve">   地质灾害监测点坐标表</w:t>
      </w:r>
    </w:p>
    <w:tbl>
      <w:tblPr>
        <w:tblStyle w:val="10"/>
        <w:tblW w:w="4687" w:type="pct"/>
        <w:tblInd w:w="274" w:type="dxa"/>
        <w:tblLayout w:type="fixed"/>
        <w:tblCellMar>
          <w:top w:w="0" w:type="dxa"/>
          <w:left w:w="108" w:type="dxa"/>
          <w:bottom w:w="0" w:type="dxa"/>
          <w:right w:w="108" w:type="dxa"/>
        </w:tblCellMar>
      </w:tblPr>
      <w:tblGrid>
        <w:gridCol w:w="1110"/>
        <w:gridCol w:w="1560"/>
        <w:gridCol w:w="1395"/>
        <w:gridCol w:w="1185"/>
        <w:gridCol w:w="1371"/>
        <w:gridCol w:w="1374"/>
      </w:tblGrid>
      <w:tr>
        <w:tblPrEx>
          <w:tblCellMar>
            <w:top w:w="0" w:type="dxa"/>
            <w:left w:w="108" w:type="dxa"/>
            <w:bottom w:w="0" w:type="dxa"/>
            <w:right w:w="108" w:type="dxa"/>
          </w:tblCellMar>
        </w:tblPrEx>
        <w:trPr>
          <w:trHeight w:val="319" w:hRule="atLeast"/>
        </w:trPr>
        <w:tc>
          <w:tcPr>
            <w:tcW w:w="694"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拐点编号</w:t>
            </w:r>
          </w:p>
        </w:tc>
        <w:tc>
          <w:tcPr>
            <w:tcW w:w="975" w:type="pct"/>
            <w:tcBorders>
              <w:top w:val="single" w:color="auto" w:sz="4" w:space="0"/>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X</w:t>
            </w:r>
          </w:p>
        </w:tc>
        <w:tc>
          <w:tcPr>
            <w:tcW w:w="872" w:type="pct"/>
            <w:tcBorders>
              <w:top w:val="single" w:color="auto" w:sz="4" w:space="0"/>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Y</w:t>
            </w:r>
          </w:p>
        </w:tc>
        <w:tc>
          <w:tcPr>
            <w:tcW w:w="741" w:type="pct"/>
            <w:tcBorders>
              <w:top w:val="single" w:color="auto" w:sz="4" w:space="0"/>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拐点编号</w:t>
            </w:r>
          </w:p>
        </w:tc>
        <w:tc>
          <w:tcPr>
            <w:tcW w:w="857" w:type="pct"/>
            <w:tcBorders>
              <w:top w:val="single" w:color="auto" w:sz="4" w:space="0"/>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X</w:t>
            </w:r>
          </w:p>
        </w:tc>
        <w:tc>
          <w:tcPr>
            <w:tcW w:w="859" w:type="pct"/>
            <w:tcBorders>
              <w:top w:val="single" w:color="auto" w:sz="4" w:space="0"/>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Y</w:t>
            </w:r>
          </w:p>
        </w:tc>
      </w:tr>
      <w:tr>
        <w:tblPrEx>
          <w:tblCellMar>
            <w:top w:w="0" w:type="dxa"/>
            <w:left w:w="108" w:type="dxa"/>
            <w:bottom w:w="0" w:type="dxa"/>
            <w:right w:w="108" w:type="dxa"/>
          </w:tblCellMar>
        </w:tblPrEx>
        <w:trPr>
          <w:trHeight w:val="333" w:hRule="atLeast"/>
        </w:trPr>
        <w:tc>
          <w:tcPr>
            <w:tcW w:w="694" w:type="pct"/>
            <w:tcBorders>
              <w:top w:val="nil"/>
              <w:left w:val="single" w:color="auto" w:sz="4" w:space="0"/>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1</w:t>
            </w:r>
          </w:p>
        </w:tc>
        <w:tc>
          <w:tcPr>
            <w:tcW w:w="975" w:type="pct"/>
            <w:tcBorders>
              <w:top w:val="nil"/>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4634767.98</w:t>
            </w:r>
          </w:p>
        </w:tc>
        <w:tc>
          <w:tcPr>
            <w:tcW w:w="872" w:type="pct"/>
            <w:tcBorders>
              <w:top w:val="nil"/>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40402532.03</w:t>
            </w:r>
          </w:p>
        </w:tc>
        <w:tc>
          <w:tcPr>
            <w:tcW w:w="741" w:type="pct"/>
            <w:tcBorders>
              <w:top w:val="nil"/>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4</w:t>
            </w:r>
          </w:p>
        </w:tc>
        <w:tc>
          <w:tcPr>
            <w:tcW w:w="857" w:type="pct"/>
            <w:tcBorders>
              <w:top w:val="nil"/>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4634850.54</w:t>
            </w:r>
          </w:p>
        </w:tc>
        <w:tc>
          <w:tcPr>
            <w:tcW w:w="859" w:type="pct"/>
            <w:tcBorders>
              <w:top w:val="nil"/>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40402643.03</w:t>
            </w:r>
          </w:p>
        </w:tc>
      </w:tr>
      <w:tr>
        <w:tblPrEx>
          <w:tblCellMar>
            <w:top w:w="0" w:type="dxa"/>
            <w:left w:w="108" w:type="dxa"/>
            <w:bottom w:w="0" w:type="dxa"/>
            <w:right w:w="108" w:type="dxa"/>
          </w:tblCellMar>
        </w:tblPrEx>
        <w:trPr>
          <w:trHeight w:val="333" w:hRule="atLeast"/>
        </w:trPr>
        <w:tc>
          <w:tcPr>
            <w:tcW w:w="694" w:type="pct"/>
            <w:tcBorders>
              <w:top w:val="nil"/>
              <w:left w:val="single" w:color="auto" w:sz="4" w:space="0"/>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2</w:t>
            </w:r>
          </w:p>
        </w:tc>
        <w:tc>
          <w:tcPr>
            <w:tcW w:w="975" w:type="pct"/>
            <w:tcBorders>
              <w:top w:val="nil"/>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4634827.60</w:t>
            </w:r>
          </w:p>
        </w:tc>
        <w:tc>
          <w:tcPr>
            <w:tcW w:w="872" w:type="pct"/>
            <w:tcBorders>
              <w:top w:val="nil"/>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40402526.99</w:t>
            </w:r>
          </w:p>
        </w:tc>
        <w:tc>
          <w:tcPr>
            <w:tcW w:w="741" w:type="pct"/>
            <w:tcBorders>
              <w:top w:val="nil"/>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5</w:t>
            </w:r>
          </w:p>
        </w:tc>
        <w:tc>
          <w:tcPr>
            <w:tcW w:w="857" w:type="pct"/>
            <w:tcBorders>
              <w:top w:val="nil"/>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4634837.69</w:t>
            </w:r>
          </w:p>
        </w:tc>
        <w:tc>
          <w:tcPr>
            <w:tcW w:w="859" w:type="pct"/>
            <w:tcBorders>
              <w:top w:val="nil"/>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40402687.06</w:t>
            </w:r>
          </w:p>
        </w:tc>
      </w:tr>
      <w:tr>
        <w:tblPrEx>
          <w:tblCellMar>
            <w:top w:w="0" w:type="dxa"/>
            <w:left w:w="108" w:type="dxa"/>
            <w:bottom w:w="0" w:type="dxa"/>
            <w:right w:w="108" w:type="dxa"/>
          </w:tblCellMar>
        </w:tblPrEx>
        <w:trPr>
          <w:trHeight w:val="333" w:hRule="atLeast"/>
        </w:trPr>
        <w:tc>
          <w:tcPr>
            <w:tcW w:w="694" w:type="pct"/>
            <w:tcBorders>
              <w:top w:val="nil"/>
              <w:left w:val="single" w:color="auto" w:sz="4" w:space="0"/>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3</w:t>
            </w:r>
          </w:p>
        </w:tc>
        <w:tc>
          <w:tcPr>
            <w:tcW w:w="975" w:type="pct"/>
            <w:tcBorders>
              <w:top w:val="nil"/>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4634862.46</w:t>
            </w:r>
          </w:p>
        </w:tc>
        <w:tc>
          <w:tcPr>
            <w:tcW w:w="872" w:type="pct"/>
            <w:tcBorders>
              <w:top w:val="nil"/>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40402587.53</w:t>
            </w:r>
          </w:p>
        </w:tc>
        <w:tc>
          <w:tcPr>
            <w:tcW w:w="741" w:type="pct"/>
            <w:tcBorders>
              <w:top w:val="nil"/>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6</w:t>
            </w:r>
          </w:p>
        </w:tc>
        <w:tc>
          <w:tcPr>
            <w:tcW w:w="857" w:type="pct"/>
            <w:tcBorders>
              <w:top w:val="nil"/>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4634843.66</w:t>
            </w:r>
          </w:p>
        </w:tc>
        <w:tc>
          <w:tcPr>
            <w:tcW w:w="859" w:type="pct"/>
            <w:tcBorders>
              <w:top w:val="nil"/>
              <w:left w:val="nil"/>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40402732.01</w:t>
            </w:r>
          </w:p>
        </w:tc>
      </w:tr>
      <w:tr>
        <w:tblPrEx>
          <w:tblCellMar>
            <w:top w:w="0" w:type="dxa"/>
            <w:left w:w="108" w:type="dxa"/>
            <w:bottom w:w="0" w:type="dxa"/>
            <w:right w:w="108" w:type="dxa"/>
          </w:tblCellMar>
        </w:tblPrEx>
        <w:trPr>
          <w:trHeight w:val="330" w:hRule="atLeast"/>
        </w:trPr>
        <w:tc>
          <w:tcPr>
            <w:tcW w:w="5000" w:type="pct"/>
            <w:gridSpan w:val="6"/>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tLeast"/>
              <w:ind w:left="0" w:leftChars="0" w:firstLine="0" w:firstLineChars="0"/>
              <w:jc w:val="center"/>
              <w:rPr>
                <w:rFonts w:hint="default" w:ascii="Times New Roman" w:hAnsi="Times New Roman" w:eastAsia="宋体" w:cs="Times New Roman"/>
                <w:color w:val="auto"/>
                <w:sz w:val="22"/>
                <w:szCs w:val="20"/>
                <w:highlight w:val="none"/>
              </w:rPr>
            </w:pPr>
            <w:r>
              <w:rPr>
                <w:rFonts w:hint="default" w:ascii="Times New Roman" w:hAnsi="Times New Roman" w:eastAsia="宋体" w:cs="Times New Roman"/>
                <w:color w:val="auto"/>
                <w:sz w:val="22"/>
                <w:szCs w:val="20"/>
                <w:highlight w:val="none"/>
              </w:rPr>
              <w:t>2000国家大地坐标系</w:t>
            </w:r>
          </w:p>
        </w:tc>
      </w:tr>
    </w:tbl>
    <w:p>
      <w:pPr>
        <w:spacing w:line="360" w:lineRule="auto"/>
        <w:ind w:firstLine="480" w:firstLineChars="200"/>
        <w:contextualSpacing/>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w:t>
      </w:r>
      <w:r>
        <w:rPr>
          <w:color w:val="auto"/>
          <w:sz w:val="24"/>
          <w:highlight w:val="none"/>
        </w:rPr>
        <w:t>监测频率</w:t>
      </w:r>
    </w:p>
    <w:p>
      <w:pPr>
        <w:spacing w:line="360" w:lineRule="auto"/>
        <w:ind w:firstLine="480" w:firstLineChars="200"/>
        <w:contextualSpacing/>
        <w:rPr>
          <w:color w:val="auto"/>
          <w:sz w:val="24"/>
          <w:highlight w:val="none"/>
        </w:rPr>
      </w:pPr>
      <w:r>
        <w:rPr>
          <w:color w:val="auto"/>
          <w:sz w:val="24"/>
          <w:highlight w:val="none"/>
        </w:rPr>
        <w:t>正常情况下每月监测</w:t>
      </w:r>
      <w:r>
        <w:rPr>
          <w:rFonts w:hint="eastAsia"/>
          <w:color w:val="auto"/>
          <w:sz w:val="24"/>
          <w:highlight w:val="none"/>
          <w:lang w:val="en-US" w:eastAsia="zh-CN"/>
        </w:rPr>
        <w:t>1</w:t>
      </w:r>
      <w:r>
        <w:rPr>
          <w:color w:val="auto"/>
          <w:sz w:val="24"/>
          <w:highlight w:val="none"/>
        </w:rPr>
        <w:t>次，雨季时应每周1次；根据实际情况，对于存在隐患的地段则应每天监测1次，或者进行连续跟踪监测，确保及时预警崩塌灾害的发生，避免人员财产的损失。</w:t>
      </w:r>
    </w:p>
    <w:p>
      <w:pPr>
        <w:spacing w:line="360" w:lineRule="auto"/>
        <w:ind w:firstLine="480" w:firstLineChars="200"/>
        <w:contextualSpacing/>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5</w:t>
      </w:r>
      <w:r>
        <w:rPr>
          <w:rFonts w:hint="eastAsia"/>
          <w:color w:val="auto"/>
          <w:sz w:val="24"/>
          <w:highlight w:val="none"/>
          <w:lang w:eastAsia="zh-CN"/>
        </w:rPr>
        <w:t>）</w:t>
      </w:r>
      <w:r>
        <w:rPr>
          <w:color w:val="auto"/>
          <w:sz w:val="24"/>
          <w:highlight w:val="none"/>
        </w:rPr>
        <w:t>监测时限</w:t>
      </w:r>
    </w:p>
    <w:p>
      <w:pPr>
        <w:spacing w:line="360" w:lineRule="auto"/>
        <w:ind w:firstLine="480" w:firstLineChars="200"/>
        <w:contextualSpacing/>
        <w:rPr>
          <w:color w:val="auto"/>
          <w:sz w:val="24"/>
          <w:highlight w:val="none"/>
        </w:rPr>
      </w:pPr>
      <w:r>
        <w:rPr>
          <w:color w:val="auto"/>
          <w:sz w:val="24"/>
          <w:highlight w:val="none"/>
        </w:rPr>
        <w:t>监测时间：202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1</w:t>
      </w:r>
      <w:r>
        <w:rPr>
          <w:color w:val="auto"/>
          <w:sz w:val="24"/>
          <w:highlight w:val="none"/>
        </w:rPr>
        <w:t>月1日至20</w:t>
      </w:r>
      <w:r>
        <w:rPr>
          <w:rFonts w:hint="eastAsia"/>
          <w:color w:val="auto"/>
          <w:sz w:val="24"/>
          <w:highlight w:val="none"/>
        </w:rPr>
        <w:t>2</w:t>
      </w:r>
      <w:r>
        <w:rPr>
          <w:rFonts w:hint="eastAsia"/>
          <w:color w:val="auto"/>
          <w:sz w:val="24"/>
          <w:highlight w:val="none"/>
          <w:lang w:val="en-US" w:eastAsia="zh-CN"/>
        </w:rPr>
        <w:t>4</w:t>
      </w:r>
      <w:r>
        <w:rPr>
          <w:color w:val="auto"/>
          <w:sz w:val="24"/>
          <w:highlight w:val="none"/>
        </w:rPr>
        <w:t>年</w:t>
      </w:r>
      <w:r>
        <w:rPr>
          <w:rFonts w:hint="eastAsia"/>
          <w:color w:val="auto"/>
          <w:sz w:val="24"/>
          <w:highlight w:val="none"/>
          <w:lang w:val="en-US" w:eastAsia="zh-CN"/>
        </w:rPr>
        <w:t>12</w:t>
      </w:r>
      <w:r>
        <w:rPr>
          <w:color w:val="auto"/>
          <w:sz w:val="24"/>
          <w:highlight w:val="none"/>
        </w:rPr>
        <w:t>月3</w:t>
      </w:r>
      <w:r>
        <w:rPr>
          <w:rFonts w:hint="eastAsia"/>
          <w:color w:val="auto"/>
          <w:sz w:val="24"/>
          <w:highlight w:val="none"/>
          <w:lang w:val="en-US" w:eastAsia="zh-CN"/>
        </w:rPr>
        <w:t>1</w:t>
      </w:r>
      <w:r>
        <w:rPr>
          <w:color w:val="auto"/>
          <w:sz w:val="24"/>
          <w:highlight w:val="none"/>
        </w:rPr>
        <w:t>日。监测记录表见表</w:t>
      </w:r>
      <w:r>
        <w:rPr>
          <w:rFonts w:hint="eastAsia"/>
          <w:color w:val="auto"/>
          <w:sz w:val="24"/>
          <w:highlight w:val="none"/>
          <w:lang w:val="en-US" w:eastAsia="zh-CN"/>
        </w:rPr>
        <w:t>5</w:t>
      </w:r>
      <w:r>
        <w:rPr>
          <w:color w:val="auto"/>
          <w:sz w:val="24"/>
          <w:highlight w:val="none"/>
        </w:rPr>
        <w:t>-</w:t>
      </w:r>
      <w:r>
        <w:rPr>
          <w:rFonts w:hint="eastAsia"/>
          <w:color w:val="auto"/>
          <w:sz w:val="24"/>
          <w:highlight w:val="none"/>
          <w:lang w:val="en-US" w:eastAsia="zh-CN"/>
        </w:rPr>
        <w:t>2</w:t>
      </w:r>
      <w:r>
        <w:rPr>
          <w:color w:val="auto"/>
          <w:sz w:val="24"/>
          <w:highlight w:val="none"/>
        </w:rPr>
        <w:t>。</w:t>
      </w:r>
    </w:p>
    <w:p>
      <w:pPr>
        <w:spacing w:line="360" w:lineRule="auto"/>
        <w:ind w:firstLine="440" w:firstLineChars="200"/>
        <w:contextualSpacing/>
        <w:jc w:val="center"/>
        <w:rPr>
          <w:color w:val="auto"/>
          <w:sz w:val="22"/>
          <w:szCs w:val="18"/>
          <w:highlight w:val="none"/>
        </w:rPr>
      </w:pPr>
      <w:r>
        <w:rPr>
          <w:rFonts w:eastAsia="黑体"/>
          <w:color w:val="auto"/>
          <w:sz w:val="22"/>
          <w:szCs w:val="18"/>
          <w:highlight w:val="none"/>
        </w:rPr>
        <w:t>表</w:t>
      </w:r>
      <w:r>
        <w:rPr>
          <w:rFonts w:hint="eastAsia" w:eastAsia="黑体"/>
          <w:color w:val="auto"/>
          <w:sz w:val="22"/>
          <w:szCs w:val="18"/>
          <w:highlight w:val="none"/>
          <w:lang w:val="en-US" w:eastAsia="zh-CN"/>
        </w:rPr>
        <w:t>5</w:t>
      </w:r>
      <w:r>
        <w:rPr>
          <w:rFonts w:eastAsia="黑体"/>
          <w:color w:val="auto"/>
          <w:sz w:val="22"/>
          <w:szCs w:val="18"/>
          <w:highlight w:val="none"/>
        </w:rPr>
        <w:t>-</w:t>
      </w:r>
      <w:r>
        <w:rPr>
          <w:rFonts w:hint="eastAsia" w:eastAsia="黑体"/>
          <w:color w:val="auto"/>
          <w:sz w:val="22"/>
          <w:szCs w:val="18"/>
          <w:highlight w:val="none"/>
          <w:lang w:val="en-US" w:eastAsia="zh-CN"/>
        </w:rPr>
        <w:t>2</w:t>
      </w:r>
      <w:r>
        <w:rPr>
          <w:rFonts w:eastAsia="黑体"/>
          <w:color w:val="auto"/>
          <w:sz w:val="22"/>
          <w:szCs w:val="18"/>
          <w:highlight w:val="none"/>
        </w:rPr>
        <w:t xml:space="preserve">  地质灾害监测记录表</w:t>
      </w:r>
    </w:p>
    <w:tbl>
      <w:tblPr>
        <w:tblStyle w:val="10"/>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10"/>
        <w:gridCol w:w="567"/>
        <w:gridCol w:w="851"/>
        <w:gridCol w:w="992"/>
        <w:gridCol w:w="1134"/>
        <w:gridCol w:w="971"/>
        <w:gridCol w:w="734"/>
        <w:gridCol w:w="706"/>
        <w:gridCol w:w="569"/>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Merge w:val="restart"/>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r>
              <w:rPr>
                <w:rFonts w:hint="eastAsia" w:ascii="Times New Roman" w:hAnsi="Times New Roman" w:eastAsia="宋体" w:cs="Times New Roman"/>
                <w:color w:val="auto"/>
                <w:sz w:val="22"/>
                <w:szCs w:val="20"/>
                <w:highlight w:val="none"/>
              </w:rPr>
              <w:t>监测时间</w:t>
            </w:r>
          </w:p>
        </w:tc>
        <w:tc>
          <w:tcPr>
            <w:tcW w:w="710" w:type="dxa"/>
            <w:vMerge w:val="restart"/>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r>
              <w:rPr>
                <w:rFonts w:hint="eastAsia" w:ascii="Times New Roman" w:hAnsi="Times New Roman" w:eastAsia="宋体" w:cs="Times New Roman"/>
                <w:color w:val="auto"/>
                <w:sz w:val="22"/>
                <w:szCs w:val="20"/>
                <w:highlight w:val="none"/>
              </w:rPr>
              <w:t>监测点编号</w:t>
            </w:r>
          </w:p>
        </w:tc>
        <w:tc>
          <w:tcPr>
            <w:tcW w:w="1418" w:type="dxa"/>
            <w:gridSpan w:val="2"/>
            <w:vMerge w:val="restart"/>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r>
              <w:rPr>
                <w:rFonts w:hint="eastAsia" w:ascii="Times New Roman" w:hAnsi="Times New Roman" w:eastAsia="宋体" w:cs="Times New Roman"/>
                <w:color w:val="auto"/>
                <w:sz w:val="22"/>
                <w:szCs w:val="20"/>
                <w:highlight w:val="none"/>
              </w:rPr>
              <w:t>监测点坐标</w:t>
            </w:r>
          </w:p>
        </w:tc>
        <w:tc>
          <w:tcPr>
            <w:tcW w:w="4537" w:type="dxa"/>
            <w:gridSpan w:val="5"/>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r>
              <w:rPr>
                <w:rFonts w:hint="eastAsia" w:ascii="Times New Roman" w:hAnsi="Times New Roman" w:eastAsia="宋体" w:cs="Times New Roman"/>
                <w:color w:val="auto"/>
                <w:sz w:val="22"/>
                <w:szCs w:val="20"/>
                <w:highlight w:val="none"/>
              </w:rPr>
              <w:t>监测内容</w:t>
            </w:r>
          </w:p>
        </w:tc>
        <w:tc>
          <w:tcPr>
            <w:tcW w:w="569" w:type="dxa"/>
            <w:vMerge w:val="restart"/>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r>
              <w:rPr>
                <w:rFonts w:hint="eastAsia" w:ascii="Times New Roman" w:hAnsi="Times New Roman" w:eastAsia="宋体" w:cs="Times New Roman"/>
                <w:color w:val="auto"/>
                <w:sz w:val="22"/>
                <w:szCs w:val="20"/>
                <w:highlight w:val="none"/>
              </w:rPr>
              <w:t>备注</w:t>
            </w:r>
          </w:p>
        </w:tc>
        <w:tc>
          <w:tcPr>
            <w:tcW w:w="670" w:type="dxa"/>
            <w:vMerge w:val="restart"/>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r>
              <w:rPr>
                <w:rFonts w:hint="eastAsia" w:ascii="Times New Roman" w:hAnsi="Times New Roman" w:eastAsia="宋体" w:cs="Times New Roman"/>
                <w:color w:val="auto"/>
                <w:sz w:val="22"/>
                <w:szCs w:val="20"/>
                <w:highlight w:val="none"/>
              </w:rPr>
              <w:t>记录人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816" w:type="dxa"/>
            <w:vMerge w:val="continue"/>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710" w:type="dxa"/>
            <w:vMerge w:val="continue"/>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1418" w:type="dxa"/>
            <w:gridSpan w:val="2"/>
            <w:vMerge w:val="continue"/>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992" w:type="dxa"/>
            <w:vMerge w:val="restart"/>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r>
              <w:rPr>
                <w:rFonts w:hint="eastAsia" w:ascii="Times New Roman" w:hAnsi="Times New Roman" w:eastAsia="宋体" w:cs="Times New Roman"/>
                <w:color w:val="auto"/>
                <w:sz w:val="22"/>
                <w:szCs w:val="20"/>
                <w:highlight w:val="none"/>
              </w:rPr>
              <w:t>坡向及坡角（°）</w:t>
            </w:r>
          </w:p>
        </w:tc>
        <w:tc>
          <w:tcPr>
            <w:tcW w:w="1134" w:type="dxa"/>
            <w:vMerge w:val="restart"/>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r>
              <w:rPr>
                <w:rFonts w:hint="eastAsia" w:ascii="Times New Roman" w:hAnsi="Times New Roman" w:eastAsia="宋体" w:cs="Times New Roman"/>
                <w:color w:val="auto"/>
                <w:sz w:val="22"/>
                <w:szCs w:val="20"/>
                <w:highlight w:val="none"/>
              </w:rPr>
              <w:t>变形速度（mm/d）</w:t>
            </w:r>
          </w:p>
        </w:tc>
        <w:tc>
          <w:tcPr>
            <w:tcW w:w="971" w:type="dxa"/>
            <w:vMerge w:val="restart"/>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r>
              <w:rPr>
                <w:rFonts w:hint="eastAsia" w:ascii="Times New Roman" w:hAnsi="Times New Roman" w:eastAsia="宋体" w:cs="Times New Roman"/>
                <w:color w:val="auto"/>
                <w:sz w:val="22"/>
                <w:szCs w:val="20"/>
                <w:highlight w:val="none"/>
              </w:rPr>
              <w:t>底部是否有落石</w:t>
            </w:r>
          </w:p>
        </w:tc>
        <w:tc>
          <w:tcPr>
            <w:tcW w:w="1440" w:type="dxa"/>
            <w:gridSpan w:val="2"/>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r>
              <w:rPr>
                <w:rFonts w:hint="eastAsia" w:ascii="Times New Roman" w:hAnsi="Times New Roman" w:eastAsia="宋体" w:cs="Times New Roman"/>
                <w:color w:val="auto"/>
                <w:sz w:val="22"/>
                <w:szCs w:val="20"/>
                <w:highlight w:val="none"/>
              </w:rPr>
              <w:t>变形破坏方式</w:t>
            </w:r>
          </w:p>
        </w:tc>
        <w:tc>
          <w:tcPr>
            <w:tcW w:w="569" w:type="dxa"/>
            <w:vMerge w:val="continue"/>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670" w:type="dxa"/>
            <w:vMerge w:val="continue"/>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816" w:type="dxa"/>
            <w:vMerge w:val="continue"/>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710" w:type="dxa"/>
            <w:vMerge w:val="continue"/>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567"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r>
              <w:rPr>
                <w:rFonts w:hint="eastAsia" w:ascii="Times New Roman" w:hAnsi="Times New Roman" w:eastAsia="宋体" w:cs="Times New Roman"/>
                <w:color w:val="auto"/>
                <w:sz w:val="22"/>
                <w:szCs w:val="20"/>
                <w:highlight w:val="none"/>
              </w:rPr>
              <w:t>X</w:t>
            </w:r>
          </w:p>
        </w:tc>
        <w:tc>
          <w:tcPr>
            <w:tcW w:w="851"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r>
              <w:rPr>
                <w:rFonts w:hint="eastAsia" w:ascii="Times New Roman" w:hAnsi="Times New Roman" w:eastAsia="宋体" w:cs="Times New Roman"/>
                <w:color w:val="auto"/>
                <w:sz w:val="22"/>
                <w:szCs w:val="20"/>
                <w:highlight w:val="none"/>
              </w:rPr>
              <w:t>Y</w:t>
            </w:r>
          </w:p>
        </w:tc>
        <w:tc>
          <w:tcPr>
            <w:tcW w:w="992" w:type="dxa"/>
            <w:vMerge w:val="continue"/>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1134" w:type="dxa"/>
            <w:vMerge w:val="continue"/>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971" w:type="dxa"/>
            <w:vMerge w:val="continue"/>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734"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r>
              <w:rPr>
                <w:rFonts w:hint="eastAsia" w:ascii="Times New Roman" w:hAnsi="Times New Roman" w:eastAsia="宋体" w:cs="Times New Roman"/>
                <w:color w:val="auto"/>
                <w:sz w:val="22"/>
                <w:szCs w:val="20"/>
                <w:highlight w:val="none"/>
              </w:rPr>
              <w:t>倾倒</w:t>
            </w:r>
          </w:p>
        </w:tc>
        <w:tc>
          <w:tcPr>
            <w:tcW w:w="706"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r>
              <w:rPr>
                <w:rFonts w:hint="eastAsia" w:ascii="Times New Roman" w:hAnsi="Times New Roman" w:eastAsia="宋体" w:cs="Times New Roman"/>
                <w:color w:val="auto"/>
                <w:sz w:val="22"/>
                <w:szCs w:val="20"/>
                <w:highlight w:val="none"/>
              </w:rPr>
              <w:t>滑移</w:t>
            </w:r>
          </w:p>
        </w:tc>
        <w:tc>
          <w:tcPr>
            <w:tcW w:w="569" w:type="dxa"/>
            <w:vMerge w:val="continue"/>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670" w:type="dxa"/>
            <w:vMerge w:val="continue"/>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710"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567"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851"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992"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1134"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971"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734"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706"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569"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670"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710"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567"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851"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992"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1134"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971"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734"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706"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569"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670"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710"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567"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851"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992"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1134"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971"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734"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706"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569"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670"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710"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567"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851"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992"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1134"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971"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734"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706"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569"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c>
          <w:tcPr>
            <w:tcW w:w="670" w:type="dxa"/>
            <w:noWrap w:val="0"/>
            <w:vAlign w:val="center"/>
          </w:tcPr>
          <w:p>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2"/>
                <w:szCs w:val="20"/>
                <w:highlight w:val="none"/>
              </w:rPr>
            </w:pPr>
          </w:p>
        </w:tc>
      </w:tr>
    </w:tbl>
    <w:p>
      <w:pPr>
        <w:pageBreakBefore w:val="0"/>
        <w:widowControl w:val="0"/>
        <w:kinsoku/>
        <w:wordWrap/>
        <w:overflowPunct/>
        <w:topLinePunct w:val="0"/>
        <w:bidi w:val="0"/>
        <w:adjustRightInd w:val="0"/>
        <w:spacing w:line="408" w:lineRule="auto"/>
        <w:ind w:firstLine="482" w:firstLineChars="200"/>
        <w:contextualSpacing/>
        <w:textAlignment w:val="auto"/>
        <w:rPr>
          <w:rFonts w:hint="default" w:ascii="Times New Roman" w:hAnsi="Times New Roman" w:eastAsia="宋体" w:cs="Times New Roman"/>
          <w:b/>
          <w:color w:val="auto"/>
          <w:sz w:val="24"/>
          <w:highlight w:val="none"/>
        </w:rPr>
      </w:pPr>
      <w:r>
        <w:rPr>
          <w:rFonts w:hint="eastAsia" w:cs="Times New Roman"/>
          <w:b/>
          <w:color w:val="auto"/>
          <w:sz w:val="24"/>
          <w:highlight w:val="none"/>
          <w:lang w:val="en-US" w:eastAsia="zh-CN"/>
        </w:rPr>
        <w:t>2、</w:t>
      </w:r>
      <w:r>
        <w:rPr>
          <w:rFonts w:hint="default" w:ascii="Times New Roman" w:hAnsi="Times New Roman" w:eastAsia="宋体" w:cs="Times New Roman"/>
          <w:b/>
          <w:color w:val="auto"/>
          <w:sz w:val="24"/>
          <w:highlight w:val="none"/>
        </w:rPr>
        <w:t>地形地貌景观及土地资源监测</w:t>
      </w:r>
    </w:p>
    <w:p>
      <w:pPr>
        <w:pageBreakBefore w:val="0"/>
        <w:widowControl w:val="0"/>
        <w:kinsoku/>
        <w:wordWrap/>
        <w:overflowPunct/>
        <w:topLinePunct w:val="0"/>
        <w:bidi w:val="0"/>
        <w:adjustRightInd w:val="0"/>
        <w:spacing w:line="408" w:lineRule="auto"/>
        <w:ind w:firstLine="480" w:firstLineChars="200"/>
        <w:contextualSpacing/>
        <w:jc w:val="left"/>
        <w:textAlignment w:val="auto"/>
        <w:rPr>
          <w:rFonts w:hint="default" w:ascii="Times New Roman" w:hAnsi="Times New Roman" w:eastAsia="宋体" w:cs="Times New Roman"/>
          <w:color w:val="auto"/>
          <w:sz w:val="24"/>
          <w:highlight w:val="none"/>
        </w:rPr>
      </w:pPr>
      <w:r>
        <w:rPr>
          <w:rFonts w:hint="eastAsia"/>
          <w:color w:val="auto"/>
          <w:sz w:val="24"/>
          <w:highlight w:val="none"/>
          <w:lang w:eastAsia="zh-CN"/>
        </w:rPr>
        <w:t>（</w:t>
      </w:r>
      <w:r>
        <w:rPr>
          <w:color w:val="auto"/>
          <w:sz w:val="24"/>
          <w:highlight w:val="none"/>
        </w:rPr>
        <w:t>1</w:t>
      </w:r>
      <w:r>
        <w:rPr>
          <w:rFonts w:hint="eastAsia"/>
          <w:color w:val="auto"/>
          <w:sz w:val="24"/>
          <w:highlight w:val="none"/>
          <w:lang w:eastAsia="zh-CN"/>
        </w:rPr>
        <w:t>）</w:t>
      </w:r>
      <w:r>
        <w:rPr>
          <w:rFonts w:hint="default" w:ascii="Times New Roman" w:hAnsi="Times New Roman" w:eastAsia="宋体" w:cs="Times New Roman"/>
          <w:color w:val="auto"/>
          <w:sz w:val="24"/>
          <w:highlight w:val="none"/>
        </w:rPr>
        <w:t>监测内容</w:t>
      </w:r>
    </w:p>
    <w:p>
      <w:pPr>
        <w:pageBreakBefore w:val="0"/>
        <w:widowControl w:val="0"/>
        <w:kinsoku/>
        <w:wordWrap/>
        <w:overflowPunct/>
        <w:topLinePunct w:val="0"/>
        <w:bidi w:val="0"/>
        <w:adjustRightInd w:val="0"/>
        <w:spacing w:line="408" w:lineRule="auto"/>
        <w:ind w:firstLine="480" w:firstLineChars="200"/>
        <w:contextualSpacing/>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为保护采矿必要破坏土地以外土地免受破坏，对评估区内土地资源、地形地貌景观进行监测</w:t>
      </w:r>
      <w:r>
        <w:rPr>
          <w:rFonts w:hint="default" w:ascii="Times New Roman" w:hAnsi="Times New Roman" w:eastAsia="宋体" w:cs="Times New Roman"/>
          <w:color w:val="auto"/>
          <w:sz w:val="24"/>
          <w:highlight w:val="none"/>
          <w:lang w:eastAsia="zh-CN"/>
        </w:rPr>
        <w:t>。</w:t>
      </w:r>
    </w:p>
    <w:p>
      <w:pPr>
        <w:pageBreakBefore w:val="0"/>
        <w:widowControl w:val="0"/>
        <w:kinsoku/>
        <w:wordWrap/>
        <w:overflowPunct/>
        <w:topLinePunct w:val="0"/>
        <w:bidi w:val="0"/>
        <w:adjustRightInd w:val="0"/>
        <w:spacing w:line="408" w:lineRule="auto"/>
        <w:ind w:firstLine="480" w:firstLineChars="200"/>
        <w:contextualSpacing/>
        <w:jc w:val="left"/>
        <w:textAlignment w:val="auto"/>
        <w:rPr>
          <w:rFonts w:hint="default" w:ascii="Times New Roman" w:hAnsi="Times New Roman" w:eastAsia="宋体" w:cs="Times New Roman"/>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rFonts w:hint="default" w:ascii="Times New Roman" w:hAnsi="Times New Roman" w:eastAsia="宋体" w:cs="Times New Roman"/>
          <w:color w:val="auto"/>
          <w:sz w:val="24"/>
          <w:highlight w:val="none"/>
        </w:rPr>
        <w:t>监测方法</w:t>
      </w:r>
    </w:p>
    <w:p>
      <w:pPr>
        <w:pageBreakBefore w:val="0"/>
        <w:widowControl w:val="0"/>
        <w:kinsoku/>
        <w:wordWrap/>
        <w:overflowPunct/>
        <w:topLinePunct w:val="0"/>
        <w:bidi w:val="0"/>
        <w:adjustRightInd w:val="0"/>
        <w:spacing w:line="408" w:lineRule="auto"/>
        <w:ind w:firstLine="480" w:firstLineChars="200"/>
        <w:contextualSpacing/>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采用目测及拍照摄像相结合的方式，采用路线法，共设计1条监测路线，路线长度</w:t>
      </w:r>
      <w:r>
        <w:rPr>
          <w:rFonts w:hint="default" w:ascii="Times New Roman" w:hAnsi="Times New Roman" w:eastAsia="宋体" w:cs="Times New Roman"/>
          <w:color w:val="auto"/>
          <w:sz w:val="24"/>
          <w:highlight w:val="none"/>
          <w:lang w:eastAsia="zh-CN"/>
        </w:rPr>
        <w:t>1.49km</w:t>
      </w:r>
      <w:r>
        <w:rPr>
          <w:rFonts w:hint="default" w:ascii="Times New Roman" w:hAnsi="Times New Roman" w:eastAsia="宋体" w:cs="Times New Roman"/>
          <w:color w:val="auto"/>
          <w:sz w:val="24"/>
          <w:highlight w:val="none"/>
        </w:rPr>
        <w:t>，对工程场地的外观表现特征参数进行监测，对各区破坏的土地类型进行实地调查</w:t>
      </w:r>
      <w:r>
        <w:rPr>
          <w:rFonts w:hint="default" w:ascii="Times New Roman" w:hAnsi="Times New Roman" w:eastAsia="宋体" w:cs="Times New Roman"/>
          <w:color w:val="auto"/>
          <w:sz w:val="24"/>
          <w:highlight w:val="none"/>
          <w:lang w:eastAsia="zh-CN"/>
        </w:rPr>
        <w:t>。</w:t>
      </w:r>
    </w:p>
    <w:p>
      <w:pPr>
        <w:pageBreakBefore w:val="0"/>
        <w:widowControl w:val="0"/>
        <w:kinsoku/>
        <w:wordWrap/>
        <w:overflowPunct/>
        <w:topLinePunct w:val="0"/>
        <w:bidi w:val="0"/>
        <w:adjustRightInd w:val="0"/>
        <w:spacing w:line="408" w:lineRule="auto"/>
        <w:ind w:firstLine="480" w:firstLineChars="200"/>
        <w:contextualSpacing/>
        <w:jc w:val="left"/>
        <w:textAlignment w:val="auto"/>
        <w:rPr>
          <w:rFonts w:hint="default" w:ascii="Times New Roman" w:hAnsi="Times New Roman" w:eastAsia="宋体" w:cs="Times New Roman"/>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sz w:val="24"/>
          <w:highlight w:val="none"/>
          <w:lang w:eastAsia="zh-CN"/>
        </w:rPr>
        <w:t>）</w:t>
      </w:r>
      <w:r>
        <w:rPr>
          <w:rFonts w:hint="default" w:ascii="Times New Roman" w:hAnsi="Times New Roman" w:eastAsia="宋体" w:cs="Times New Roman"/>
          <w:color w:val="auto"/>
          <w:sz w:val="24"/>
          <w:highlight w:val="none"/>
        </w:rPr>
        <w:t>监测频率</w:t>
      </w:r>
    </w:p>
    <w:p>
      <w:pPr>
        <w:pageBreakBefore w:val="0"/>
        <w:widowControl w:val="0"/>
        <w:kinsoku/>
        <w:wordWrap/>
        <w:overflowPunct/>
        <w:topLinePunct w:val="0"/>
        <w:bidi w:val="0"/>
        <w:adjustRightInd w:val="0"/>
        <w:spacing w:line="408" w:lineRule="auto"/>
        <w:ind w:firstLine="480" w:firstLineChars="200"/>
        <w:contextualSpacing/>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每月目测1次，每年对场地占用情况进行一次仪器测量并拍照摄像</w:t>
      </w:r>
      <w:r>
        <w:rPr>
          <w:rFonts w:hint="default" w:ascii="Times New Roman" w:hAnsi="Times New Roman" w:eastAsia="宋体" w:cs="Times New Roman"/>
          <w:color w:val="auto"/>
          <w:sz w:val="24"/>
          <w:highlight w:val="none"/>
          <w:lang w:eastAsia="zh-CN"/>
        </w:rPr>
        <w:t>。</w:t>
      </w:r>
    </w:p>
    <w:p>
      <w:pPr>
        <w:pStyle w:val="28"/>
        <w:pageBreakBefore w:val="0"/>
        <w:widowControl w:val="0"/>
        <w:kinsoku/>
        <w:wordWrap/>
        <w:overflowPunct/>
        <w:topLinePunct w:val="0"/>
        <w:bidi w:val="0"/>
        <w:adjustRightInd w:val="0"/>
        <w:spacing w:line="408" w:lineRule="auto"/>
        <w:ind w:firstLine="480"/>
        <w:textAlignment w:val="auto"/>
        <w:rPr>
          <w:rFonts w:hint="default" w:ascii="Times New Roman" w:hAnsi="Times New Roman" w:eastAsia="宋体" w:cs="Times New Roman"/>
          <w:color w:val="auto"/>
          <w:sz w:val="24"/>
          <w:szCs w:val="24"/>
          <w:highlight w:val="none"/>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w:t>
      </w:r>
      <w:r>
        <w:rPr>
          <w:rFonts w:hint="default" w:ascii="Times New Roman" w:hAnsi="Times New Roman" w:eastAsia="宋体" w:cs="Times New Roman"/>
          <w:color w:val="auto"/>
          <w:sz w:val="24"/>
          <w:szCs w:val="24"/>
          <w:highlight w:val="none"/>
        </w:rPr>
        <w:t>监测时限</w:t>
      </w:r>
    </w:p>
    <w:p>
      <w:pPr>
        <w:pageBreakBefore w:val="0"/>
        <w:widowControl w:val="0"/>
        <w:kinsoku/>
        <w:wordWrap/>
        <w:overflowPunct/>
        <w:topLinePunct w:val="0"/>
        <w:bidi w:val="0"/>
        <w:adjustRightInd w:val="0"/>
        <w:spacing w:line="408" w:lineRule="auto"/>
        <w:ind w:firstLine="480" w:firstLineChars="200"/>
        <w:contextualSpacing/>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本年度</w:t>
      </w:r>
      <w:r>
        <w:rPr>
          <w:rFonts w:hint="default" w:ascii="Times New Roman" w:hAnsi="Times New Roman" w:eastAsia="宋体" w:cs="Times New Roman"/>
          <w:color w:val="auto"/>
          <w:sz w:val="24"/>
          <w:highlight w:val="none"/>
        </w:rPr>
        <w:t>，自</w:t>
      </w:r>
      <w:r>
        <w:rPr>
          <w:rFonts w:hint="default" w:ascii="Times New Roman" w:hAnsi="Times New Roman" w:eastAsia="宋体" w:cs="Times New Roman"/>
          <w:color w:val="auto"/>
          <w:sz w:val="24"/>
          <w:highlight w:val="none"/>
          <w:lang w:eastAsia="zh-CN"/>
        </w:rPr>
        <w:t>202</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年1月1日</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202</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年12月31日。</w:t>
      </w:r>
    </w:p>
    <w:p>
      <w:pPr>
        <w:pageBreakBefore w:val="0"/>
        <w:widowControl w:val="0"/>
        <w:kinsoku/>
        <w:wordWrap/>
        <w:overflowPunct/>
        <w:topLinePunct w:val="0"/>
        <w:bidi w:val="0"/>
        <w:adjustRightInd w:val="0"/>
        <w:spacing w:line="408" w:lineRule="auto"/>
        <w:contextualSpacing/>
        <w:jc w:val="left"/>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监测记录表见表</w:t>
      </w:r>
      <w:r>
        <w:rPr>
          <w:rFonts w:hint="default" w:ascii="Times New Roman" w:hAnsi="Times New Roman" w:eastAsia="宋体" w:cs="Times New Roman"/>
          <w:color w:val="auto"/>
          <w:sz w:val="24"/>
          <w:highlight w:val="none"/>
          <w:lang w:val="en-US" w:eastAsia="zh-CN"/>
        </w:rPr>
        <w:t>5-</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p>
    <w:p>
      <w:pPr>
        <w:spacing w:line="360" w:lineRule="auto"/>
        <w:ind w:firstLine="440" w:firstLineChars="200"/>
        <w:contextualSpacing/>
        <w:jc w:val="center"/>
        <w:rPr>
          <w:rFonts w:hint="default" w:eastAsia="黑体"/>
          <w:color w:val="auto"/>
          <w:sz w:val="22"/>
          <w:szCs w:val="18"/>
          <w:highlight w:val="none"/>
        </w:rPr>
      </w:pPr>
      <w:r>
        <w:rPr>
          <w:rFonts w:hint="default" w:eastAsia="黑体"/>
          <w:color w:val="auto"/>
          <w:sz w:val="22"/>
          <w:szCs w:val="18"/>
          <w:highlight w:val="none"/>
        </w:rPr>
        <w:t>表</w:t>
      </w:r>
      <w:r>
        <w:rPr>
          <w:rFonts w:hint="default" w:eastAsia="黑体"/>
          <w:color w:val="auto"/>
          <w:sz w:val="22"/>
          <w:szCs w:val="18"/>
          <w:highlight w:val="none"/>
          <w:lang w:val="en-US" w:eastAsia="zh-CN"/>
        </w:rPr>
        <w:t>5</w:t>
      </w:r>
      <w:r>
        <w:rPr>
          <w:rFonts w:hint="default" w:eastAsia="黑体"/>
          <w:color w:val="auto"/>
          <w:sz w:val="22"/>
          <w:szCs w:val="18"/>
          <w:highlight w:val="none"/>
        </w:rPr>
        <w:t>-</w:t>
      </w:r>
      <w:r>
        <w:rPr>
          <w:rFonts w:hint="eastAsia" w:eastAsia="黑体"/>
          <w:color w:val="auto"/>
          <w:sz w:val="22"/>
          <w:szCs w:val="18"/>
          <w:highlight w:val="none"/>
          <w:lang w:val="en-US" w:eastAsia="zh-CN"/>
        </w:rPr>
        <w:t>3</w:t>
      </w:r>
      <w:r>
        <w:rPr>
          <w:rFonts w:hint="default" w:eastAsia="黑体"/>
          <w:color w:val="auto"/>
          <w:sz w:val="22"/>
          <w:szCs w:val="18"/>
          <w:highlight w:val="none"/>
        </w:rPr>
        <w:t xml:space="preserve">  地形地貌景观及土地资源监测记录表</w:t>
      </w:r>
    </w:p>
    <w:p>
      <w:pPr>
        <w:spacing w:line="360" w:lineRule="auto"/>
        <w:ind w:firstLine="440" w:firstLineChars="200"/>
        <w:contextualSpacing/>
        <w:jc w:val="center"/>
        <w:rPr>
          <w:rFonts w:hint="default" w:eastAsia="黑体"/>
          <w:color w:val="auto"/>
          <w:sz w:val="22"/>
          <w:szCs w:val="18"/>
          <w:highlight w:val="none"/>
        </w:rPr>
      </w:pPr>
      <w:r>
        <w:rPr>
          <w:rFonts w:hint="default" w:eastAsia="黑体"/>
          <w:color w:val="auto"/>
          <w:sz w:val="22"/>
          <w:szCs w:val="18"/>
          <w:highlight w:val="none"/>
        </w:rPr>
        <w:t xml:space="preserve">时间：  年   月   日       星期              天气：     </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63"/>
        <w:gridCol w:w="1270"/>
        <w:gridCol w:w="5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3" w:type="dxa"/>
            <w:gridSpan w:val="3"/>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监测单元</w:t>
            </w:r>
          </w:p>
        </w:tc>
        <w:tc>
          <w:tcPr>
            <w:tcW w:w="5235" w:type="dxa"/>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0" w:type="dxa"/>
            <w:vMerge w:val="restart"/>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监测内容</w:t>
            </w:r>
          </w:p>
        </w:tc>
        <w:tc>
          <w:tcPr>
            <w:tcW w:w="2133" w:type="dxa"/>
            <w:gridSpan w:val="2"/>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损毁土地面积（m</w:t>
            </w:r>
            <w:r>
              <w:rPr>
                <w:rFonts w:hint="default" w:ascii="Times New Roman" w:hAnsi="Times New Roman" w:eastAsia="宋体" w:cs="Times New Roman"/>
                <w:i w:val="0"/>
                <w:color w:val="auto"/>
                <w:kern w:val="0"/>
                <w:sz w:val="21"/>
                <w:szCs w:val="21"/>
                <w:highlight w:val="none"/>
                <w:u w:val="none"/>
                <w:vertAlign w:val="superscript"/>
                <w:lang w:val="en-US" w:eastAsia="zh-CN" w:bidi="ar"/>
              </w:rPr>
              <w:t>2</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5235" w:type="dxa"/>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0" w:type="dxa"/>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2133" w:type="dxa"/>
            <w:gridSpan w:val="2"/>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破坏土地利用类型</w:t>
            </w:r>
          </w:p>
        </w:tc>
        <w:tc>
          <w:tcPr>
            <w:tcW w:w="5235" w:type="dxa"/>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0" w:type="dxa"/>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2133" w:type="dxa"/>
            <w:gridSpan w:val="2"/>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损毁方式</w:t>
            </w:r>
          </w:p>
        </w:tc>
        <w:tc>
          <w:tcPr>
            <w:tcW w:w="5235" w:type="dxa"/>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0" w:type="dxa"/>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2133" w:type="dxa"/>
            <w:gridSpan w:val="2"/>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损毁程度</w:t>
            </w:r>
          </w:p>
        </w:tc>
        <w:tc>
          <w:tcPr>
            <w:tcW w:w="5235" w:type="dxa"/>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0" w:type="dxa"/>
            <w:vMerge w:val="continue"/>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c>
          <w:tcPr>
            <w:tcW w:w="2133" w:type="dxa"/>
            <w:gridSpan w:val="2"/>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治理难度</w:t>
            </w:r>
          </w:p>
        </w:tc>
        <w:tc>
          <w:tcPr>
            <w:tcW w:w="5235" w:type="dxa"/>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13" w:type="dxa"/>
            <w:gridSpan w:val="3"/>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监测人员</w:t>
            </w:r>
          </w:p>
        </w:tc>
        <w:tc>
          <w:tcPr>
            <w:tcW w:w="5235" w:type="dxa"/>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148" w:type="dxa"/>
            <w:gridSpan w:val="4"/>
            <w:tcBorders>
              <w:top w:val="nil"/>
              <w:bottom w:val="nil"/>
            </w:tcBorders>
            <w:noWrap w:val="0"/>
            <w:vAlign w:val="center"/>
          </w:tcPr>
          <w:p>
            <w:pPr>
              <w:pStyle w:val="14"/>
              <w:rPr>
                <w:rFonts w:hint="default" w:ascii="Times New Roman" w:hAnsi="Times New Roman" w:eastAsia="宋体" w:cs="Times New Roman"/>
                <w:i w:val="0"/>
                <w:color w:val="auto"/>
                <w:kern w:val="0"/>
                <w:sz w:val="21"/>
                <w:szCs w:val="21"/>
                <w:highlight w:val="none"/>
                <w:u w:val="none"/>
                <w:lang w:val="en-US" w:eastAsia="zh-CN" w:bidi="ar"/>
              </w:rPr>
            </w:pPr>
          </w:p>
          <w:p>
            <w:pPr>
              <w:pStyle w:val="14"/>
              <w:rPr>
                <w:rFonts w:hint="default" w:ascii="Times New Roman" w:hAnsi="Times New Roman" w:eastAsia="宋体" w:cs="Times New Roman"/>
                <w:i w:val="0"/>
                <w:color w:val="auto"/>
                <w:kern w:val="0"/>
                <w:sz w:val="21"/>
                <w:szCs w:val="21"/>
                <w:highlight w:val="none"/>
                <w:u w:val="none"/>
                <w:lang w:val="en-US" w:eastAsia="zh-CN" w:bidi="ar"/>
              </w:rPr>
            </w:pPr>
          </w:p>
          <w:p>
            <w:pPr>
              <w:pStyle w:val="14"/>
              <w:rPr>
                <w:rFonts w:hint="default" w:ascii="Times New Roman" w:hAnsi="Times New Roman" w:eastAsia="宋体" w:cs="Times New Roman"/>
                <w:i w:val="0"/>
                <w:color w:val="auto"/>
                <w:kern w:val="0"/>
                <w:sz w:val="21"/>
                <w:szCs w:val="21"/>
                <w:highlight w:val="none"/>
                <w:u w:val="none"/>
                <w:lang w:val="en-US" w:eastAsia="zh-CN" w:bidi="ar"/>
              </w:rPr>
            </w:pPr>
          </w:p>
          <w:p>
            <w:pPr>
              <w:pStyle w:val="14"/>
              <w:rPr>
                <w:rFonts w:hint="default" w:ascii="Times New Roman" w:hAnsi="Times New Roman" w:eastAsia="宋体" w:cs="Times New Roman"/>
                <w:i w:val="0"/>
                <w:color w:val="auto"/>
                <w:kern w:val="0"/>
                <w:sz w:val="21"/>
                <w:szCs w:val="21"/>
                <w:highlight w:val="none"/>
                <w:u w:val="none"/>
                <w:lang w:val="en-US" w:eastAsia="zh-CN" w:bidi="ar"/>
              </w:rPr>
            </w:pPr>
          </w:p>
          <w:p>
            <w:pPr>
              <w:pStyle w:val="14"/>
              <w:rPr>
                <w:rFonts w:hint="default" w:ascii="Times New Roman" w:hAnsi="Times New Roman" w:eastAsia="宋体" w:cs="Times New Roman"/>
                <w:i w:val="0"/>
                <w:color w:val="auto"/>
                <w:kern w:val="0"/>
                <w:sz w:val="21"/>
                <w:szCs w:val="21"/>
                <w:highlight w:val="none"/>
                <w:u w:val="none"/>
                <w:lang w:val="en-US" w:eastAsia="zh-CN" w:bidi="ar"/>
              </w:rPr>
            </w:pPr>
          </w:p>
          <w:p>
            <w:pPr>
              <w:pStyle w:val="14"/>
              <w:rPr>
                <w:rFonts w:hint="default" w:ascii="Times New Roman" w:hAnsi="Times New Roman" w:eastAsia="宋体" w:cs="Times New Roman"/>
                <w:i w:val="0"/>
                <w:color w:val="auto"/>
                <w:kern w:val="0"/>
                <w:sz w:val="21"/>
                <w:szCs w:val="21"/>
                <w:highlight w:val="none"/>
                <w:u w:val="none"/>
                <w:lang w:val="en-US" w:eastAsia="zh-CN" w:bidi="ar"/>
              </w:rPr>
            </w:pPr>
          </w:p>
          <w:p>
            <w:pPr>
              <w:pStyle w:val="14"/>
              <w:rPr>
                <w:rFonts w:hint="default" w:ascii="Times New Roman" w:hAnsi="Times New Roman" w:eastAsia="宋体" w:cs="Times New Roman"/>
                <w:i w:val="0"/>
                <w:color w:val="auto"/>
                <w:kern w:val="0"/>
                <w:sz w:val="21"/>
                <w:szCs w:val="21"/>
                <w:highlight w:val="none"/>
                <w:u w:val="none"/>
                <w:lang w:val="en-US" w:eastAsia="zh-CN" w:bidi="ar"/>
              </w:rPr>
            </w:pPr>
          </w:p>
          <w:p>
            <w:pPr>
              <w:pStyle w:val="14"/>
              <w:rPr>
                <w:rFonts w:hint="default" w:ascii="Times New Roman" w:hAnsi="Times New Roman" w:eastAsia="宋体" w:cs="Times New Roman"/>
                <w:i w:val="0"/>
                <w:color w:val="auto"/>
                <w:kern w:val="0"/>
                <w:sz w:val="21"/>
                <w:szCs w:val="21"/>
                <w:highlight w:val="none"/>
                <w:u w:val="none"/>
                <w:lang w:val="en-US" w:eastAsia="zh-CN" w:bidi="ar"/>
              </w:rPr>
            </w:pPr>
          </w:p>
          <w:p>
            <w:pPr>
              <w:pStyle w:val="14"/>
              <w:rPr>
                <w:rFonts w:hint="default" w:ascii="Times New Roman" w:hAnsi="Times New Roman" w:eastAsia="宋体" w:cs="Times New Roman"/>
                <w:i w:val="0"/>
                <w:color w:val="auto"/>
                <w:kern w:val="0"/>
                <w:sz w:val="21"/>
                <w:szCs w:val="21"/>
                <w:highlight w:val="none"/>
                <w:u w:val="none"/>
                <w:lang w:val="en-US" w:eastAsia="zh-CN" w:bidi="ar"/>
              </w:rPr>
            </w:pPr>
          </w:p>
          <w:p>
            <w:pPr>
              <w:pStyle w:val="14"/>
              <w:rPr>
                <w:rFonts w:hint="default" w:ascii="Times New Roman" w:hAnsi="Times New Roman" w:eastAsia="宋体" w:cs="Times New Roman"/>
                <w:i w:val="0"/>
                <w:color w:val="auto"/>
                <w:kern w:val="0"/>
                <w:sz w:val="21"/>
                <w:szCs w:val="21"/>
                <w:highlight w:val="none"/>
                <w:u w:val="none"/>
                <w:lang w:val="en-US" w:eastAsia="zh-CN" w:bidi="ar"/>
              </w:rPr>
            </w:pPr>
          </w:p>
          <w:p>
            <w:pPr>
              <w:pStyle w:val="14"/>
              <w:rPr>
                <w:rFonts w:hint="default" w:ascii="Times New Roman" w:hAnsi="Times New Roman" w:eastAsia="宋体" w:cs="Times New Roman"/>
                <w:i w:val="0"/>
                <w:color w:val="auto"/>
                <w:kern w:val="0"/>
                <w:sz w:val="21"/>
                <w:szCs w:val="21"/>
                <w:highlight w:val="none"/>
                <w:u w:val="none"/>
                <w:lang w:val="en-US" w:eastAsia="zh-CN" w:bidi="ar"/>
              </w:rPr>
            </w:pPr>
          </w:p>
          <w:p>
            <w:pPr>
              <w:pStyle w:val="14"/>
              <w:rPr>
                <w:rFonts w:hint="default" w:ascii="Times New Roman" w:hAnsi="Times New Roman" w:eastAsia="宋体" w:cs="Times New Roman"/>
                <w:i w:val="0"/>
                <w:color w:val="auto"/>
                <w:kern w:val="0"/>
                <w:sz w:val="21"/>
                <w:szCs w:val="21"/>
                <w:highlight w:val="none"/>
                <w:u w:val="none"/>
                <w:lang w:val="en-US" w:eastAsia="zh-CN" w:bidi="ar"/>
              </w:rPr>
            </w:pPr>
          </w:p>
          <w:p>
            <w:pPr>
              <w:pStyle w:val="14"/>
              <w:rPr>
                <w:rFonts w:hint="default" w:ascii="Times New Roman" w:hAnsi="Times New Roman" w:eastAsia="宋体" w:cs="Times New Roman"/>
                <w:i w:val="0"/>
                <w:color w:val="auto"/>
                <w:kern w:val="0"/>
                <w:sz w:val="21"/>
                <w:szCs w:val="21"/>
                <w:highlight w:val="none"/>
                <w:u w:val="none"/>
                <w:lang w:val="en-US" w:eastAsia="zh-CN" w:bidi="ar"/>
              </w:rPr>
            </w:pPr>
          </w:p>
          <w:p>
            <w:pPr>
              <w:pStyle w:val="14"/>
              <w:rPr>
                <w:rFonts w:hint="default" w:ascii="Times New Roman" w:hAnsi="Times New Roman" w:eastAsia="宋体" w:cs="Times New Roman"/>
                <w:i w:val="0"/>
                <w:color w:val="auto"/>
                <w:kern w:val="0"/>
                <w:sz w:val="21"/>
                <w:szCs w:val="21"/>
                <w:highlight w:val="none"/>
                <w:u w:val="none"/>
                <w:lang w:val="en-US" w:eastAsia="zh-CN" w:bidi="ar"/>
              </w:rPr>
            </w:pPr>
          </w:p>
          <w:p>
            <w:pPr>
              <w:pStyle w:val="14"/>
              <w:rPr>
                <w:rFonts w:hint="default" w:ascii="Times New Roman" w:hAnsi="Times New Roman" w:eastAsia="宋体" w:cs="Times New Roman"/>
                <w:i w:val="0"/>
                <w:color w:val="auto"/>
                <w:kern w:val="0"/>
                <w:sz w:val="21"/>
                <w:szCs w:val="21"/>
                <w:highlight w:val="none"/>
                <w:u w:val="none"/>
                <w:lang w:val="en-US" w:eastAsia="zh-CN" w:bidi="ar"/>
              </w:rPr>
            </w:pPr>
          </w:p>
          <w:p>
            <w:pPr>
              <w:pStyle w:val="14"/>
              <w:rPr>
                <w:rFonts w:hint="default" w:ascii="Times New Roman" w:hAnsi="Times New Roman" w:eastAsia="宋体" w:cs="Times New Roman"/>
                <w:i w:val="0"/>
                <w:color w:val="auto"/>
                <w:kern w:val="0"/>
                <w:sz w:val="21"/>
                <w:szCs w:val="21"/>
                <w:highlight w:val="none"/>
                <w:u w:val="none"/>
                <w:lang w:val="en-US" w:eastAsia="zh-CN" w:bidi="ar"/>
              </w:rPr>
            </w:pPr>
          </w:p>
          <w:p>
            <w:pPr>
              <w:pStyle w:val="14"/>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43" w:type="dxa"/>
            <w:gridSpan w:val="2"/>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存在问题</w:t>
            </w:r>
          </w:p>
        </w:tc>
        <w:tc>
          <w:tcPr>
            <w:tcW w:w="6505" w:type="dxa"/>
            <w:gridSpan w:val="2"/>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43" w:type="dxa"/>
            <w:gridSpan w:val="2"/>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处理意见</w:t>
            </w:r>
          </w:p>
        </w:tc>
        <w:tc>
          <w:tcPr>
            <w:tcW w:w="6505" w:type="dxa"/>
            <w:gridSpan w:val="2"/>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43" w:type="dxa"/>
            <w:gridSpan w:val="2"/>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处理结果</w:t>
            </w:r>
          </w:p>
        </w:tc>
        <w:tc>
          <w:tcPr>
            <w:tcW w:w="6505" w:type="dxa"/>
            <w:gridSpan w:val="2"/>
            <w:noWrap w:val="0"/>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p>
        </w:tc>
      </w:tr>
    </w:tbl>
    <w:p>
      <w:pPr>
        <w:pageBreakBefore w:val="0"/>
        <w:widowControl w:val="0"/>
        <w:kinsoku/>
        <w:wordWrap/>
        <w:overflowPunct/>
        <w:topLinePunct w:val="0"/>
        <w:bidi w:val="0"/>
        <w:adjustRightInd w:val="0"/>
        <w:spacing w:line="408" w:lineRule="auto"/>
        <w:contextualSpacing/>
        <w:jc w:val="left"/>
        <w:textAlignment w:val="auto"/>
        <w:rPr>
          <w:rFonts w:hint="default" w:ascii="Times New Roman" w:hAnsi="Times New Roman" w:eastAsia="宋体" w:cs="Times New Roman"/>
          <w:color w:val="auto"/>
          <w:sz w:val="24"/>
          <w:highlight w:val="none"/>
          <w:lang w:eastAsia="zh-CN"/>
        </w:rPr>
        <w:sectPr>
          <w:headerReference r:id="rId10" w:type="first"/>
          <w:footerReference r:id="rId13" w:type="first"/>
          <w:headerReference r:id="rId8" w:type="default"/>
          <w:footerReference r:id="rId11" w:type="default"/>
          <w:headerReference r:id="rId9" w:type="even"/>
          <w:footerReference r:id="rId12" w:type="even"/>
          <w:pgSz w:w="11906" w:h="16838"/>
          <w:pgMar w:top="1219" w:right="1797" w:bottom="1440" w:left="1797" w:header="851" w:footer="992" w:gutter="0"/>
          <w:pgNumType w:fmt="decimal"/>
          <w:cols w:space="720" w:num="1"/>
          <w:docGrid w:linePitch="326" w:charSpace="0"/>
        </w:sectPr>
      </w:pPr>
    </w:p>
    <w:p>
      <w:pPr>
        <w:pStyle w:val="2"/>
        <w:numPr>
          <w:ilvl w:val="0"/>
          <w:numId w:val="2"/>
        </w:numPr>
        <w:spacing w:before="120" w:after="120" w:line="360" w:lineRule="auto"/>
        <w:jc w:val="center"/>
        <w:rPr>
          <w:rFonts w:hint="default" w:ascii="Times New Roman" w:hAnsi="Times New Roman" w:eastAsia="宋体" w:cs="Times New Roman"/>
          <w:b/>
          <w:bCs w:val="0"/>
          <w:color w:val="auto"/>
          <w:sz w:val="36"/>
          <w:szCs w:val="36"/>
          <w:highlight w:val="none"/>
          <w:lang w:val="en-US" w:eastAsia="zh-CN"/>
        </w:rPr>
      </w:pPr>
      <w:bookmarkStart w:id="22" w:name="_Toc12565"/>
      <w:r>
        <w:rPr>
          <w:rFonts w:hint="default" w:ascii="Times New Roman" w:hAnsi="Times New Roman" w:eastAsia="宋体" w:cs="Times New Roman"/>
          <w:b/>
          <w:bCs w:val="0"/>
          <w:color w:val="auto"/>
          <w:sz w:val="36"/>
          <w:szCs w:val="36"/>
          <w:highlight w:val="none"/>
          <w:lang w:val="en-US" w:eastAsia="zh-CN"/>
        </w:rPr>
        <w:t>经费</w:t>
      </w:r>
      <w:bookmarkEnd w:id="21"/>
      <w:r>
        <w:rPr>
          <w:rFonts w:hint="default" w:ascii="Times New Roman" w:hAnsi="Times New Roman" w:eastAsia="宋体" w:cs="Times New Roman"/>
          <w:b/>
          <w:bCs w:val="0"/>
          <w:color w:val="auto"/>
          <w:sz w:val="36"/>
          <w:szCs w:val="36"/>
          <w:highlight w:val="none"/>
          <w:lang w:val="en-US" w:eastAsia="zh-CN"/>
        </w:rPr>
        <w:t>预算</w:t>
      </w:r>
      <w:bookmarkEnd w:id="22"/>
    </w:p>
    <w:p>
      <w:pPr>
        <w:spacing w:line="360" w:lineRule="auto"/>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本</w:t>
      </w:r>
      <w:r>
        <w:rPr>
          <w:rFonts w:hint="default" w:ascii="Times New Roman" w:hAnsi="Times New Roman" w:eastAsia="宋体" w:cs="Times New Roman"/>
          <w:color w:val="auto"/>
          <w:szCs w:val="24"/>
          <w:highlight w:val="none"/>
          <w:lang w:val="en-US" w:eastAsia="zh-CN"/>
        </w:rPr>
        <w:t>年度治理经费由</w:t>
      </w:r>
      <w:r>
        <w:rPr>
          <w:rFonts w:hint="eastAsia" w:cs="Times New Roman"/>
          <w:color w:val="auto"/>
          <w:szCs w:val="24"/>
          <w:highlight w:val="none"/>
          <w:lang w:val="en-US" w:eastAsia="zh-CN"/>
        </w:rPr>
        <w:t>监测费</w:t>
      </w:r>
      <w:r>
        <w:rPr>
          <w:rFonts w:hint="default" w:ascii="Times New Roman" w:hAnsi="Times New Roman" w:eastAsia="宋体" w:cs="Times New Roman"/>
          <w:color w:val="auto"/>
          <w:szCs w:val="24"/>
          <w:highlight w:val="none"/>
          <w:lang w:val="en-US" w:eastAsia="zh-CN"/>
        </w:rPr>
        <w:t>和</w:t>
      </w:r>
      <w:r>
        <w:rPr>
          <w:rFonts w:hint="eastAsia" w:cs="Times New Roman"/>
          <w:color w:val="auto"/>
          <w:szCs w:val="24"/>
          <w:highlight w:val="none"/>
          <w:lang w:val="en-US" w:eastAsia="zh-CN"/>
        </w:rPr>
        <w:t>管护</w:t>
      </w:r>
      <w:r>
        <w:rPr>
          <w:rFonts w:hint="default" w:ascii="Times New Roman" w:hAnsi="Times New Roman" w:eastAsia="宋体" w:cs="Times New Roman"/>
          <w:color w:val="auto"/>
          <w:szCs w:val="24"/>
          <w:highlight w:val="none"/>
          <w:lang w:val="en-US" w:eastAsia="zh-CN"/>
        </w:rPr>
        <w:t>费组成，</w:t>
      </w:r>
      <w:r>
        <w:rPr>
          <w:rFonts w:hint="default" w:ascii="Times New Roman" w:hAnsi="Times New Roman" w:eastAsia="宋体" w:cs="Times New Roman"/>
          <w:color w:val="auto"/>
          <w:szCs w:val="24"/>
          <w:highlight w:val="none"/>
        </w:rPr>
        <w:t>监测费指矿区地质环境监测所需费用，结合周边矿山土地植被监测及管护经验，本矿山监测费用取</w:t>
      </w:r>
      <w:r>
        <w:rPr>
          <w:rFonts w:hint="default" w:ascii="Times New Roman" w:hAnsi="Times New Roman" w:eastAsia="宋体" w:cs="Times New Roman"/>
          <w:color w:val="auto"/>
          <w:szCs w:val="24"/>
          <w:highlight w:val="none"/>
          <w:lang w:val="en-US" w:eastAsia="zh-CN"/>
        </w:rPr>
        <w:t>1</w:t>
      </w:r>
      <w:r>
        <w:rPr>
          <w:rFonts w:hint="default" w:ascii="Times New Roman" w:hAnsi="Times New Roman" w:eastAsia="宋体" w:cs="Times New Roman"/>
          <w:color w:val="auto"/>
          <w:szCs w:val="24"/>
          <w:highlight w:val="none"/>
        </w:rPr>
        <w:t>00</w:t>
      </w:r>
      <w:r>
        <w:rPr>
          <w:rFonts w:hint="eastAsia" w:cs="Times New Roman"/>
          <w:color w:val="auto"/>
          <w:szCs w:val="24"/>
          <w:highlight w:val="none"/>
          <w:lang w:val="en-US" w:eastAsia="zh-CN"/>
        </w:rPr>
        <w:t>0</w:t>
      </w:r>
      <w:r>
        <w:rPr>
          <w:rFonts w:hint="default" w:ascii="Times New Roman" w:hAnsi="Times New Roman" w:eastAsia="宋体" w:cs="Times New Roman"/>
          <w:color w:val="auto"/>
          <w:szCs w:val="24"/>
          <w:highlight w:val="none"/>
        </w:rPr>
        <w:t>元/次，本年度共计12次</w:t>
      </w:r>
      <w:r>
        <w:rPr>
          <w:rFonts w:hint="default" w:ascii="Times New Roman" w:hAnsi="Times New Roman" w:eastAsia="宋体" w:cs="Times New Roman"/>
          <w:color w:val="auto"/>
          <w:szCs w:val="24"/>
          <w:highlight w:val="none"/>
          <w:lang w:eastAsia="zh-CN"/>
        </w:rPr>
        <w:t>，监测费总费用</w:t>
      </w:r>
      <w:r>
        <w:rPr>
          <w:rFonts w:hint="eastAsia" w:cs="Times New Roman"/>
          <w:color w:val="auto"/>
          <w:szCs w:val="24"/>
          <w:highlight w:val="none"/>
          <w:lang w:val="en-US" w:eastAsia="zh-CN"/>
        </w:rPr>
        <w:t>1.2</w:t>
      </w:r>
      <w:r>
        <w:rPr>
          <w:rFonts w:hint="default" w:ascii="Times New Roman" w:hAnsi="Times New Roman" w:eastAsia="宋体" w:cs="Times New Roman"/>
          <w:color w:val="auto"/>
          <w:szCs w:val="24"/>
          <w:highlight w:val="none"/>
          <w:lang w:val="en-US" w:eastAsia="zh-CN"/>
        </w:rPr>
        <w:t>万元</w:t>
      </w:r>
      <w:r>
        <w:rPr>
          <w:rFonts w:hint="default" w:ascii="Times New Roman" w:hAnsi="Times New Roman" w:eastAsia="宋体" w:cs="Times New Roman"/>
          <w:color w:val="auto"/>
          <w:szCs w:val="24"/>
          <w:highlight w:val="none"/>
        </w:rPr>
        <w:t>。对前期治理区域植被进行管护，春季、秋季各管护一次，共计管护2次，每次费用0.</w:t>
      </w:r>
      <w:r>
        <w:rPr>
          <w:rFonts w:hint="eastAsia" w:cs="Times New Roman"/>
          <w:color w:val="auto"/>
          <w:szCs w:val="24"/>
          <w:highlight w:val="none"/>
          <w:lang w:val="en-US" w:eastAsia="zh-CN"/>
        </w:rPr>
        <w:t>5</w:t>
      </w:r>
      <w:r>
        <w:rPr>
          <w:rFonts w:hint="default" w:ascii="Times New Roman" w:hAnsi="Times New Roman" w:eastAsia="宋体" w:cs="Times New Roman"/>
          <w:color w:val="auto"/>
          <w:szCs w:val="24"/>
          <w:highlight w:val="none"/>
        </w:rPr>
        <w:t>万元，共计</w:t>
      </w:r>
      <w:r>
        <w:rPr>
          <w:rFonts w:hint="eastAsia" w:cs="Times New Roman"/>
          <w:color w:val="auto"/>
          <w:szCs w:val="24"/>
          <w:highlight w:val="none"/>
          <w:lang w:val="en-US" w:eastAsia="zh-CN"/>
        </w:rPr>
        <w:t>1.0</w:t>
      </w:r>
      <w:r>
        <w:rPr>
          <w:rFonts w:hint="default" w:ascii="Times New Roman" w:hAnsi="Times New Roman" w:eastAsia="宋体" w:cs="Times New Roman"/>
          <w:color w:val="auto"/>
          <w:szCs w:val="24"/>
          <w:highlight w:val="none"/>
        </w:rPr>
        <w:t>万元。</w:t>
      </w:r>
    </w:p>
    <w:p>
      <w:pPr>
        <w:spacing w:line="360" w:lineRule="auto"/>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Cs w:val="24"/>
          <w:highlight w:val="none"/>
        </w:rPr>
        <w:t>经估算，</w:t>
      </w:r>
      <w:r>
        <w:rPr>
          <w:rFonts w:hint="default" w:ascii="Times New Roman" w:hAnsi="Times New Roman" w:eastAsia="宋体" w:cs="Times New Roman"/>
          <w:color w:val="auto"/>
          <w:szCs w:val="24"/>
          <w:highlight w:val="none"/>
          <w:lang w:eastAsia="zh-CN"/>
        </w:rPr>
        <w:t>202</w:t>
      </w:r>
      <w:r>
        <w:rPr>
          <w:rFonts w:hint="eastAsia" w:cs="Times New Roman"/>
          <w:color w:val="auto"/>
          <w:szCs w:val="24"/>
          <w:highlight w:val="none"/>
          <w:lang w:val="en-US" w:eastAsia="zh-CN"/>
        </w:rPr>
        <w:t>4</w:t>
      </w:r>
      <w:r>
        <w:rPr>
          <w:rFonts w:hint="default" w:ascii="Times New Roman" w:hAnsi="Times New Roman" w:eastAsia="宋体" w:cs="Times New Roman"/>
          <w:color w:val="auto"/>
          <w:szCs w:val="24"/>
          <w:highlight w:val="none"/>
          <w:lang w:eastAsia="zh-CN"/>
        </w:rPr>
        <w:t>年</w:t>
      </w:r>
      <w:r>
        <w:rPr>
          <w:rFonts w:hint="default" w:ascii="Times New Roman" w:hAnsi="Times New Roman" w:eastAsia="宋体" w:cs="Times New Roman"/>
          <w:color w:val="auto"/>
          <w:szCs w:val="24"/>
          <w:highlight w:val="none"/>
        </w:rPr>
        <w:t>度矿山地质环境治理费用为</w:t>
      </w:r>
      <w:r>
        <w:rPr>
          <w:rFonts w:hint="eastAsia" w:cs="Times New Roman"/>
          <w:color w:val="auto"/>
          <w:szCs w:val="24"/>
          <w:highlight w:val="none"/>
          <w:lang w:val="en-US" w:eastAsia="zh-CN"/>
        </w:rPr>
        <w:t>2.2</w:t>
      </w:r>
      <w:r>
        <w:rPr>
          <w:rFonts w:hint="default" w:ascii="Times New Roman" w:hAnsi="Times New Roman" w:eastAsia="宋体" w:cs="Times New Roman"/>
          <w:color w:val="auto"/>
          <w:szCs w:val="24"/>
          <w:highlight w:val="none"/>
        </w:rPr>
        <w:t>万元</w:t>
      </w:r>
      <w:r>
        <w:rPr>
          <w:rFonts w:hint="default" w:ascii="Times New Roman" w:hAnsi="Times New Roman" w:eastAsia="宋体" w:cs="Times New Roman"/>
          <w:color w:val="auto"/>
          <w:szCs w:val="24"/>
          <w:highlight w:val="none"/>
          <w:lang w:eastAsia="zh-CN"/>
        </w:rPr>
        <w:t>，其中</w:t>
      </w:r>
      <w:r>
        <w:rPr>
          <w:rFonts w:hint="default" w:ascii="Times New Roman" w:hAnsi="Times New Roman" w:eastAsia="宋体" w:cs="Times New Roman"/>
          <w:color w:val="auto"/>
          <w:szCs w:val="24"/>
          <w:highlight w:val="none"/>
          <w:lang w:val="en-US" w:eastAsia="zh-CN"/>
        </w:rPr>
        <w:t>监测费用</w:t>
      </w:r>
      <w:r>
        <w:rPr>
          <w:rFonts w:hint="eastAsia" w:cs="Times New Roman"/>
          <w:color w:val="auto"/>
          <w:szCs w:val="24"/>
          <w:highlight w:val="none"/>
          <w:lang w:val="en-US" w:eastAsia="zh-CN"/>
        </w:rPr>
        <w:t>1.2</w:t>
      </w:r>
      <w:r>
        <w:rPr>
          <w:rFonts w:hint="default" w:ascii="Times New Roman" w:hAnsi="Times New Roman" w:eastAsia="宋体" w:cs="Times New Roman"/>
          <w:color w:val="auto"/>
          <w:szCs w:val="24"/>
          <w:highlight w:val="none"/>
          <w:lang w:val="en-US" w:eastAsia="zh-CN"/>
        </w:rPr>
        <w:t>万元</w:t>
      </w:r>
      <w:r>
        <w:rPr>
          <w:rFonts w:hint="eastAsia" w:cs="Times New Roman"/>
          <w:color w:val="auto"/>
          <w:szCs w:val="24"/>
          <w:highlight w:val="none"/>
          <w:lang w:val="en-US" w:eastAsia="zh-CN"/>
        </w:rPr>
        <w:t>，管护费用1.0万元</w:t>
      </w:r>
      <w:r>
        <w:rPr>
          <w:rFonts w:hint="default"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szCs w:val="24"/>
          <w:highlight w:val="none"/>
        </w:rPr>
        <w:t>经费估算结果详见表6-1：</w:t>
      </w:r>
    </w:p>
    <w:p>
      <w:pPr>
        <w:spacing w:line="360" w:lineRule="auto"/>
        <w:ind w:firstLine="440" w:firstLineChars="200"/>
        <w:contextualSpacing/>
        <w:jc w:val="center"/>
        <w:rPr>
          <w:rFonts w:hint="default" w:eastAsia="黑体"/>
          <w:color w:val="auto"/>
          <w:sz w:val="22"/>
          <w:szCs w:val="18"/>
          <w:highlight w:val="none"/>
          <w:lang w:val="en-US" w:eastAsia="zh-CN"/>
        </w:rPr>
      </w:pPr>
      <w:r>
        <w:rPr>
          <w:rFonts w:hint="default" w:eastAsia="黑体"/>
          <w:color w:val="auto"/>
          <w:sz w:val="22"/>
          <w:szCs w:val="18"/>
          <w:highlight w:val="none"/>
          <w:lang w:val="en-US" w:eastAsia="zh-CN"/>
        </w:rPr>
        <w:t>表6-1  本年度治理费用预算汇总表</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077"/>
        <w:gridCol w:w="2285"/>
        <w:gridCol w:w="1898"/>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rPr>
        <w:tc>
          <w:tcPr>
            <w:tcW w:w="1245" w:type="pct"/>
            <w:vMerge w:val="restart"/>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序号</w:t>
            </w:r>
          </w:p>
        </w:tc>
        <w:tc>
          <w:tcPr>
            <w:tcW w:w="1370" w:type="pct"/>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单项名称</w:t>
            </w:r>
          </w:p>
        </w:tc>
        <w:tc>
          <w:tcPr>
            <w:tcW w:w="1138" w:type="pct"/>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预算金额（万元）</w:t>
            </w:r>
          </w:p>
        </w:tc>
        <w:tc>
          <w:tcPr>
            <w:tcW w:w="1246" w:type="pct"/>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各项费用占工程施工费的比例</w:t>
            </w:r>
            <w:r>
              <w:rPr>
                <w:rFonts w:hint="eastAsia" w:ascii="Times New Roman" w:hAnsi="Times New Roman" w:cs="Times New Roman"/>
                <w:i w:val="0"/>
                <w:color w:val="auto"/>
                <w:kern w:val="0"/>
                <w:sz w:val="22"/>
                <w:szCs w:val="22"/>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45" w:type="pct"/>
            <w:vMerge w:val="continue"/>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p>
        </w:tc>
        <w:tc>
          <w:tcPr>
            <w:tcW w:w="1370" w:type="pct"/>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(1)</w:t>
            </w:r>
          </w:p>
        </w:tc>
        <w:tc>
          <w:tcPr>
            <w:tcW w:w="1138" w:type="pct"/>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(2)</w:t>
            </w:r>
          </w:p>
        </w:tc>
        <w:tc>
          <w:tcPr>
            <w:tcW w:w="1246" w:type="pct"/>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rPr>
        <w:tc>
          <w:tcPr>
            <w:tcW w:w="1245" w:type="pct"/>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1</w:t>
            </w:r>
          </w:p>
        </w:tc>
        <w:tc>
          <w:tcPr>
            <w:tcW w:w="1370" w:type="pct"/>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监测费</w:t>
            </w:r>
          </w:p>
        </w:tc>
        <w:tc>
          <w:tcPr>
            <w:tcW w:w="1138" w:type="pct"/>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1.2</w:t>
            </w:r>
          </w:p>
        </w:tc>
        <w:tc>
          <w:tcPr>
            <w:tcW w:w="1246" w:type="pct"/>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eastAsia" w:ascii="Times New Roman" w:hAnsi="Times New Roman" w:cs="Times New Roman"/>
                <w:i w:val="0"/>
                <w:color w:val="auto"/>
                <w:kern w:val="0"/>
                <w:sz w:val="22"/>
                <w:szCs w:val="22"/>
                <w:highlight w:val="none"/>
                <w:u w:val="none"/>
                <w:lang w:val="en-US" w:eastAsia="zh-CN" w:bidi="ar"/>
              </w:rPr>
              <w:t>54.55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245" w:type="pct"/>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2</w:t>
            </w:r>
          </w:p>
        </w:tc>
        <w:tc>
          <w:tcPr>
            <w:tcW w:w="1370" w:type="pct"/>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eastAsia" w:ascii="Times New Roman" w:hAnsi="Times New Roman" w:cs="Times New Roman"/>
                <w:i w:val="0"/>
                <w:color w:val="auto"/>
                <w:kern w:val="0"/>
                <w:sz w:val="22"/>
                <w:szCs w:val="22"/>
                <w:highlight w:val="none"/>
                <w:u w:val="none"/>
                <w:lang w:val="en-US" w:eastAsia="zh-CN" w:bidi="ar"/>
              </w:rPr>
              <w:t>管护</w:t>
            </w:r>
            <w:r>
              <w:rPr>
                <w:rFonts w:hint="default" w:ascii="Times New Roman" w:hAnsi="Times New Roman" w:eastAsia="宋体" w:cs="Times New Roman"/>
                <w:i w:val="0"/>
                <w:color w:val="auto"/>
                <w:kern w:val="0"/>
                <w:sz w:val="22"/>
                <w:szCs w:val="22"/>
                <w:highlight w:val="none"/>
                <w:u w:val="none"/>
                <w:lang w:val="en-US" w:eastAsia="zh-CN" w:bidi="ar"/>
              </w:rPr>
              <w:t>费</w:t>
            </w:r>
          </w:p>
        </w:tc>
        <w:tc>
          <w:tcPr>
            <w:tcW w:w="1138" w:type="pct"/>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eastAsia" w:ascii="Times New Roman" w:hAnsi="Times New Roman" w:cs="Times New Roman"/>
                <w:i w:val="0"/>
                <w:color w:val="auto"/>
                <w:kern w:val="0"/>
                <w:sz w:val="22"/>
                <w:szCs w:val="22"/>
                <w:highlight w:val="none"/>
                <w:u w:val="none"/>
                <w:lang w:val="en-US" w:eastAsia="zh-CN" w:bidi="ar"/>
              </w:rPr>
              <w:t>1.0</w:t>
            </w:r>
          </w:p>
        </w:tc>
        <w:tc>
          <w:tcPr>
            <w:tcW w:w="1246" w:type="pct"/>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eastAsia" w:ascii="Times New Roman" w:hAnsi="Times New Roman" w:cs="Times New Roman"/>
                <w:i w:val="0"/>
                <w:color w:val="auto"/>
                <w:kern w:val="0"/>
                <w:sz w:val="22"/>
                <w:szCs w:val="22"/>
                <w:highlight w:val="none"/>
                <w:u w:val="none"/>
                <w:lang w:val="en-US" w:eastAsia="zh-CN" w:bidi="ar"/>
              </w:rPr>
              <w:t>45.45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 w:hRule="atLeast"/>
        </w:trPr>
        <w:tc>
          <w:tcPr>
            <w:tcW w:w="2615" w:type="pct"/>
            <w:gridSpan w:val="2"/>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合计</w:t>
            </w:r>
          </w:p>
        </w:tc>
        <w:tc>
          <w:tcPr>
            <w:tcW w:w="1138" w:type="pct"/>
            <w:shd w:val="clear" w:color="auto" w:fill="auto"/>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eastAsia" w:ascii="Times New Roman" w:hAnsi="Times New Roman" w:cs="Times New Roman"/>
                <w:i w:val="0"/>
                <w:color w:val="auto"/>
                <w:kern w:val="0"/>
                <w:sz w:val="22"/>
                <w:szCs w:val="22"/>
                <w:highlight w:val="none"/>
                <w:u w:val="none"/>
                <w:lang w:val="en-US" w:eastAsia="zh-CN" w:bidi="ar"/>
              </w:rPr>
              <w:t>2.2</w:t>
            </w:r>
          </w:p>
        </w:tc>
        <w:tc>
          <w:tcPr>
            <w:tcW w:w="1246" w:type="pct"/>
            <w:shd w:val="clear" w:color="auto" w:fill="auto"/>
            <w:noWrap/>
            <w:tcMar>
              <w:top w:w="15" w:type="dxa"/>
              <w:left w:w="15" w:type="dxa"/>
              <w:right w:w="15" w:type="dxa"/>
            </w:tcMar>
            <w:vAlign w:val="center"/>
          </w:tcPr>
          <w:p>
            <w:pPr>
              <w:keepNext w:val="0"/>
              <w:keepLines w:val="0"/>
              <w:widowControl/>
              <w:suppressLineNumbers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2"/>
                <w:szCs w:val="22"/>
                <w:highlight w:val="none"/>
                <w:u w:val="none"/>
                <w:lang w:val="en-US" w:eastAsia="zh-CN" w:bidi="ar"/>
              </w:rPr>
            </w:pPr>
            <w:r>
              <w:rPr>
                <w:rFonts w:hint="default" w:ascii="Times New Roman" w:hAnsi="Times New Roman" w:eastAsia="宋体" w:cs="Times New Roman"/>
                <w:i w:val="0"/>
                <w:color w:val="auto"/>
                <w:kern w:val="0"/>
                <w:sz w:val="22"/>
                <w:szCs w:val="22"/>
                <w:highlight w:val="none"/>
                <w:u w:val="none"/>
                <w:lang w:val="en-US" w:eastAsia="zh-CN" w:bidi="ar"/>
              </w:rPr>
              <w:t xml:space="preserve">100.00 </w:t>
            </w:r>
          </w:p>
        </w:tc>
      </w:tr>
    </w:tbl>
    <w:p>
      <w:pPr>
        <w:spacing w:line="400" w:lineRule="exact"/>
        <w:ind w:firstLine="0" w:firstLineChars="0"/>
        <w:jc w:val="center"/>
        <w:rPr>
          <w:rFonts w:hint="default" w:ascii="Times New Roman" w:hAnsi="Times New Roman" w:eastAsia="宋体" w:cs="Times New Roman"/>
          <w:b/>
          <w:color w:val="auto"/>
          <w:sz w:val="21"/>
          <w:szCs w:val="21"/>
          <w:highlight w:val="none"/>
        </w:rPr>
      </w:pPr>
    </w:p>
    <w:p>
      <w:pPr>
        <w:spacing w:line="400" w:lineRule="exact"/>
        <w:ind w:firstLine="0" w:firstLineChars="0"/>
        <w:jc w:val="center"/>
        <w:rPr>
          <w:rFonts w:hint="default" w:ascii="Times New Roman" w:hAnsi="Times New Roman" w:eastAsia="宋体" w:cs="Times New Roman"/>
          <w:b/>
          <w:color w:val="auto"/>
          <w:sz w:val="21"/>
          <w:szCs w:val="21"/>
          <w:highlight w:val="none"/>
        </w:rPr>
      </w:pPr>
    </w:p>
    <w:p>
      <w:pPr>
        <w:spacing w:line="400" w:lineRule="exact"/>
        <w:ind w:firstLine="0" w:firstLineChars="0"/>
        <w:jc w:val="center"/>
        <w:rPr>
          <w:rFonts w:hint="default" w:ascii="Times New Roman" w:hAnsi="Times New Roman" w:eastAsia="宋体" w:cs="Times New Roman"/>
          <w:b/>
          <w:color w:val="auto"/>
          <w:sz w:val="21"/>
          <w:szCs w:val="21"/>
          <w:highlight w:val="none"/>
        </w:rPr>
      </w:pPr>
    </w:p>
    <w:p>
      <w:pPr>
        <w:pStyle w:val="14"/>
        <w:rPr>
          <w:rFonts w:hint="default" w:ascii="Times New Roman" w:hAnsi="Times New Roman" w:eastAsia="宋体" w:cs="Times New Roman"/>
          <w:color w:val="auto"/>
          <w:highlight w:val="none"/>
        </w:rPr>
      </w:pPr>
    </w:p>
    <w:sectPr>
      <w:pgSz w:w="11906" w:h="16838"/>
      <w:pgMar w:top="1219" w:right="1797" w:bottom="1440" w:left="1797" w:header="851" w:footer="992" w:gutter="0"/>
      <w:pgNumType w:fmt="decimal"/>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
    <w:altName w:val="Calibri"/>
    <w:panose1 w:val="020F0502020204030204"/>
    <w:charset w:val="00"/>
    <w:family w:val="auto"/>
    <w:pitch w:val="default"/>
    <w:sig w:usb0="00000000"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0" w:leftChars="0"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355C2A"/>
    <w:multiLevelType w:val="singleLevel"/>
    <w:tmpl w:val="9B355C2A"/>
    <w:lvl w:ilvl="0" w:tentative="0">
      <w:start w:val="4"/>
      <w:numFmt w:val="decimal"/>
      <w:suff w:val="nothing"/>
      <w:lvlText w:val="%1、"/>
      <w:lvlJc w:val="left"/>
    </w:lvl>
  </w:abstractNum>
  <w:abstractNum w:abstractNumId="1">
    <w:nsid w:val="2348E353"/>
    <w:multiLevelType w:val="singleLevel"/>
    <w:tmpl w:val="2348E353"/>
    <w:lvl w:ilvl="0" w:tentative="0">
      <w:start w:val="1"/>
      <w:numFmt w:val="chineseCounting"/>
      <w:suff w:val="nothing"/>
      <w:lvlText w:val="%1、"/>
      <w:lvlJc w:val="left"/>
      <w:rPr>
        <w:rFonts w:hint="eastAsia"/>
      </w:rPr>
    </w:lvl>
  </w:abstractNum>
  <w:abstractNum w:abstractNumId="2">
    <w:nsid w:val="3400DB45"/>
    <w:multiLevelType w:val="singleLevel"/>
    <w:tmpl w:val="3400DB45"/>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zNWU0ZGE2MWJjY2I3YTQ1NTFkNDgyODBjZWZjMzUifQ=="/>
  </w:docVars>
  <w:rsids>
    <w:rsidRoot w:val="76B43A24"/>
    <w:rsid w:val="001833FF"/>
    <w:rsid w:val="007A27FE"/>
    <w:rsid w:val="007B1105"/>
    <w:rsid w:val="00BF012D"/>
    <w:rsid w:val="00FE4651"/>
    <w:rsid w:val="01090CC4"/>
    <w:rsid w:val="012805D4"/>
    <w:rsid w:val="014F11B6"/>
    <w:rsid w:val="01900C99"/>
    <w:rsid w:val="01D039E6"/>
    <w:rsid w:val="01DC03D8"/>
    <w:rsid w:val="01F202A0"/>
    <w:rsid w:val="02080F80"/>
    <w:rsid w:val="021C6026"/>
    <w:rsid w:val="02244529"/>
    <w:rsid w:val="02566502"/>
    <w:rsid w:val="025A7DFA"/>
    <w:rsid w:val="02644226"/>
    <w:rsid w:val="027C58F8"/>
    <w:rsid w:val="028C49E8"/>
    <w:rsid w:val="0300052B"/>
    <w:rsid w:val="0325582B"/>
    <w:rsid w:val="035E1E16"/>
    <w:rsid w:val="03C22C90"/>
    <w:rsid w:val="041C702E"/>
    <w:rsid w:val="0429263D"/>
    <w:rsid w:val="042E65B2"/>
    <w:rsid w:val="044643C9"/>
    <w:rsid w:val="04777F69"/>
    <w:rsid w:val="047C4B05"/>
    <w:rsid w:val="049432C0"/>
    <w:rsid w:val="04AB7409"/>
    <w:rsid w:val="04AE3494"/>
    <w:rsid w:val="051B396A"/>
    <w:rsid w:val="05824120"/>
    <w:rsid w:val="05922391"/>
    <w:rsid w:val="05D63936"/>
    <w:rsid w:val="05F77D3B"/>
    <w:rsid w:val="06192B76"/>
    <w:rsid w:val="06225005"/>
    <w:rsid w:val="06347107"/>
    <w:rsid w:val="06446389"/>
    <w:rsid w:val="06597633"/>
    <w:rsid w:val="065C04E7"/>
    <w:rsid w:val="068E3512"/>
    <w:rsid w:val="06A96A25"/>
    <w:rsid w:val="06E47299"/>
    <w:rsid w:val="072E5772"/>
    <w:rsid w:val="073B3BBE"/>
    <w:rsid w:val="075A14D8"/>
    <w:rsid w:val="076E68DB"/>
    <w:rsid w:val="07907431"/>
    <w:rsid w:val="07C21027"/>
    <w:rsid w:val="07F02841"/>
    <w:rsid w:val="07FC57B6"/>
    <w:rsid w:val="081A1F9B"/>
    <w:rsid w:val="0823263C"/>
    <w:rsid w:val="08567CA1"/>
    <w:rsid w:val="08853271"/>
    <w:rsid w:val="0899487F"/>
    <w:rsid w:val="08A34AE5"/>
    <w:rsid w:val="08A43DE9"/>
    <w:rsid w:val="08D37EB9"/>
    <w:rsid w:val="08E71CA2"/>
    <w:rsid w:val="093223E6"/>
    <w:rsid w:val="095206C1"/>
    <w:rsid w:val="097F632F"/>
    <w:rsid w:val="099C21F0"/>
    <w:rsid w:val="09C9279F"/>
    <w:rsid w:val="09E15A63"/>
    <w:rsid w:val="09E304E0"/>
    <w:rsid w:val="0A2B21F9"/>
    <w:rsid w:val="0A380260"/>
    <w:rsid w:val="0A55657A"/>
    <w:rsid w:val="0ABD64FE"/>
    <w:rsid w:val="0AE155AE"/>
    <w:rsid w:val="0B2852DB"/>
    <w:rsid w:val="0B393E1F"/>
    <w:rsid w:val="0BA8311E"/>
    <w:rsid w:val="0BC1105E"/>
    <w:rsid w:val="0C0F1E89"/>
    <w:rsid w:val="0CBF3E0A"/>
    <w:rsid w:val="0CF348E4"/>
    <w:rsid w:val="0D807377"/>
    <w:rsid w:val="0E403C3B"/>
    <w:rsid w:val="0E490CC1"/>
    <w:rsid w:val="0E4D1449"/>
    <w:rsid w:val="0E976266"/>
    <w:rsid w:val="0EF468A4"/>
    <w:rsid w:val="0F0C1B78"/>
    <w:rsid w:val="0F0F1DD3"/>
    <w:rsid w:val="0F366EEB"/>
    <w:rsid w:val="0F455132"/>
    <w:rsid w:val="0F8F3253"/>
    <w:rsid w:val="0FA6323C"/>
    <w:rsid w:val="10503021"/>
    <w:rsid w:val="1098107D"/>
    <w:rsid w:val="10AE2FCD"/>
    <w:rsid w:val="10F0738B"/>
    <w:rsid w:val="10FB4BD1"/>
    <w:rsid w:val="11216593"/>
    <w:rsid w:val="1144021E"/>
    <w:rsid w:val="11994B02"/>
    <w:rsid w:val="11A13006"/>
    <w:rsid w:val="11EF0452"/>
    <w:rsid w:val="1240528E"/>
    <w:rsid w:val="125F2966"/>
    <w:rsid w:val="12944875"/>
    <w:rsid w:val="132C50FA"/>
    <w:rsid w:val="133A0304"/>
    <w:rsid w:val="135F61B2"/>
    <w:rsid w:val="139C1094"/>
    <w:rsid w:val="13A85C86"/>
    <w:rsid w:val="1405003F"/>
    <w:rsid w:val="14311BDB"/>
    <w:rsid w:val="14591210"/>
    <w:rsid w:val="1464224A"/>
    <w:rsid w:val="146C301F"/>
    <w:rsid w:val="14951BC0"/>
    <w:rsid w:val="149B48BB"/>
    <w:rsid w:val="14A979C6"/>
    <w:rsid w:val="15235E88"/>
    <w:rsid w:val="15691543"/>
    <w:rsid w:val="157466CA"/>
    <w:rsid w:val="15B3045A"/>
    <w:rsid w:val="15B70E05"/>
    <w:rsid w:val="15C2325C"/>
    <w:rsid w:val="15DE7796"/>
    <w:rsid w:val="15F961F3"/>
    <w:rsid w:val="161661E2"/>
    <w:rsid w:val="164E353C"/>
    <w:rsid w:val="169B4C85"/>
    <w:rsid w:val="16AE2920"/>
    <w:rsid w:val="16B12969"/>
    <w:rsid w:val="16F11896"/>
    <w:rsid w:val="170806E1"/>
    <w:rsid w:val="17140A47"/>
    <w:rsid w:val="173F4AD0"/>
    <w:rsid w:val="177E56A8"/>
    <w:rsid w:val="177F79C1"/>
    <w:rsid w:val="17D82E9E"/>
    <w:rsid w:val="180821E2"/>
    <w:rsid w:val="18115805"/>
    <w:rsid w:val="1845370E"/>
    <w:rsid w:val="1868263D"/>
    <w:rsid w:val="18700291"/>
    <w:rsid w:val="18A77BD7"/>
    <w:rsid w:val="18B00B10"/>
    <w:rsid w:val="190D709A"/>
    <w:rsid w:val="193245D4"/>
    <w:rsid w:val="196A05EB"/>
    <w:rsid w:val="1A2D7EF6"/>
    <w:rsid w:val="1A31354A"/>
    <w:rsid w:val="1A7B398D"/>
    <w:rsid w:val="1AA920AA"/>
    <w:rsid w:val="1ACC4A33"/>
    <w:rsid w:val="1AD634B9"/>
    <w:rsid w:val="1AF302A0"/>
    <w:rsid w:val="1B2130D2"/>
    <w:rsid w:val="1B373D3A"/>
    <w:rsid w:val="1B5C7CE6"/>
    <w:rsid w:val="1B703F7F"/>
    <w:rsid w:val="1B763DEA"/>
    <w:rsid w:val="1BB77A1C"/>
    <w:rsid w:val="1C072ECD"/>
    <w:rsid w:val="1C0767AA"/>
    <w:rsid w:val="1C605C48"/>
    <w:rsid w:val="1C697653"/>
    <w:rsid w:val="1C70267E"/>
    <w:rsid w:val="1CB967B0"/>
    <w:rsid w:val="1CBE4993"/>
    <w:rsid w:val="1D0166FB"/>
    <w:rsid w:val="1D1A35C2"/>
    <w:rsid w:val="1D1D108A"/>
    <w:rsid w:val="1D430549"/>
    <w:rsid w:val="1D7E27A9"/>
    <w:rsid w:val="1D932180"/>
    <w:rsid w:val="1DD02E4B"/>
    <w:rsid w:val="1E0405AA"/>
    <w:rsid w:val="1E526225"/>
    <w:rsid w:val="1E573839"/>
    <w:rsid w:val="1F1D3519"/>
    <w:rsid w:val="1F251AF8"/>
    <w:rsid w:val="1F397BBE"/>
    <w:rsid w:val="1F7A6049"/>
    <w:rsid w:val="1FEE4402"/>
    <w:rsid w:val="20072D51"/>
    <w:rsid w:val="20235CE4"/>
    <w:rsid w:val="2045211D"/>
    <w:rsid w:val="20595A84"/>
    <w:rsid w:val="20A85BC5"/>
    <w:rsid w:val="20B0107A"/>
    <w:rsid w:val="20B6184F"/>
    <w:rsid w:val="20B96E62"/>
    <w:rsid w:val="20CC647C"/>
    <w:rsid w:val="215F41C6"/>
    <w:rsid w:val="21BC673B"/>
    <w:rsid w:val="21C31D92"/>
    <w:rsid w:val="22470E8C"/>
    <w:rsid w:val="226C469B"/>
    <w:rsid w:val="22A02A4B"/>
    <w:rsid w:val="22A930FB"/>
    <w:rsid w:val="22BE6B97"/>
    <w:rsid w:val="22C06E47"/>
    <w:rsid w:val="232D0900"/>
    <w:rsid w:val="232E5EF7"/>
    <w:rsid w:val="23817391"/>
    <w:rsid w:val="23C74A15"/>
    <w:rsid w:val="2416559B"/>
    <w:rsid w:val="24703FBC"/>
    <w:rsid w:val="24854692"/>
    <w:rsid w:val="24D05714"/>
    <w:rsid w:val="24D32206"/>
    <w:rsid w:val="24DA761E"/>
    <w:rsid w:val="250332F8"/>
    <w:rsid w:val="25110FAE"/>
    <w:rsid w:val="254305C0"/>
    <w:rsid w:val="257E1E5A"/>
    <w:rsid w:val="258E1084"/>
    <w:rsid w:val="25DB5129"/>
    <w:rsid w:val="25E13D10"/>
    <w:rsid w:val="25E43E8F"/>
    <w:rsid w:val="25F97C5D"/>
    <w:rsid w:val="26591E4D"/>
    <w:rsid w:val="267C0631"/>
    <w:rsid w:val="26F173F5"/>
    <w:rsid w:val="26F62EAC"/>
    <w:rsid w:val="270963B6"/>
    <w:rsid w:val="270B1ABD"/>
    <w:rsid w:val="27253397"/>
    <w:rsid w:val="27341DB9"/>
    <w:rsid w:val="273C1112"/>
    <w:rsid w:val="274F39B2"/>
    <w:rsid w:val="27BE0D0E"/>
    <w:rsid w:val="27C14D9D"/>
    <w:rsid w:val="27C72B6F"/>
    <w:rsid w:val="27F330BB"/>
    <w:rsid w:val="280D2DF4"/>
    <w:rsid w:val="284D2379"/>
    <w:rsid w:val="286609F5"/>
    <w:rsid w:val="28A20E72"/>
    <w:rsid w:val="28F87836"/>
    <w:rsid w:val="29323E76"/>
    <w:rsid w:val="29975481"/>
    <w:rsid w:val="29E4049E"/>
    <w:rsid w:val="2A1E36CF"/>
    <w:rsid w:val="2A49028B"/>
    <w:rsid w:val="2A922A8F"/>
    <w:rsid w:val="2A945FAC"/>
    <w:rsid w:val="2ABE639B"/>
    <w:rsid w:val="2AD44F33"/>
    <w:rsid w:val="2B0A75CE"/>
    <w:rsid w:val="2B1D5FAB"/>
    <w:rsid w:val="2B2F5006"/>
    <w:rsid w:val="2B346B07"/>
    <w:rsid w:val="2B3E7E2F"/>
    <w:rsid w:val="2B7D762D"/>
    <w:rsid w:val="2BA11536"/>
    <w:rsid w:val="2BB45F06"/>
    <w:rsid w:val="2BE52DD3"/>
    <w:rsid w:val="2BF57B55"/>
    <w:rsid w:val="2C2E2943"/>
    <w:rsid w:val="2C446CEC"/>
    <w:rsid w:val="2C4B52D3"/>
    <w:rsid w:val="2C991CCA"/>
    <w:rsid w:val="2CDD6E7E"/>
    <w:rsid w:val="2CF87CD8"/>
    <w:rsid w:val="2D0232BB"/>
    <w:rsid w:val="2D464900"/>
    <w:rsid w:val="2D811DD3"/>
    <w:rsid w:val="2D8837F3"/>
    <w:rsid w:val="2E4A0476"/>
    <w:rsid w:val="2E720974"/>
    <w:rsid w:val="2EC626DE"/>
    <w:rsid w:val="2EC676D9"/>
    <w:rsid w:val="2F015EEA"/>
    <w:rsid w:val="2F3D5F39"/>
    <w:rsid w:val="2F4320AB"/>
    <w:rsid w:val="2F455B03"/>
    <w:rsid w:val="2F4A1DD6"/>
    <w:rsid w:val="2F8E5B95"/>
    <w:rsid w:val="2FB7058A"/>
    <w:rsid w:val="2FC3156B"/>
    <w:rsid w:val="2FFA0463"/>
    <w:rsid w:val="301469FD"/>
    <w:rsid w:val="30434A1F"/>
    <w:rsid w:val="30480634"/>
    <w:rsid w:val="304A30B7"/>
    <w:rsid w:val="30623AAA"/>
    <w:rsid w:val="30995A53"/>
    <w:rsid w:val="30BD577F"/>
    <w:rsid w:val="30FC3EAE"/>
    <w:rsid w:val="31043042"/>
    <w:rsid w:val="31572963"/>
    <w:rsid w:val="3165140E"/>
    <w:rsid w:val="31736BDE"/>
    <w:rsid w:val="31767CAB"/>
    <w:rsid w:val="31861E36"/>
    <w:rsid w:val="32A5347B"/>
    <w:rsid w:val="32C66783"/>
    <w:rsid w:val="338035AE"/>
    <w:rsid w:val="347544C8"/>
    <w:rsid w:val="34B2713E"/>
    <w:rsid w:val="34D26677"/>
    <w:rsid w:val="354D0B09"/>
    <w:rsid w:val="356877B8"/>
    <w:rsid w:val="35773CA0"/>
    <w:rsid w:val="35A64C46"/>
    <w:rsid w:val="35A920E4"/>
    <w:rsid w:val="35AA59EC"/>
    <w:rsid w:val="35AE6464"/>
    <w:rsid w:val="35BF5852"/>
    <w:rsid w:val="35E93BB3"/>
    <w:rsid w:val="35EA18A9"/>
    <w:rsid w:val="360878B6"/>
    <w:rsid w:val="36174266"/>
    <w:rsid w:val="36280263"/>
    <w:rsid w:val="365E7F98"/>
    <w:rsid w:val="36676D0F"/>
    <w:rsid w:val="36752753"/>
    <w:rsid w:val="36AC20B1"/>
    <w:rsid w:val="36BA6CA8"/>
    <w:rsid w:val="37031AD7"/>
    <w:rsid w:val="372639DF"/>
    <w:rsid w:val="3728034B"/>
    <w:rsid w:val="37784A8F"/>
    <w:rsid w:val="378160BF"/>
    <w:rsid w:val="37A9619D"/>
    <w:rsid w:val="37D053FD"/>
    <w:rsid w:val="37DC3704"/>
    <w:rsid w:val="37F57F98"/>
    <w:rsid w:val="3812321B"/>
    <w:rsid w:val="383006F3"/>
    <w:rsid w:val="383C58FF"/>
    <w:rsid w:val="38411606"/>
    <w:rsid w:val="38A57571"/>
    <w:rsid w:val="38D512EF"/>
    <w:rsid w:val="38F85C43"/>
    <w:rsid w:val="390F4B13"/>
    <w:rsid w:val="392432BE"/>
    <w:rsid w:val="39685A04"/>
    <w:rsid w:val="39862EF0"/>
    <w:rsid w:val="399B21F0"/>
    <w:rsid w:val="39E11CF5"/>
    <w:rsid w:val="39E97788"/>
    <w:rsid w:val="3A662480"/>
    <w:rsid w:val="3B0D0C60"/>
    <w:rsid w:val="3B0F15A3"/>
    <w:rsid w:val="3B1F13F5"/>
    <w:rsid w:val="3B2C6211"/>
    <w:rsid w:val="3B3D4D21"/>
    <w:rsid w:val="3B431FE5"/>
    <w:rsid w:val="3B9037DB"/>
    <w:rsid w:val="3BB508B7"/>
    <w:rsid w:val="3BC70066"/>
    <w:rsid w:val="3C0E48A1"/>
    <w:rsid w:val="3C742B13"/>
    <w:rsid w:val="3C864411"/>
    <w:rsid w:val="3CAB0C5F"/>
    <w:rsid w:val="3CD45829"/>
    <w:rsid w:val="3CE9031B"/>
    <w:rsid w:val="3CE90887"/>
    <w:rsid w:val="3CEA16B6"/>
    <w:rsid w:val="3CEB1CB0"/>
    <w:rsid w:val="3D122ADE"/>
    <w:rsid w:val="3D1C334C"/>
    <w:rsid w:val="3D512C79"/>
    <w:rsid w:val="3D530520"/>
    <w:rsid w:val="3DAA07E3"/>
    <w:rsid w:val="3DB36281"/>
    <w:rsid w:val="3DEA38F6"/>
    <w:rsid w:val="3E8D29A1"/>
    <w:rsid w:val="3E915C55"/>
    <w:rsid w:val="3EAA45DA"/>
    <w:rsid w:val="3ECB1868"/>
    <w:rsid w:val="3EFA671B"/>
    <w:rsid w:val="3F222D71"/>
    <w:rsid w:val="3F66629D"/>
    <w:rsid w:val="3F6C12A5"/>
    <w:rsid w:val="3F840733"/>
    <w:rsid w:val="3FB565B7"/>
    <w:rsid w:val="40091027"/>
    <w:rsid w:val="40131025"/>
    <w:rsid w:val="401A6987"/>
    <w:rsid w:val="40355998"/>
    <w:rsid w:val="405434B8"/>
    <w:rsid w:val="413C3B3A"/>
    <w:rsid w:val="41580369"/>
    <w:rsid w:val="419F0B14"/>
    <w:rsid w:val="41CF5EF7"/>
    <w:rsid w:val="41DF1FBE"/>
    <w:rsid w:val="41E00E8E"/>
    <w:rsid w:val="41ED03B3"/>
    <w:rsid w:val="42132599"/>
    <w:rsid w:val="421F7C2D"/>
    <w:rsid w:val="425B2D2D"/>
    <w:rsid w:val="4260706B"/>
    <w:rsid w:val="42953666"/>
    <w:rsid w:val="42B75B58"/>
    <w:rsid w:val="42ED6E26"/>
    <w:rsid w:val="43010D0D"/>
    <w:rsid w:val="431A50EB"/>
    <w:rsid w:val="43795299"/>
    <w:rsid w:val="438066F6"/>
    <w:rsid w:val="439126E1"/>
    <w:rsid w:val="43B564A2"/>
    <w:rsid w:val="44713086"/>
    <w:rsid w:val="448A2ECE"/>
    <w:rsid w:val="44917138"/>
    <w:rsid w:val="44987EE6"/>
    <w:rsid w:val="44A301EE"/>
    <w:rsid w:val="44AA4F4A"/>
    <w:rsid w:val="44C75EA4"/>
    <w:rsid w:val="44E46969"/>
    <w:rsid w:val="45576887"/>
    <w:rsid w:val="45795EC8"/>
    <w:rsid w:val="45831933"/>
    <w:rsid w:val="45B26485"/>
    <w:rsid w:val="460A4B84"/>
    <w:rsid w:val="46125032"/>
    <w:rsid w:val="4627406A"/>
    <w:rsid w:val="46443FBC"/>
    <w:rsid w:val="46624AD9"/>
    <w:rsid w:val="46AE78E7"/>
    <w:rsid w:val="46CF37C4"/>
    <w:rsid w:val="46D963FC"/>
    <w:rsid w:val="47177ECD"/>
    <w:rsid w:val="47214EDF"/>
    <w:rsid w:val="47356FBE"/>
    <w:rsid w:val="47AA6336"/>
    <w:rsid w:val="47F9603C"/>
    <w:rsid w:val="485D3A43"/>
    <w:rsid w:val="48627B3C"/>
    <w:rsid w:val="486469A2"/>
    <w:rsid w:val="48BF45D4"/>
    <w:rsid w:val="48F567EB"/>
    <w:rsid w:val="4904530A"/>
    <w:rsid w:val="490F67CE"/>
    <w:rsid w:val="493A5912"/>
    <w:rsid w:val="495F490B"/>
    <w:rsid w:val="49A777C0"/>
    <w:rsid w:val="4A127DB5"/>
    <w:rsid w:val="4A542C5D"/>
    <w:rsid w:val="4A6A50E2"/>
    <w:rsid w:val="4AB91E0F"/>
    <w:rsid w:val="4AC5070C"/>
    <w:rsid w:val="4AF1342B"/>
    <w:rsid w:val="4B093234"/>
    <w:rsid w:val="4B1A7CFC"/>
    <w:rsid w:val="4B2464A3"/>
    <w:rsid w:val="4B2916DA"/>
    <w:rsid w:val="4B8A523F"/>
    <w:rsid w:val="4BA2306C"/>
    <w:rsid w:val="4BD34B31"/>
    <w:rsid w:val="4BD878B4"/>
    <w:rsid w:val="4BED1E50"/>
    <w:rsid w:val="4C0B7C5F"/>
    <w:rsid w:val="4C6664D9"/>
    <w:rsid w:val="4C6717D8"/>
    <w:rsid w:val="4C934CC8"/>
    <w:rsid w:val="4CA61A08"/>
    <w:rsid w:val="4CDA400D"/>
    <w:rsid w:val="4CE27972"/>
    <w:rsid w:val="4D063C12"/>
    <w:rsid w:val="4D1364DC"/>
    <w:rsid w:val="4D3608DC"/>
    <w:rsid w:val="4DAC4351"/>
    <w:rsid w:val="4DAC4800"/>
    <w:rsid w:val="4E6A4B6D"/>
    <w:rsid w:val="4EBC4D27"/>
    <w:rsid w:val="4EDC031A"/>
    <w:rsid w:val="4EF56A8F"/>
    <w:rsid w:val="4F0448F4"/>
    <w:rsid w:val="4F9F514C"/>
    <w:rsid w:val="4FA3310F"/>
    <w:rsid w:val="4FD50B66"/>
    <w:rsid w:val="4FE41EB1"/>
    <w:rsid w:val="4FF3560C"/>
    <w:rsid w:val="50213EAB"/>
    <w:rsid w:val="502A10FD"/>
    <w:rsid w:val="504F78C3"/>
    <w:rsid w:val="50D337E9"/>
    <w:rsid w:val="511D0E02"/>
    <w:rsid w:val="513149B1"/>
    <w:rsid w:val="516E6943"/>
    <w:rsid w:val="51846CF3"/>
    <w:rsid w:val="51940D0E"/>
    <w:rsid w:val="51BC7459"/>
    <w:rsid w:val="51F223E7"/>
    <w:rsid w:val="521A2EDD"/>
    <w:rsid w:val="52323632"/>
    <w:rsid w:val="52A613C0"/>
    <w:rsid w:val="52B40129"/>
    <w:rsid w:val="52B60CA8"/>
    <w:rsid w:val="530A16A6"/>
    <w:rsid w:val="530F186B"/>
    <w:rsid w:val="5349492B"/>
    <w:rsid w:val="53513ED7"/>
    <w:rsid w:val="538D73D2"/>
    <w:rsid w:val="53C14D6F"/>
    <w:rsid w:val="53C74C41"/>
    <w:rsid w:val="53DB66D6"/>
    <w:rsid w:val="541F2591"/>
    <w:rsid w:val="54214814"/>
    <w:rsid w:val="546E57E8"/>
    <w:rsid w:val="54B11A9D"/>
    <w:rsid w:val="54B534BC"/>
    <w:rsid w:val="54F72CAF"/>
    <w:rsid w:val="55276463"/>
    <w:rsid w:val="557D7174"/>
    <w:rsid w:val="55824FD8"/>
    <w:rsid w:val="55830C82"/>
    <w:rsid w:val="55F70124"/>
    <w:rsid w:val="56326503"/>
    <w:rsid w:val="567D6E42"/>
    <w:rsid w:val="569C1A91"/>
    <w:rsid w:val="56BA409A"/>
    <w:rsid w:val="56E22D67"/>
    <w:rsid w:val="572062E1"/>
    <w:rsid w:val="57255849"/>
    <w:rsid w:val="5731168D"/>
    <w:rsid w:val="575F203D"/>
    <w:rsid w:val="57B8489D"/>
    <w:rsid w:val="583B3851"/>
    <w:rsid w:val="58950431"/>
    <w:rsid w:val="58A957A1"/>
    <w:rsid w:val="58AC4F19"/>
    <w:rsid w:val="58B91CFB"/>
    <w:rsid w:val="58DA7EEA"/>
    <w:rsid w:val="590F1EF4"/>
    <w:rsid w:val="5925081D"/>
    <w:rsid w:val="59325743"/>
    <w:rsid w:val="595E2244"/>
    <w:rsid w:val="595F33B1"/>
    <w:rsid w:val="59643D58"/>
    <w:rsid w:val="59783FD2"/>
    <w:rsid w:val="59A461A5"/>
    <w:rsid w:val="59CA3697"/>
    <w:rsid w:val="59CC3858"/>
    <w:rsid w:val="59F64778"/>
    <w:rsid w:val="5A3A375E"/>
    <w:rsid w:val="5A7F3AB5"/>
    <w:rsid w:val="5A83416A"/>
    <w:rsid w:val="5A851CC1"/>
    <w:rsid w:val="5AA4368F"/>
    <w:rsid w:val="5AAC2B44"/>
    <w:rsid w:val="5AB41228"/>
    <w:rsid w:val="5AB47D20"/>
    <w:rsid w:val="5AF76DF4"/>
    <w:rsid w:val="5B1D265B"/>
    <w:rsid w:val="5B9F0644"/>
    <w:rsid w:val="5BC76DA4"/>
    <w:rsid w:val="5BD33A87"/>
    <w:rsid w:val="5BE54AC5"/>
    <w:rsid w:val="5BFB52F1"/>
    <w:rsid w:val="5C4111AA"/>
    <w:rsid w:val="5C921C6F"/>
    <w:rsid w:val="5C9F31B5"/>
    <w:rsid w:val="5CA14D5B"/>
    <w:rsid w:val="5CBC10BE"/>
    <w:rsid w:val="5CCA4EFE"/>
    <w:rsid w:val="5CDD7962"/>
    <w:rsid w:val="5D074947"/>
    <w:rsid w:val="5D7E5CB2"/>
    <w:rsid w:val="5D877226"/>
    <w:rsid w:val="5DAC3CE3"/>
    <w:rsid w:val="5DB85B5A"/>
    <w:rsid w:val="5DE93139"/>
    <w:rsid w:val="5E0A5AE3"/>
    <w:rsid w:val="5E0B0313"/>
    <w:rsid w:val="5E467CD7"/>
    <w:rsid w:val="5E514D44"/>
    <w:rsid w:val="5E7B1688"/>
    <w:rsid w:val="5EC045F3"/>
    <w:rsid w:val="5EC54C25"/>
    <w:rsid w:val="5F753B6F"/>
    <w:rsid w:val="5F7756D3"/>
    <w:rsid w:val="5F816EDF"/>
    <w:rsid w:val="5F9529FF"/>
    <w:rsid w:val="5FC436F3"/>
    <w:rsid w:val="5FE87F15"/>
    <w:rsid w:val="5FED743F"/>
    <w:rsid w:val="600F23F5"/>
    <w:rsid w:val="60157323"/>
    <w:rsid w:val="60260B72"/>
    <w:rsid w:val="60576219"/>
    <w:rsid w:val="60D24DF0"/>
    <w:rsid w:val="60D60CB8"/>
    <w:rsid w:val="613A4383"/>
    <w:rsid w:val="61586A66"/>
    <w:rsid w:val="61594301"/>
    <w:rsid w:val="61BA2FA9"/>
    <w:rsid w:val="61FB6DAF"/>
    <w:rsid w:val="61FE3933"/>
    <w:rsid w:val="627143D0"/>
    <w:rsid w:val="627F18E6"/>
    <w:rsid w:val="629C174A"/>
    <w:rsid w:val="62A12700"/>
    <w:rsid w:val="62C3044E"/>
    <w:rsid w:val="62DE2340"/>
    <w:rsid w:val="63254056"/>
    <w:rsid w:val="633A6CF6"/>
    <w:rsid w:val="63E93597"/>
    <w:rsid w:val="640D71D9"/>
    <w:rsid w:val="641B6C1D"/>
    <w:rsid w:val="645601A4"/>
    <w:rsid w:val="651806C7"/>
    <w:rsid w:val="65615034"/>
    <w:rsid w:val="659E08F0"/>
    <w:rsid w:val="65B175A2"/>
    <w:rsid w:val="65E61D8E"/>
    <w:rsid w:val="65FF7451"/>
    <w:rsid w:val="66134221"/>
    <w:rsid w:val="663439DE"/>
    <w:rsid w:val="6640233F"/>
    <w:rsid w:val="66B31457"/>
    <w:rsid w:val="670169AD"/>
    <w:rsid w:val="67021B53"/>
    <w:rsid w:val="67583D78"/>
    <w:rsid w:val="67A10204"/>
    <w:rsid w:val="684316C3"/>
    <w:rsid w:val="68532957"/>
    <w:rsid w:val="685B615F"/>
    <w:rsid w:val="688B3080"/>
    <w:rsid w:val="6957144F"/>
    <w:rsid w:val="6959507C"/>
    <w:rsid w:val="695C5E52"/>
    <w:rsid w:val="696A1E06"/>
    <w:rsid w:val="698308CD"/>
    <w:rsid w:val="69957ED4"/>
    <w:rsid w:val="69A708AF"/>
    <w:rsid w:val="69E56AB7"/>
    <w:rsid w:val="69E92DAC"/>
    <w:rsid w:val="6A782E59"/>
    <w:rsid w:val="6A9F6FEE"/>
    <w:rsid w:val="6AA96239"/>
    <w:rsid w:val="6AB63580"/>
    <w:rsid w:val="6B2A3EEB"/>
    <w:rsid w:val="6B562F62"/>
    <w:rsid w:val="6B8C33C1"/>
    <w:rsid w:val="6BAE1231"/>
    <w:rsid w:val="6C036BB3"/>
    <w:rsid w:val="6C5E3800"/>
    <w:rsid w:val="6C637823"/>
    <w:rsid w:val="6C8040F3"/>
    <w:rsid w:val="6CFF13C7"/>
    <w:rsid w:val="6D0066D5"/>
    <w:rsid w:val="6D011335"/>
    <w:rsid w:val="6D130D6D"/>
    <w:rsid w:val="6D291A1E"/>
    <w:rsid w:val="6DE940EA"/>
    <w:rsid w:val="6E4A1735"/>
    <w:rsid w:val="6E732CA0"/>
    <w:rsid w:val="6E786426"/>
    <w:rsid w:val="6EA50619"/>
    <w:rsid w:val="6EAB3975"/>
    <w:rsid w:val="6EC67B69"/>
    <w:rsid w:val="6ECD34B0"/>
    <w:rsid w:val="6EF65E5D"/>
    <w:rsid w:val="6F1D1E2A"/>
    <w:rsid w:val="6F295A14"/>
    <w:rsid w:val="6F6324B5"/>
    <w:rsid w:val="6F690801"/>
    <w:rsid w:val="6FB872BB"/>
    <w:rsid w:val="6FBB77A6"/>
    <w:rsid w:val="70A248F8"/>
    <w:rsid w:val="710E7440"/>
    <w:rsid w:val="713652FF"/>
    <w:rsid w:val="718369E7"/>
    <w:rsid w:val="71CA7136"/>
    <w:rsid w:val="71F63193"/>
    <w:rsid w:val="71F728B6"/>
    <w:rsid w:val="72263617"/>
    <w:rsid w:val="72337D19"/>
    <w:rsid w:val="72455033"/>
    <w:rsid w:val="724645C6"/>
    <w:rsid w:val="72562322"/>
    <w:rsid w:val="725A2444"/>
    <w:rsid w:val="73B95E1F"/>
    <w:rsid w:val="73C03F52"/>
    <w:rsid w:val="73F66C66"/>
    <w:rsid w:val="74085A10"/>
    <w:rsid w:val="74111B71"/>
    <w:rsid w:val="742A7349"/>
    <w:rsid w:val="74816BC0"/>
    <w:rsid w:val="749D0501"/>
    <w:rsid w:val="74C3250F"/>
    <w:rsid w:val="74C65E93"/>
    <w:rsid w:val="74CE1173"/>
    <w:rsid w:val="74F56012"/>
    <w:rsid w:val="75090CA9"/>
    <w:rsid w:val="752A6C73"/>
    <w:rsid w:val="75442A9A"/>
    <w:rsid w:val="75635C34"/>
    <w:rsid w:val="757A76E3"/>
    <w:rsid w:val="75A97285"/>
    <w:rsid w:val="75AF069F"/>
    <w:rsid w:val="75B907D3"/>
    <w:rsid w:val="762B71EB"/>
    <w:rsid w:val="763609D6"/>
    <w:rsid w:val="766916F1"/>
    <w:rsid w:val="767B680C"/>
    <w:rsid w:val="767C50CE"/>
    <w:rsid w:val="7681705B"/>
    <w:rsid w:val="76A828B9"/>
    <w:rsid w:val="76B43A24"/>
    <w:rsid w:val="772A7571"/>
    <w:rsid w:val="77306D95"/>
    <w:rsid w:val="773E016A"/>
    <w:rsid w:val="77E924BB"/>
    <w:rsid w:val="782468AB"/>
    <w:rsid w:val="7827045B"/>
    <w:rsid w:val="782853E1"/>
    <w:rsid w:val="789206AF"/>
    <w:rsid w:val="78E326AC"/>
    <w:rsid w:val="791677D6"/>
    <w:rsid w:val="792D4A81"/>
    <w:rsid w:val="794A6D84"/>
    <w:rsid w:val="798A3661"/>
    <w:rsid w:val="79AC560E"/>
    <w:rsid w:val="79B24DFB"/>
    <w:rsid w:val="79CB4750"/>
    <w:rsid w:val="79E02738"/>
    <w:rsid w:val="79E2370F"/>
    <w:rsid w:val="79EA7204"/>
    <w:rsid w:val="79FB56D5"/>
    <w:rsid w:val="7A06571B"/>
    <w:rsid w:val="7A272529"/>
    <w:rsid w:val="7A34506E"/>
    <w:rsid w:val="7A540837"/>
    <w:rsid w:val="7A7374FF"/>
    <w:rsid w:val="7A933FD1"/>
    <w:rsid w:val="7ACC355C"/>
    <w:rsid w:val="7AD241A1"/>
    <w:rsid w:val="7AD6634C"/>
    <w:rsid w:val="7AE123E1"/>
    <w:rsid w:val="7AEF2C3E"/>
    <w:rsid w:val="7AF876CF"/>
    <w:rsid w:val="7BA9079B"/>
    <w:rsid w:val="7BB74E0E"/>
    <w:rsid w:val="7BC11C3E"/>
    <w:rsid w:val="7BC8735D"/>
    <w:rsid w:val="7BD55F21"/>
    <w:rsid w:val="7C1122C7"/>
    <w:rsid w:val="7CB577F2"/>
    <w:rsid w:val="7D0963C1"/>
    <w:rsid w:val="7D644D54"/>
    <w:rsid w:val="7DF95094"/>
    <w:rsid w:val="7DFA631C"/>
    <w:rsid w:val="7E15033C"/>
    <w:rsid w:val="7E1B6AD0"/>
    <w:rsid w:val="7E255AEE"/>
    <w:rsid w:val="7E5661BF"/>
    <w:rsid w:val="7E754829"/>
    <w:rsid w:val="7EB56E39"/>
    <w:rsid w:val="7F197B07"/>
    <w:rsid w:val="7F2F2E35"/>
    <w:rsid w:val="7F7A2044"/>
    <w:rsid w:val="7F834C70"/>
    <w:rsid w:val="7FD260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2">
    <w:name w:val="heading 1"/>
    <w:basedOn w:val="1"/>
    <w:next w:val="1"/>
    <w:autoRedefine/>
    <w:qFormat/>
    <w:uiPriority w:val="0"/>
    <w:pPr>
      <w:keepNext/>
      <w:keepLines/>
      <w:pageBreakBefore/>
      <w:spacing w:before="156" w:beforeLines="50" w:after="156" w:afterLines="50" w:line="600" w:lineRule="exact"/>
      <w:ind w:firstLine="0" w:firstLineChars="0"/>
      <w:jc w:val="center"/>
      <w:outlineLvl w:val="0"/>
    </w:pPr>
    <w:rPr>
      <w:rFonts w:ascii="黑体" w:hAnsi="Calibri" w:eastAsia="黑体"/>
      <w:bCs/>
      <w:kern w:val="44"/>
      <w:sz w:val="32"/>
      <w:szCs w:val="44"/>
    </w:rPr>
  </w:style>
  <w:style w:type="paragraph" w:styleId="3">
    <w:name w:val="heading 2"/>
    <w:basedOn w:val="1"/>
    <w:next w:val="1"/>
    <w:qFormat/>
    <w:uiPriority w:val="0"/>
    <w:pPr>
      <w:keepNext/>
      <w:keepLines/>
      <w:spacing w:before="156" w:beforeLines="50" w:after="156" w:afterLines="50" w:line="600" w:lineRule="exact"/>
      <w:ind w:firstLine="0" w:firstLineChars="0"/>
      <w:jc w:val="center"/>
      <w:outlineLvl w:val="1"/>
    </w:pPr>
    <w:rPr>
      <w:rFonts w:ascii="宋体" w:hAnsi="宋体"/>
      <w:b/>
      <w:bCs/>
      <w:color w:val="000000"/>
      <w:sz w:val="32"/>
      <w:szCs w:val="30"/>
    </w:rPr>
  </w:style>
  <w:style w:type="character" w:default="1" w:styleId="12">
    <w:name w:val="Default Paragraph Font"/>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Indent"/>
    <w:basedOn w:val="1"/>
    <w:qFormat/>
    <w:uiPriority w:val="99"/>
    <w:pPr>
      <w:spacing w:after="120"/>
      <w:ind w:left="420" w:leftChars="200"/>
    </w:pPr>
  </w:style>
  <w:style w:type="paragraph" w:styleId="6">
    <w:name w:val="footer"/>
    <w:basedOn w:val="1"/>
    <w:autoRedefine/>
    <w:unhideWhenUsed/>
    <w:qFormat/>
    <w:uiPriority w:val="99"/>
    <w:pPr>
      <w:tabs>
        <w:tab w:val="center" w:pos="4153"/>
        <w:tab w:val="right" w:pos="8306"/>
      </w:tabs>
      <w:jc w:val="left"/>
    </w:pPr>
    <w:rPr>
      <w:rFonts w:ascii="Calibri" w:hAnsi="Calibri"/>
      <w:kern w:val="0"/>
      <w:sz w:val="18"/>
      <w:szCs w:val="18"/>
    </w:rPr>
  </w:style>
  <w:style w:type="paragraph" w:styleId="7">
    <w:name w:val="header"/>
    <w:basedOn w:val="1"/>
    <w:unhideWhenUsed/>
    <w:qFormat/>
    <w:uiPriority w:val="0"/>
    <w:pPr>
      <w:tabs>
        <w:tab w:val="center" w:pos="4153"/>
        <w:tab w:val="right" w:pos="8306"/>
      </w:tabs>
      <w:jc w:val="center"/>
    </w:pPr>
    <w:rPr>
      <w:rFonts w:ascii="Calibri" w:hAnsi="Calibri"/>
      <w:sz w:val="18"/>
      <w:szCs w:val="18"/>
    </w:rPr>
  </w:style>
  <w:style w:type="paragraph" w:styleId="8">
    <w:name w:val="toc 1"/>
    <w:basedOn w:val="1"/>
    <w:next w:val="1"/>
    <w:qFormat/>
    <w:uiPriority w:val="39"/>
    <w:pPr>
      <w:adjustRightInd/>
      <w:snapToGrid/>
      <w:spacing w:before="120" w:beforeLines="0" w:after="120" w:afterLines="0" w:line="240" w:lineRule="auto"/>
      <w:ind w:firstLine="0" w:firstLineChars="0"/>
      <w:jc w:val="left"/>
    </w:pPr>
    <w:rPr>
      <w:b/>
      <w:bCs/>
      <w:caps/>
    </w:rPr>
  </w:style>
  <w:style w:type="paragraph" w:styleId="9">
    <w:name w:val="toc 2"/>
    <w:basedOn w:val="1"/>
    <w:next w:val="1"/>
    <w:autoRedefine/>
    <w:qFormat/>
    <w:uiPriority w:val="39"/>
    <w:pPr>
      <w:adjustRightInd/>
      <w:snapToGrid/>
      <w:spacing w:line="240" w:lineRule="auto"/>
      <w:ind w:left="301" w:firstLine="0" w:firstLineChars="0"/>
      <w:jc w:val="left"/>
    </w:pPr>
    <w:rPr>
      <w:smallCap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paragraph" w:customStyle="1" w:styleId="1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5">
    <w:name w:val="_正文格式"/>
    <w:basedOn w:val="1"/>
    <w:autoRedefine/>
    <w:qFormat/>
    <w:uiPriority w:val="0"/>
    <w:pPr>
      <w:adjustRightInd/>
      <w:snapToGrid/>
      <w:spacing w:line="560" w:lineRule="exact"/>
    </w:pPr>
    <w:rPr>
      <w:rFonts w:ascii="Calibri" w:hAnsi="Calibri" w:eastAsia="仿宋_GB2312"/>
      <w:sz w:val="28"/>
      <w:szCs w:val="24"/>
    </w:rPr>
  </w:style>
  <w:style w:type="character" w:customStyle="1" w:styleId="16">
    <w:name w:val="表头 Char Char"/>
    <w:qFormat/>
    <w:uiPriority w:val="0"/>
    <w:rPr>
      <w:rFonts w:ascii="黑体" w:hAnsi="Calibri" w:eastAsia="黑体"/>
      <w:kern w:val="0"/>
    </w:rPr>
  </w:style>
  <w:style w:type="paragraph" w:customStyle="1" w:styleId="17">
    <w:name w:val="表头"/>
    <w:basedOn w:val="1"/>
    <w:link w:val="21"/>
    <w:qFormat/>
    <w:uiPriority w:val="0"/>
    <w:pPr>
      <w:adjustRightInd/>
      <w:snapToGrid/>
      <w:ind w:firstLine="0" w:firstLineChars="0"/>
      <w:jc w:val="center"/>
    </w:pPr>
    <w:rPr>
      <w:rFonts w:ascii="黑体" w:hAnsi="Calibri" w:eastAsia="黑体"/>
      <w:kern w:val="0"/>
    </w:rPr>
  </w:style>
  <w:style w:type="paragraph" w:customStyle="1" w:styleId="18">
    <w:name w:val="p0"/>
    <w:basedOn w:val="1"/>
    <w:qFormat/>
    <w:uiPriority w:val="0"/>
    <w:pPr>
      <w:widowControl/>
      <w:adjustRightInd/>
      <w:snapToGrid/>
      <w:spacing w:line="240" w:lineRule="auto"/>
      <w:ind w:firstLine="0" w:firstLineChars="0"/>
    </w:pPr>
    <w:rPr>
      <w:kern w:val="0"/>
      <w:sz w:val="21"/>
      <w:szCs w:val="21"/>
    </w:rPr>
  </w:style>
  <w:style w:type="character" w:customStyle="1" w:styleId="19">
    <w:name w:val="font41"/>
    <w:qFormat/>
    <w:uiPriority w:val="0"/>
    <w:rPr>
      <w:rFonts w:hint="eastAsia" w:ascii="宋体" w:hAnsi="宋体" w:eastAsia="宋体" w:cs="宋体"/>
      <w:color w:val="000000"/>
      <w:sz w:val="21"/>
      <w:szCs w:val="21"/>
      <w:u w:val="none"/>
    </w:rPr>
  </w:style>
  <w:style w:type="character" w:customStyle="1" w:styleId="20">
    <w:name w:val="font71"/>
    <w:qFormat/>
    <w:uiPriority w:val="0"/>
    <w:rPr>
      <w:rFonts w:hint="eastAsia" w:ascii="Times New Roman" w:hAnsi="Times New Roman" w:cs="Times New Roman"/>
      <w:color w:val="000000"/>
      <w:sz w:val="21"/>
      <w:szCs w:val="21"/>
      <w:u w:val="none"/>
    </w:rPr>
  </w:style>
  <w:style w:type="character" w:customStyle="1" w:styleId="21">
    <w:name w:val="表头 Char"/>
    <w:link w:val="17"/>
    <w:qFormat/>
    <w:uiPriority w:val="0"/>
    <w:rPr>
      <w:rFonts w:eastAsia="黑体"/>
      <w:sz w:val="24"/>
      <w:lang w:bidi="ar-SA"/>
    </w:rPr>
  </w:style>
  <w:style w:type="character" w:customStyle="1" w:styleId="22">
    <w:name w:val="font31"/>
    <w:basedOn w:val="12"/>
    <w:qFormat/>
    <w:uiPriority w:val="0"/>
    <w:rPr>
      <w:rFonts w:hint="default" w:ascii="Times New Roman" w:hAnsi="Times New Roman" w:cs="Times New Roman"/>
      <w:color w:val="000000"/>
      <w:sz w:val="21"/>
      <w:szCs w:val="21"/>
      <w:u w:val="none"/>
      <w:vertAlign w:val="superscript"/>
    </w:rPr>
  </w:style>
  <w:style w:type="character" w:customStyle="1" w:styleId="23">
    <w:name w:val="font21"/>
    <w:basedOn w:val="12"/>
    <w:qFormat/>
    <w:uiPriority w:val="0"/>
    <w:rPr>
      <w:rFonts w:hint="eastAsia" w:ascii="宋体" w:hAnsi="宋体" w:eastAsia="宋体" w:cs="宋体"/>
      <w:color w:val="000000"/>
      <w:sz w:val="21"/>
      <w:szCs w:val="21"/>
      <w:u w:val="none"/>
    </w:rPr>
  </w:style>
  <w:style w:type="paragraph" w:customStyle="1" w:styleId="24">
    <w:name w:val="ParaAttribute6"/>
    <w:qFormat/>
    <w:uiPriority w:val="0"/>
    <w:pPr>
      <w:widowControl w:val="0"/>
      <w:wordWrap w:val="0"/>
      <w:spacing w:line="240" w:lineRule="exact"/>
      <w:ind w:left="0"/>
      <w:jc w:val="left"/>
    </w:pPr>
    <w:rPr>
      <w:rFonts w:ascii="Times New Roman" w:hAnsi="Times New Roman" w:eastAsia="宋体" w:cs="Times New Roman"/>
    </w:rPr>
  </w:style>
  <w:style w:type="character" w:customStyle="1" w:styleId="25">
    <w:name w:val="CharAttribute12"/>
    <w:qFormat/>
    <w:uiPriority w:val="0"/>
    <w:rPr>
      <w:rFonts w:ascii="??¨¬?" w:hAnsi="??¨¬?" w:eastAsia="??¨¬?"/>
      <w:sz w:val="24"/>
    </w:rPr>
  </w:style>
  <w:style w:type="paragraph" w:customStyle="1" w:styleId="26">
    <w:name w:val="_Style 325"/>
    <w:basedOn w:val="1"/>
    <w:next w:val="27"/>
    <w:qFormat/>
    <w:uiPriority w:val="0"/>
    <w:pPr>
      <w:widowControl w:val="0"/>
      <w:adjustRightInd w:val="0"/>
      <w:snapToGrid w:val="0"/>
      <w:spacing w:after="0" w:line="360" w:lineRule="auto"/>
      <w:ind w:firstLine="420" w:firstLineChars="200"/>
      <w:jc w:val="both"/>
    </w:pPr>
    <w:rPr>
      <w:kern w:val="2"/>
      <w:sz w:val="24"/>
      <w:szCs w:val="20"/>
    </w:rPr>
  </w:style>
  <w:style w:type="paragraph" w:styleId="27">
    <w:name w:val="List Paragraph"/>
    <w:basedOn w:val="1"/>
    <w:qFormat/>
    <w:uiPriority w:val="0"/>
    <w:pPr>
      <w:spacing w:line="360" w:lineRule="auto"/>
      <w:ind w:firstLine="420" w:firstLineChars="200"/>
    </w:pPr>
    <w:rPr>
      <w:rFonts w:ascii="Calibri" w:hAnsi="Calibri"/>
      <w:sz w:val="24"/>
      <w:szCs w:val="20"/>
    </w:rPr>
  </w:style>
  <w:style w:type="paragraph" w:customStyle="1" w:styleId="28">
    <w:name w:val="！正文ａｌｔ＋5"/>
    <w:basedOn w:val="1"/>
    <w:qFormat/>
    <w:uiPriority w:val="0"/>
    <w:pPr>
      <w:adjustRightInd w:val="0"/>
      <w:spacing w:line="560" w:lineRule="exact"/>
      <w:ind w:firstLine="560" w:firstLineChars="200"/>
      <w:jc w:val="left"/>
    </w:pPr>
    <w:rPr>
      <w:rFonts w:ascii="仿宋_GB2312" w:eastAsia="仿宋_GB2312"/>
      <w:sz w:val="28"/>
      <w:szCs w:val="28"/>
    </w:rPr>
  </w:style>
  <w:style w:type="character" w:customStyle="1" w:styleId="29">
    <w:name w:val="font01"/>
    <w:basedOn w:val="12"/>
    <w:qFormat/>
    <w:uiPriority w:val="0"/>
    <w:rPr>
      <w:rFonts w:hint="eastAsia" w:ascii="宋体" w:hAnsi="宋体" w:eastAsia="宋体" w:cs="宋体"/>
      <w:color w:val="000000"/>
      <w:sz w:val="22"/>
      <w:szCs w:val="22"/>
      <w:u w:val="none"/>
    </w:rPr>
  </w:style>
  <w:style w:type="character" w:customStyle="1" w:styleId="30">
    <w:name w:val="font11"/>
    <w:basedOn w:val="12"/>
    <w:qFormat/>
    <w:uiPriority w:val="0"/>
    <w:rPr>
      <w:rFonts w:hint="default" w:ascii="Times New Roman" w:hAnsi="Times New Roman" w:cs="Times New Roman"/>
      <w:color w:val="000000"/>
      <w:sz w:val="22"/>
      <w:szCs w:val="22"/>
      <w:u w:val="none"/>
      <w:vertAlign w:val="superscript"/>
    </w:rPr>
  </w:style>
  <w:style w:type="character" w:customStyle="1" w:styleId="31">
    <w:name w:val="font61"/>
    <w:basedOn w:val="12"/>
    <w:qFormat/>
    <w:uiPriority w:val="0"/>
    <w:rPr>
      <w:rFonts w:hint="default" w:ascii="Times New Roman" w:hAnsi="Times New Roman" w:cs="Times New Roman"/>
      <w:color w:val="000000"/>
      <w:sz w:val="22"/>
      <w:szCs w:val="22"/>
      <w:u w:val="none"/>
    </w:rPr>
  </w:style>
  <w:style w:type="character" w:customStyle="1" w:styleId="32">
    <w:name w:val="font51"/>
    <w:basedOn w:val="12"/>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8613</Words>
  <Characters>11411</Characters>
  <Lines>0</Lines>
  <Paragraphs>0</Paragraphs>
  <TotalTime>23</TotalTime>
  <ScaleCrop>false</ScaleCrop>
  <LinksUpToDate>false</LinksUpToDate>
  <CharactersWithSpaces>12024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2020-03-31T08:54:00Z</dcterms:created>
  <dc:creator>Administrator</dc:creator>
  <cp:lastModifiedBy>RedKui</cp:lastModifiedBy>
  <dcterms:modified xsi:type="dcterms:W3CDTF">2024-04-10T01:15:25Z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3107CC9121864F14899F50E67EA00F4D_13</vt:lpwstr>
  </property>
</Properties>
</file>