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eastAsia="宋体" w:cs="Times New Roman"/>
          <w:color w:val="auto"/>
        </w:rPr>
      </w:pPr>
      <w:bookmarkStart w:id="28" w:name="_GoBack"/>
      <w:bookmarkEnd w:id="28"/>
    </w:p>
    <w:p>
      <w:pPr>
        <w:pStyle w:val="18"/>
        <w:spacing w:line="360" w:lineRule="auto"/>
        <w:rPr>
          <w:rFonts w:hint="default" w:ascii="Times New Roman" w:hAnsi="Times New Roman" w:eastAsia="宋体" w:cs="Times New Roman"/>
          <w:color w:val="auto"/>
        </w:rPr>
      </w:pPr>
    </w:p>
    <w:p>
      <w:pPr>
        <w:pStyle w:val="18"/>
        <w:spacing w:line="360" w:lineRule="auto"/>
        <w:rPr>
          <w:rFonts w:hint="default" w:ascii="Times New Roman" w:hAnsi="Times New Roman" w:eastAsia="宋体" w:cs="Times New Roman"/>
          <w:color w:val="auto"/>
        </w:rPr>
      </w:pPr>
    </w:p>
    <w:p>
      <w:pPr>
        <w:pStyle w:val="18"/>
        <w:spacing w:line="360" w:lineRule="auto"/>
        <w:rPr>
          <w:rFonts w:hint="default" w:ascii="Times New Roman" w:hAnsi="Times New Roman" w:eastAsia="宋体" w:cs="Times New Roman"/>
          <w:color w:val="auto"/>
        </w:rPr>
      </w:pPr>
    </w:p>
    <w:p>
      <w:pPr>
        <w:ind w:firstLine="0" w:firstLineChars="0"/>
        <w:jc w:val="center"/>
        <w:rPr>
          <w:rFonts w:hint="default" w:ascii="Times New Roman" w:hAnsi="Times New Roman" w:eastAsia="宋体" w:cs="Times New Roman"/>
          <w:b/>
          <w:bCs/>
          <w:color w:val="auto"/>
          <w:w w:val="85"/>
          <w:sz w:val="48"/>
          <w:szCs w:val="48"/>
          <w:lang w:eastAsia="zh-CN"/>
        </w:rPr>
      </w:pPr>
      <w:r>
        <w:rPr>
          <w:rFonts w:hint="default" w:ascii="Times New Roman" w:hAnsi="Times New Roman" w:eastAsia="宋体" w:cs="Times New Roman"/>
          <w:b/>
          <w:bCs/>
          <w:color w:val="auto"/>
          <w:w w:val="85"/>
          <w:sz w:val="48"/>
          <w:szCs w:val="48"/>
          <w:lang w:eastAsia="zh-CN"/>
        </w:rPr>
        <w:t>宁城县常兴矿业有限公司沸石矿</w:t>
      </w:r>
    </w:p>
    <w:p>
      <w:pPr>
        <w:ind w:firstLine="0" w:firstLineChars="0"/>
        <w:jc w:val="center"/>
        <w:rPr>
          <w:rFonts w:hint="default" w:ascii="Times New Roman" w:hAnsi="Times New Roman" w:eastAsia="宋体" w:cs="Times New Roman"/>
          <w:b/>
          <w:bCs/>
          <w:color w:val="auto"/>
          <w:sz w:val="48"/>
          <w:szCs w:val="48"/>
        </w:rPr>
      </w:pPr>
      <w:r>
        <w:rPr>
          <w:rFonts w:hint="default" w:ascii="Times New Roman" w:hAnsi="Times New Roman" w:eastAsia="宋体" w:cs="Times New Roman"/>
          <w:b/>
          <w:bCs/>
          <w:color w:val="auto"/>
          <w:w w:val="85"/>
          <w:sz w:val="48"/>
          <w:szCs w:val="48"/>
        </w:rPr>
        <w:t>202</w:t>
      </w:r>
      <w:r>
        <w:rPr>
          <w:rFonts w:hint="eastAsia" w:cs="Times New Roman"/>
          <w:b/>
          <w:bCs/>
          <w:color w:val="auto"/>
          <w:w w:val="85"/>
          <w:sz w:val="48"/>
          <w:szCs w:val="48"/>
          <w:lang w:val="en-US" w:eastAsia="zh-CN"/>
        </w:rPr>
        <w:t>4</w:t>
      </w:r>
      <w:r>
        <w:rPr>
          <w:rFonts w:hint="default" w:ascii="Times New Roman" w:hAnsi="Times New Roman" w:eastAsia="宋体" w:cs="Times New Roman"/>
          <w:b/>
          <w:bCs/>
          <w:color w:val="auto"/>
          <w:w w:val="85"/>
          <w:sz w:val="48"/>
          <w:szCs w:val="48"/>
        </w:rPr>
        <w:t>年度矿山地质环境治理计划书</w:t>
      </w:r>
    </w:p>
    <w:p>
      <w:pPr>
        <w:ind w:firstLine="0" w:firstLineChars="0"/>
        <w:jc w:val="center"/>
        <w:rPr>
          <w:rFonts w:hint="default" w:ascii="Times New Roman" w:hAnsi="Times New Roman" w:eastAsia="宋体" w:cs="Times New Roman"/>
          <w:b/>
          <w:color w:val="auto"/>
          <w:sz w:val="36"/>
          <w:szCs w:val="36"/>
          <w:highlight w:val="yellow"/>
        </w:rPr>
      </w:pPr>
    </w:p>
    <w:p>
      <w:pPr>
        <w:ind w:firstLine="0" w:firstLineChars="0"/>
        <w:jc w:val="center"/>
        <w:rPr>
          <w:rFonts w:hint="default" w:ascii="Times New Roman" w:hAnsi="Times New Roman" w:eastAsia="宋体" w:cs="Times New Roman"/>
          <w:b/>
          <w:color w:val="auto"/>
          <w:sz w:val="36"/>
          <w:szCs w:val="36"/>
          <w:highlight w:val="yellow"/>
        </w:rPr>
      </w:pPr>
    </w:p>
    <w:p>
      <w:pPr>
        <w:ind w:firstLine="0" w:firstLineChars="0"/>
        <w:jc w:val="center"/>
        <w:rPr>
          <w:rFonts w:hint="default" w:ascii="Times New Roman" w:hAnsi="Times New Roman" w:eastAsia="宋体" w:cs="Times New Roman"/>
          <w:b/>
          <w:color w:val="auto"/>
          <w:sz w:val="36"/>
          <w:szCs w:val="36"/>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ind w:firstLine="0" w:firstLineChars="0"/>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color w:val="auto"/>
          <w:sz w:val="28"/>
          <w:highlight w:val="yellow"/>
        </w:rPr>
      </w:pPr>
    </w:p>
    <w:p>
      <w:pPr>
        <w:pStyle w:val="18"/>
        <w:spacing w:line="360" w:lineRule="auto"/>
        <w:rPr>
          <w:rFonts w:hint="default" w:ascii="Times New Roman" w:hAnsi="Times New Roman" w:eastAsia="宋体" w:cs="Times New Roman"/>
          <w:color w:val="auto"/>
          <w:sz w:val="28"/>
          <w:highlight w:val="yellow"/>
        </w:rPr>
      </w:pPr>
    </w:p>
    <w:p>
      <w:pPr>
        <w:pStyle w:val="18"/>
        <w:spacing w:line="360" w:lineRule="auto"/>
        <w:rPr>
          <w:rFonts w:hint="default" w:ascii="Times New Roman" w:hAnsi="Times New Roman" w:eastAsia="宋体" w:cs="Times New Roman"/>
          <w:color w:val="auto"/>
          <w:sz w:val="28"/>
          <w:highlight w:val="yellow"/>
        </w:rPr>
      </w:pPr>
    </w:p>
    <w:p>
      <w:pPr>
        <w:pStyle w:val="18"/>
        <w:spacing w:line="360" w:lineRule="auto"/>
        <w:rPr>
          <w:rFonts w:hint="default" w:ascii="Times New Roman" w:hAnsi="Times New Roman" w:eastAsia="宋体" w:cs="Times New Roman"/>
          <w:color w:val="auto"/>
          <w:sz w:val="28"/>
          <w:highlight w:val="yellow"/>
        </w:rPr>
      </w:pPr>
    </w:p>
    <w:p>
      <w:pPr>
        <w:ind w:firstLine="0" w:firstLineChars="0"/>
        <w:jc w:val="center"/>
        <w:rPr>
          <w:rFonts w:hint="default" w:ascii="Times New Roman" w:hAnsi="Times New Roman" w:eastAsia="宋体" w:cs="Times New Roman"/>
          <w:b/>
          <w:bCs/>
          <w:color w:val="auto"/>
          <w:spacing w:val="20"/>
          <w:sz w:val="32"/>
          <w:szCs w:val="32"/>
          <w:lang w:eastAsia="zh-CN"/>
        </w:rPr>
      </w:pPr>
      <w:r>
        <w:rPr>
          <w:rFonts w:hint="default" w:ascii="Times New Roman" w:hAnsi="Times New Roman" w:eastAsia="宋体" w:cs="Times New Roman"/>
          <w:b/>
          <w:bCs/>
          <w:color w:val="auto"/>
          <w:spacing w:val="20"/>
          <w:sz w:val="32"/>
          <w:szCs w:val="32"/>
          <w:lang w:eastAsia="zh-CN"/>
        </w:rPr>
        <w:t>宁城县常兴矿业有限公司</w:t>
      </w:r>
    </w:p>
    <w:p>
      <w:pPr>
        <w:ind w:firstLine="0" w:firstLineChars="0"/>
        <w:jc w:val="center"/>
        <w:rPr>
          <w:rFonts w:hint="default" w:ascii="Times New Roman" w:hAnsi="Times New Roman" w:eastAsia="宋体" w:cs="Times New Roman"/>
          <w:color w:val="auto"/>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40" w:right="1463" w:bottom="1440" w:left="1457" w:header="851" w:footer="992" w:gutter="0"/>
          <w:pgNumType w:fmt="decimal"/>
          <w:cols w:space="0" w:num="1"/>
          <w:rtlGutter w:val="0"/>
          <w:docGrid w:linePitch="312" w:charSpace="0"/>
        </w:sectPr>
      </w:pPr>
      <w:r>
        <w:rPr>
          <w:rFonts w:hint="default" w:ascii="Times New Roman" w:hAnsi="Times New Roman" w:eastAsia="宋体" w:cs="Times New Roman"/>
          <w:color w:val="auto"/>
          <w:spacing w:val="20"/>
          <w:sz w:val="30"/>
          <w:szCs w:val="30"/>
        </w:rPr>
        <w:t>二</w:t>
      </w:r>
      <w:r>
        <w:rPr>
          <w:rFonts w:hint="eastAsia" w:cs="Times New Roman"/>
          <w:color w:val="auto"/>
          <w:spacing w:val="20"/>
          <w:sz w:val="30"/>
          <w:szCs w:val="30"/>
          <w:lang w:eastAsia="zh-CN"/>
        </w:rPr>
        <w:t>〇</w:t>
      </w:r>
      <w:r>
        <w:rPr>
          <w:rFonts w:hint="default" w:ascii="Times New Roman" w:hAnsi="Times New Roman" w:eastAsia="宋体" w:cs="Times New Roman"/>
          <w:color w:val="auto"/>
          <w:spacing w:val="20"/>
          <w:sz w:val="30"/>
          <w:szCs w:val="30"/>
        </w:rPr>
        <w:t>二</w:t>
      </w:r>
      <w:r>
        <w:rPr>
          <w:rFonts w:hint="eastAsia" w:cs="Times New Roman"/>
          <w:color w:val="auto"/>
          <w:spacing w:val="20"/>
          <w:sz w:val="30"/>
          <w:szCs w:val="30"/>
          <w:lang w:val="en-US" w:eastAsia="zh-CN"/>
        </w:rPr>
        <w:t>四</w:t>
      </w:r>
      <w:r>
        <w:rPr>
          <w:rFonts w:hint="default" w:ascii="Times New Roman" w:hAnsi="Times New Roman" w:eastAsia="宋体" w:cs="Times New Roman"/>
          <w:color w:val="auto"/>
          <w:spacing w:val="20"/>
          <w:sz w:val="30"/>
          <w:szCs w:val="30"/>
        </w:rPr>
        <w:t>年</w:t>
      </w:r>
      <w:r>
        <w:rPr>
          <w:rFonts w:hint="eastAsia" w:cs="Times New Roman"/>
          <w:color w:val="auto"/>
          <w:spacing w:val="20"/>
          <w:sz w:val="30"/>
          <w:szCs w:val="30"/>
          <w:lang w:val="en-US" w:eastAsia="zh-CN"/>
        </w:rPr>
        <w:t>二</w:t>
      </w:r>
      <w:r>
        <w:rPr>
          <w:rFonts w:hint="default" w:ascii="Times New Roman" w:hAnsi="Times New Roman" w:eastAsia="宋体" w:cs="Times New Roman"/>
          <w:color w:val="auto"/>
          <w:spacing w:val="20"/>
          <w:sz w:val="30"/>
          <w:szCs w:val="30"/>
        </w:rPr>
        <w:t>月</w:t>
      </w:r>
    </w:p>
    <w:p>
      <w:pPr>
        <w:ind w:firstLine="0" w:firstLineChars="0"/>
        <w:jc w:val="center"/>
        <w:rPr>
          <w:rFonts w:hint="default" w:ascii="Times New Roman" w:hAnsi="Times New Roman" w:eastAsia="宋体" w:cs="Times New Roman"/>
          <w:b/>
          <w:color w:val="auto"/>
          <w:sz w:val="32"/>
        </w:rPr>
      </w:pPr>
      <w:r>
        <w:rPr>
          <w:rFonts w:hint="default" w:ascii="Times New Roman" w:hAnsi="Times New Roman" w:eastAsia="宋体" w:cs="Times New Roman"/>
          <w:b/>
          <w:color w:val="auto"/>
          <w:sz w:val="32"/>
        </w:rPr>
        <w:t>目  录</w:t>
      </w:r>
    </w:p>
    <w:p>
      <w:pPr>
        <w:pStyle w:val="10"/>
        <w:tabs>
          <w:tab w:val="right" w:leader="dot" w:pos="8312"/>
        </w:tabs>
      </w:pPr>
      <w:r>
        <w:rPr>
          <w:rFonts w:hint="default" w:ascii="Times New Roman" w:hAnsi="Times New Roman" w:eastAsia="宋体" w:cs="Times New Roman"/>
          <w:bCs w:val="0"/>
          <w:caps w:val="0"/>
          <w:color w:val="auto"/>
          <w:szCs w:val="24"/>
        </w:rPr>
        <w:fldChar w:fldCharType="begin"/>
      </w:r>
      <w:r>
        <w:rPr>
          <w:rFonts w:hint="default" w:ascii="Times New Roman" w:hAnsi="Times New Roman" w:eastAsia="宋体" w:cs="Times New Roman"/>
          <w:bCs w:val="0"/>
          <w:caps w:val="0"/>
          <w:color w:val="auto"/>
          <w:szCs w:val="24"/>
        </w:rPr>
        <w:instrText xml:space="preserve"> TOC \o "1-2" \h \z \u </w:instrText>
      </w:r>
      <w:r>
        <w:rPr>
          <w:rFonts w:hint="default" w:ascii="Times New Roman" w:hAnsi="Times New Roman" w:eastAsia="宋体" w:cs="Times New Roman"/>
          <w:bCs w:val="0"/>
          <w:caps w:val="0"/>
          <w:color w:val="auto"/>
          <w:szCs w:val="24"/>
        </w:rPr>
        <w:fldChar w:fldCharType="separate"/>
      </w:r>
      <w:r>
        <w:rPr>
          <w:rFonts w:hint="default" w:ascii="Times New Roman" w:hAnsi="Times New Roman" w:eastAsia="宋体" w:cs="Times New Roman"/>
          <w:bCs w:val="0"/>
          <w:caps w:val="0"/>
          <w:color w:val="auto"/>
          <w:szCs w:val="24"/>
        </w:rPr>
        <w:fldChar w:fldCharType="begin"/>
      </w:r>
      <w:r>
        <w:rPr>
          <w:rFonts w:hint="default" w:ascii="Times New Roman" w:hAnsi="Times New Roman" w:eastAsia="宋体" w:cs="Times New Roman"/>
          <w:bCs w:val="0"/>
          <w:caps w:val="0"/>
          <w:szCs w:val="24"/>
        </w:rPr>
        <w:instrText xml:space="preserve"> HYPERLINK \l _Toc24022 </w:instrText>
      </w:r>
      <w:r>
        <w:rPr>
          <w:rFonts w:hint="default" w:ascii="Times New Roman" w:hAnsi="Times New Roman" w:eastAsia="宋体" w:cs="Times New Roman"/>
          <w:bCs w:val="0"/>
          <w:caps w:val="0"/>
          <w:szCs w:val="24"/>
        </w:rPr>
        <w:fldChar w:fldCharType="separate"/>
      </w:r>
      <w:r>
        <w:rPr>
          <w:rFonts w:hint="eastAsia" w:ascii="Times New Roman" w:hAnsi="Times New Roman" w:eastAsia="宋体" w:cs="Times New Roman"/>
          <w:bCs w:val="0"/>
          <w:szCs w:val="36"/>
        </w:rPr>
        <w:t xml:space="preserve">一、 </w:t>
      </w:r>
      <w:r>
        <w:rPr>
          <w:rFonts w:hint="default" w:ascii="Times New Roman" w:hAnsi="Times New Roman" w:eastAsia="宋体" w:cs="Times New Roman"/>
          <w:bCs w:val="0"/>
          <w:szCs w:val="36"/>
        </w:rPr>
        <w:t>矿山基本情况</w:t>
      </w:r>
      <w:r>
        <w:tab/>
      </w:r>
      <w:r>
        <w:fldChar w:fldCharType="begin"/>
      </w:r>
      <w:r>
        <w:instrText xml:space="preserve"> PAGEREF _Toc24022 \h </w:instrText>
      </w:r>
      <w:r>
        <w:fldChar w:fldCharType="separate"/>
      </w:r>
      <w:r>
        <w:t>1</w:t>
      </w:r>
      <w:r>
        <w:fldChar w:fldCharType="end"/>
      </w:r>
      <w:r>
        <w:rPr>
          <w:rFonts w:hint="default" w:ascii="Times New Roman" w:hAnsi="Times New Roman" w:eastAsia="宋体" w:cs="Times New Roman"/>
          <w:bCs w:val="0"/>
          <w:caps w:val="0"/>
          <w:color w:val="auto"/>
          <w:szCs w:val="24"/>
        </w:rPr>
        <w:fldChar w:fldCharType="end"/>
      </w:r>
    </w:p>
    <w:p>
      <w:pPr>
        <w:pStyle w:val="10"/>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_Toc28703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6"/>
        </w:rPr>
        <w:t>二、矿山地质环境治理方案的编制与执行情况</w:t>
      </w:r>
      <w:r>
        <w:tab/>
      </w:r>
      <w:r>
        <w:fldChar w:fldCharType="begin"/>
      </w:r>
      <w:r>
        <w:instrText xml:space="preserve"> PAGEREF _Toc28703 \h </w:instrText>
      </w:r>
      <w:r>
        <w:fldChar w:fldCharType="separate"/>
      </w:r>
      <w:r>
        <w:t>2</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_Toc18708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（一）方案编制概况</w:t>
      </w:r>
      <w:r>
        <w:tab/>
      </w:r>
      <w:r>
        <w:fldChar w:fldCharType="begin"/>
      </w:r>
      <w:r>
        <w:instrText xml:space="preserve"> PAGEREF _Toc18708 \h </w:instrText>
      </w:r>
      <w:r>
        <w:fldChar w:fldCharType="separate"/>
      </w:r>
      <w:r>
        <w:t>2</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_Toc23480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（二）治理方案规划的近期治理工程内容</w:t>
      </w:r>
      <w:r>
        <w:tab/>
      </w:r>
      <w:r>
        <w:fldChar w:fldCharType="begin"/>
      </w:r>
      <w:r>
        <w:instrText xml:space="preserve"> PAGEREF _Toc23480 \h </w:instrText>
      </w:r>
      <w:r>
        <w:fldChar w:fldCharType="separate"/>
      </w:r>
      <w:r>
        <w:t>2</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_Toc9327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（三）矿山地质环境治理方案执行情况</w:t>
      </w:r>
      <w:r>
        <w:tab/>
      </w:r>
      <w:r>
        <w:fldChar w:fldCharType="begin"/>
      </w:r>
      <w:r>
        <w:instrText xml:space="preserve"> PAGEREF _Toc9327 \h </w:instrText>
      </w:r>
      <w:r>
        <w:fldChar w:fldCharType="separate"/>
      </w:r>
      <w:r>
        <w:t>7</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_Toc31954 </w:instrText>
      </w:r>
      <w:r>
        <w:rPr>
          <w:rFonts w:hint="default" w:ascii="Times New Roman" w:hAnsi="Times New Roman" w:eastAsia="宋体" w:cs="Times New Roman"/>
          <w:bCs/>
          <w:caps/>
          <w:szCs w:val="24"/>
        </w:rPr>
        <w:fldChar w:fldCharType="separate"/>
      </w:r>
      <w:r>
        <w:rPr>
          <w:rFonts w:hint="eastAsia" w:ascii="Times New Roman" w:hAnsi="Times New Roman" w:eastAsia="宋体" w:cs="Times New Roman"/>
        </w:rPr>
        <w:t>（四）前期地质环境治理存在的问题</w:t>
      </w:r>
      <w:r>
        <w:tab/>
      </w:r>
      <w:r>
        <w:fldChar w:fldCharType="begin"/>
      </w:r>
      <w:r>
        <w:instrText xml:space="preserve"> PAGEREF _Toc31954 \h </w:instrText>
      </w:r>
      <w:r>
        <w:fldChar w:fldCharType="separate"/>
      </w:r>
      <w:r>
        <w:t>10</w:t>
      </w:r>
      <w:r>
        <w:fldChar w:fldCharType="end"/>
      </w:r>
      <w:r>
        <w:rPr>
          <w:rFonts w:hint="default" w:ascii="Times New Roman" w:hAnsi="Times New Roman" w:eastAsia="宋体" w:cs="Times New Roman"/>
          <w:bCs/>
          <w:caps/>
          <w:color w:val="auto"/>
          <w:szCs w:val="24"/>
        </w:rPr>
        <w:fldChar w:fldCharType="end"/>
      </w:r>
    </w:p>
    <w:p>
      <w:pPr>
        <w:pStyle w:val="10"/>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_Toc32447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bCs w:val="0"/>
          <w:szCs w:val="36"/>
        </w:rPr>
        <w:t>三、本年度矿山生产计划</w:t>
      </w:r>
      <w:r>
        <w:tab/>
      </w:r>
      <w:r>
        <w:fldChar w:fldCharType="begin"/>
      </w:r>
      <w:r>
        <w:instrText xml:space="preserve"> PAGEREF _Toc32447 \h </w:instrText>
      </w:r>
      <w:r>
        <w:fldChar w:fldCharType="separate"/>
      </w:r>
      <w:r>
        <w:t>11</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_Toc12202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（一）本年度的主要生产指标计划</w:t>
      </w:r>
      <w:r>
        <w:tab/>
      </w:r>
      <w:r>
        <w:fldChar w:fldCharType="begin"/>
      </w:r>
      <w:r>
        <w:instrText xml:space="preserve"> PAGEREF _Toc12202 \h </w:instrText>
      </w:r>
      <w:r>
        <w:fldChar w:fldCharType="separate"/>
      </w:r>
      <w:r>
        <w:t>11</w:t>
      </w:r>
      <w:r>
        <w:fldChar w:fldCharType="end"/>
      </w:r>
      <w:r>
        <w:rPr>
          <w:rFonts w:hint="default" w:ascii="Times New Roman" w:hAnsi="Times New Roman" w:eastAsia="宋体" w:cs="Times New Roman"/>
          <w:bCs/>
          <w:caps/>
          <w:color w:val="auto"/>
          <w:szCs w:val="24"/>
        </w:rPr>
        <w:fldChar w:fldCharType="end"/>
      </w:r>
    </w:p>
    <w:p>
      <w:pPr>
        <w:pStyle w:val="10"/>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_Toc12552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szCs w:val="36"/>
        </w:rPr>
        <w:t>四、矿山地质环境问题</w:t>
      </w:r>
      <w:r>
        <w:tab/>
      </w:r>
      <w:r>
        <w:fldChar w:fldCharType="begin"/>
      </w:r>
      <w:r>
        <w:instrText xml:space="preserve"> PAGEREF _Toc12552 \h </w:instrText>
      </w:r>
      <w:r>
        <w:fldChar w:fldCharType="separate"/>
      </w:r>
      <w:r>
        <w:t>12</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_Toc2048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（一）矿山地质环境问题现状</w:t>
      </w:r>
      <w:r>
        <w:tab/>
      </w:r>
      <w:r>
        <w:fldChar w:fldCharType="begin"/>
      </w:r>
      <w:r>
        <w:instrText xml:space="preserve"> PAGEREF _Toc2048 \h </w:instrText>
      </w:r>
      <w:r>
        <w:fldChar w:fldCharType="separate"/>
      </w:r>
      <w:r>
        <w:t>12</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_Toc27537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w:t>
      </w:r>
      <w:r>
        <w:rPr>
          <w:rFonts w:hint="default" w:ascii="Times New Roman" w:hAnsi="Times New Roman" w:eastAsia="宋体" w:cs="Times New Roman"/>
          <w:lang w:eastAsia="zh-CN"/>
        </w:rPr>
        <w:t>二</w:t>
      </w:r>
      <w:r>
        <w:rPr>
          <w:rFonts w:hint="default" w:ascii="Times New Roman" w:hAnsi="Times New Roman" w:eastAsia="宋体" w:cs="Times New Roman"/>
        </w:rPr>
        <w:t>）</w:t>
      </w:r>
      <w:r>
        <w:rPr>
          <w:rFonts w:hint="default" w:ascii="Times New Roman" w:hAnsi="Times New Roman" w:eastAsia="宋体" w:cs="Times New Roman"/>
          <w:bCs/>
          <w:kern w:val="2"/>
          <w:szCs w:val="30"/>
          <w:lang w:val="en-US" w:eastAsia="zh-CN" w:bidi="ar-SA"/>
        </w:rPr>
        <w:t>矿山地质环境问题预测</w:t>
      </w:r>
      <w:r>
        <w:tab/>
      </w:r>
      <w:r>
        <w:fldChar w:fldCharType="begin"/>
      </w:r>
      <w:r>
        <w:instrText xml:space="preserve"> PAGEREF _Toc27537 \h </w:instrText>
      </w:r>
      <w:r>
        <w:fldChar w:fldCharType="separate"/>
      </w:r>
      <w:r>
        <w:t>26</w:t>
      </w:r>
      <w:r>
        <w:fldChar w:fldCharType="end"/>
      </w:r>
      <w:r>
        <w:rPr>
          <w:rFonts w:hint="default" w:ascii="Times New Roman" w:hAnsi="Times New Roman" w:eastAsia="宋体" w:cs="Times New Roman"/>
          <w:bCs/>
          <w:caps/>
          <w:color w:val="auto"/>
          <w:szCs w:val="24"/>
        </w:rPr>
        <w:fldChar w:fldCharType="end"/>
      </w:r>
    </w:p>
    <w:p>
      <w:pPr>
        <w:pStyle w:val="10"/>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_Toc23140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bCs w:val="0"/>
          <w:szCs w:val="36"/>
        </w:rPr>
        <w:t>五、矿山地质环境防治工程</w:t>
      </w:r>
      <w:r>
        <w:tab/>
      </w:r>
      <w:r>
        <w:fldChar w:fldCharType="begin"/>
      </w:r>
      <w:r>
        <w:instrText xml:space="preserve"> PAGEREF _Toc23140 \h </w:instrText>
      </w:r>
      <w:r>
        <w:fldChar w:fldCharType="separate"/>
      </w:r>
      <w:r>
        <w:t>27</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_Toc2180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（一）矿山地质环境治理区的确定</w:t>
      </w:r>
      <w:r>
        <w:tab/>
      </w:r>
      <w:r>
        <w:fldChar w:fldCharType="begin"/>
      </w:r>
      <w:r>
        <w:instrText xml:space="preserve"> PAGEREF _Toc2180 \h </w:instrText>
      </w:r>
      <w:r>
        <w:fldChar w:fldCharType="separate"/>
      </w:r>
      <w:r>
        <w:t>27</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_Toc30925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（二）矿山地质环境治理工程</w:t>
      </w:r>
      <w:r>
        <w:tab/>
      </w:r>
      <w:r>
        <w:fldChar w:fldCharType="begin"/>
      </w:r>
      <w:r>
        <w:instrText xml:space="preserve"> PAGEREF _Toc30925 \h </w:instrText>
      </w:r>
      <w:r>
        <w:fldChar w:fldCharType="separate"/>
      </w:r>
      <w:r>
        <w:t>27</w:t>
      </w:r>
      <w:r>
        <w:fldChar w:fldCharType="end"/>
      </w:r>
      <w:r>
        <w:rPr>
          <w:rFonts w:hint="default" w:ascii="Times New Roman" w:hAnsi="Times New Roman" w:eastAsia="宋体" w:cs="Times New Roman"/>
          <w:bCs/>
          <w:caps/>
          <w:color w:val="auto"/>
          <w:szCs w:val="24"/>
        </w:rPr>
        <w:fldChar w:fldCharType="end"/>
      </w:r>
    </w:p>
    <w:p>
      <w:pPr>
        <w:pStyle w:val="11"/>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_Toc14505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rPr>
        <w:t>（三）矿山地质环境监测工程</w:t>
      </w:r>
      <w:r>
        <w:tab/>
      </w:r>
      <w:r>
        <w:fldChar w:fldCharType="begin"/>
      </w:r>
      <w:r>
        <w:instrText xml:space="preserve"> PAGEREF _Toc14505 \h </w:instrText>
      </w:r>
      <w:r>
        <w:fldChar w:fldCharType="separate"/>
      </w:r>
      <w:r>
        <w:t>27</w:t>
      </w:r>
      <w:r>
        <w:fldChar w:fldCharType="end"/>
      </w:r>
      <w:r>
        <w:rPr>
          <w:rFonts w:hint="default" w:ascii="Times New Roman" w:hAnsi="Times New Roman" w:eastAsia="宋体" w:cs="Times New Roman"/>
          <w:bCs/>
          <w:caps/>
          <w:color w:val="auto"/>
          <w:szCs w:val="24"/>
        </w:rPr>
        <w:fldChar w:fldCharType="end"/>
      </w:r>
    </w:p>
    <w:p>
      <w:pPr>
        <w:pStyle w:val="10"/>
        <w:tabs>
          <w:tab w:val="right" w:leader="dot" w:pos="8312"/>
        </w:tabs>
      </w:pPr>
      <w:r>
        <w:rPr>
          <w:rFonts w:hint="default" w:ascii="Times New Roman" w:hAnsi="Times New Roman" w:eastAsia="宋体" w:cs="Times New Roman"/>
          <w:bCs/>
          <w:caps/>
          <w:color w:val="auto"/>
          <w:szCs w:val="24"/>
        </w:rPr>
        <w:fldChar w:fldCharType="begin"/>
      </w:r>
      <w:r>
        <w:rPr>
          <w:rFonts w:hint="default" w:ascii="Times New Roman" w:hAnsi="Times New Roman" w:eastAsia="宋体" w:cs="Times New Roman"/>
          <w:bCs/>
          <w:caps/>
          <w:szCs w:val="24"/>
        </w:rPr>
        <w:instrText xml:space="preserve"> HYPERLINK \l _Toc1248 </w:instrText>
      </w:r>
      <w:r>
        <w:rPr>
          <w:rFonts w:hint="default" w:ascii="Times New Roman" w:hAnsi="Times New Roman" w:eastAsia="宋体" w:cs="Times New Roman"/>
          <w:bCs/>
          <w:caps/>
          <w:szCs w:val="24"/>
        </w:rPr>
        <w:fldChar w:fldCharType="separate"/>
      </w:r>
      <w:r>
        <w:rPr>
          <w:rFonts w:hint="default" w:ascii="Times New Roman" w:hAnsi="Times New Roman" w:eastAsia="宋体" w:cs="Times New Roman"/>
          <w:bCs w:val="0"/>
          <w:szCs w:val="36"/>
        </w:rPr>
        <w:t>六、经费预算</w:t>
      </w:r>
      <w:r>
        <w:tab/>
      </w:r>
      <w:r>
        <w:fldChar w:fldCharType="begin"/>
      </w:r>
      <w:r>
        <w:instrText xml:space="preserve"> PAGEREF _Toc1248 \h </w:instrText>
      </w:r>
      <w:r>
        <w:fldChar w:fldCharType="separate"/>
      </w:r>
      <w:r>
        <w:t>29</w:t>
      </w:r>
      <w:r>
        <w:fldChar w:fldCharType="end"/>
      </w:r>
      <w:r>
        <w:rPr>
          <w:rFonts w:hint="default" w:ascii="Times New Roman" w:hAnsi="Times New Roman" w:eastAsia="宋体" w:cs="Times New Roman"/>
          <w:bCs/>
          <w:caps/>
          <w:color w:val="auto"/>
          <w:szCs w:val="24"/>
        </w:rPr>
        <w:fldChar w:fldCharType="end"/>
      </w:r>
    </w:p>
    <w:p>
      <w:pPr>
        <w:spacing w:before="120" w:beforeLines="50"/>
        <w:ind w:firstLine="0" w:firstLineChars="0"/>
        <w:rPr>
          <w:rFonts w:hint="default" w:ascii="Times New Roman" w:hAnsi="Times New Roman" w:eastAsia="宋体" w:cs="Times New Roman"/>
          <w:bCs/>
          <w:caps/>
          <w:color w:val="auto"/>
          <w:szCs w:val="24"/>
        </w:rPr>
        <w:sectPr>
          <w:footerReference r:id="rId11" w:type="default"/>
          <w:pgSz w:w="11906" w:h="16838"/>
          <w:pgMar w:top="1440" w:right="1797" w:bottom="1440" w:left="1797" w:header="851" w:footer="992" w:gutter="0"/>
          <w:pgNumType w:fmt="decimal" w:start="1"/>
          <w:cols w:space="720" w:num="1"/>
          <w:docGrid w:linePitch="326" w:charSpace="0"/>
        </w:sectPr>
      </w:pPr>
      <w:r>
        <w:rPr>
          <w:rFonts w:hint="default" w:ascii="Times New Roman" w:hAnsi="Times New Roman" w:eastAsia="宋体" w:cs="Times New Roman"/>
          <w:bCs/>
          <w:caps/>
          <w:color w:val="auto"/>
          <w:szCs w:val="24"/>
        </w:rPr>
        <w:fldChar w:fldCharType="end"/>
      </w:r>
    </w:p>
    <w:p>
      <w:pPr>
        <w:keepNext w:val="0"/>
        <w:keepLines w:val="0"/>
        <w:pageBreakBefore w:val="0"/>
        <w:widowControl w:val="0"/>
        <w:kinsoku/>
        <w:wordWrap/>
        <w:overflowPunct/>
        <w:topLinePunct w:val="0"/>
        <w:autoSpaceDE/>
        <w:autoSpaceDN/>
        <w:bidi w:val="0"/>
        <w:adjustRightInd w:val="0"/>
        <w:snapToGrid w:val="0"/>
        <w:spacing w:before="120" w:beforeLines="50"/>
        <w:ind w:firstLine="562" w:firstLineChars="200"/>
        <w:textAlignment w:val="auto"/>
        <w:rPr>
          <w:rFonts w:hint="default" w:ascii="Times New Roman" w:hAnsi="Times New Roman" w:eastAsia="宋体" w:cs="Times New Roman"/>
          <w:bCs/>
          <w:caps/>
          <w:color w:val="auto"/>
          <w:sz w:val="32"/>
        </w:rPr>
      </w:pPr>
      <w:r>
        <w:rPr>
          <w:rFonts w:hint="default" w:ascii="Times New Roman" w:hAnsi="Times New Roman" w:eastAsia="宋体" w:cs="Times New Roman"/>
          <w:b/>
          <w:color w:val="auto"/>
          <w:sz w:val="28"/>
          <w:szCs w:val="28"/>
        </w:rPr>
        <w:t>附  图</w:t>
      </w:r>
    </w:p>
    <w:p>
      <w:pPr>
        <w:numPr>
          <w:ilvl w:val="0"/>
          <w:numId w:val="1"/>
        </w:numPr>
        <w:adjustRightInd/>
        <w:rPr>
          <w:rFonts w:hint="default" w:ascii="Times New Roman" w:hAnsi="Times New Roman" w:eastAsia="宋体" w:cs="Times New Roman"/>
          <w:color w:val="auto"/>
          <w:szCs w:val="24"/>
        </w:rPr>
      </w:pPr>
      <w:r>
        <w:rPr>
          <w:rFonts w:hint="eastAsia" w:cs="Times New Roman"/>
          <w:bCs/>
          <w:color w:val="auto"/>
          <w:szCs w:val="24"/>
          <w:lang w:val="en-US" w:eastAsia="zh-CN"/>
        </w:rPr>
        <w:t>宁城县常兴矿业有限公司沸石矿2024</w:t>
      </w:r>
      <w:r>
        <w:rPr>
          <w:rFonts w:hint="default" w:ascii="Times New Roman" w:hAnsi="Times New Roman" w:eastAsia="宋体" w:cs="Times New Roman"/>
          <w:bCs/>
          <w:color w:val="auto"/>
          <w:szCs w:val="24"/>
        </w:rPr>
        <w:t>年度矿山地质环境治理工程部署图</w:t>
      </w:r>
      <w:r>
        <w:rPr>
          <w:rFonts w:hint="default" w:ascii="Times New Roman" w:hAnsi="Times New Roman" w:eastAsia="宋体" w:cs="Times New Roman"/>
          <w:bCs/>
          <w:color w:val="auto"/>
          <w:szCs w:val="24"/>
          <w:lang w:val="en-US" w:eastAsia="zh-CN"/>
        </w:rPr>
        <w:t xml:space="preserve">      </w:t>
      </w:r>
      <w:r>
        <w:rPr>
          <w:rFonts w:hint="eastAsia" w:cs="Times New Roman"/>
          <w:bCs/>
          <w:color w:val="auto"/>
          <w:szCs w:val="24"/>
          <w:lang w:val="en-US" w:eastAsia="zh-CN"/>
        </w:rPr>
        <w:t xml:space="preserve">             </w:t>
      </w:r>
      <w:r>
        <w:rPr>
          <w:rFonts w:hint="default" w:ascii="Times New Roman" w:hAnsi="Times New Roman" w:eastAsia="宋体" w:cs="Times New Roman"/>
          <w:bCs/>
          <w:color w:val="auto"/>
          <w:szCs w:val="24"/>
          <w:lang w:val="en-US" w:eastAsia="zh-CN"/>
        </w:rPr>
        <w:t xml:space="preserve">        </w:t>
      </w:r>
      <w:r>
        <w:rPr>
          <w:rFonts w:hint="eastAsia" w:cs="Times New Roman"/>
          <w:bCs/>
          <w:color w:val="auto"/>
          <w:szCs w:val="24"/>
          <w:lang w:val="en-US" w:eastAsia="zh-CN"/>
        </w:rPr>
        <w:t xml:space="preserve">            </w:t>
      </w:r>
      <w:r>
        <w:rPr>
          <w:rFonts w:hint="default" w:ascii="Times New Roman" w:hAnsi="Times New Roman" w:eastAsia="宋体" w:cs="Times New Roman"/>
          <w:bCs/>
          <w:color w:val="auto"/>
          <w:szCs w:val="24"/>
          <w:lang w:val="en-US" w:eastAsia="zh-CN"/>
        </w:rPr>
        <w:t xml:space="preserve">                </w:t>
      </w:r>
      <w:r>
        <w:rPr>
          <w:rFonts w:hint="default" w:ascii="Times New Roman" w:hAnsi="Times New Roman" w:eastAsia="宋体" w:cs="Times New Roman"/>
          <w:color w:val="auto"/>
          <w:szCs w:val="24"/>
        </w:rPr>
        <w:t>比例尺1:</w:t>
      </w:r>
      <w:r>
        <w:rPr>
          <w:rFonts w:hint="eastAsia" w:cs="Times New Roman"/>
          <w:color w:val="auto"/>
          <w:szCs w:val="24"/>
          <w:lang w:val="en-US" w:eastAsia="zh-CN"/>
        </w:rPr>
        <w:t>2</w:t>
      </w:r>
      <w:r>
        <w:rPr>
          <w:rFonts w:hint="default" w:ascii="Times New Roman" w:hAnsi="Times New Roman" w:eastAsia="宋体" w:cs="Times New Roman"/>
          <w:color w:val="auto"/>
          <w:szCs w:val="24"/>
        </w:rPr>
        <w:t>000</w:t>
      </w:r>
    </w:p>
    <w:p>
      <w:pPr>
        <w:ind w:right="-518" w:rightChars="-216" w:firstLine="0" w:firstLineChars="0"/>
        <w:textAlignment w:val="center"/>
        <w:rPr>
          <w:rFonts w:hint="default" w:ascii="Times New Roman" w:hAnsi="Times New Roman" w:eastAsia="宋体" w:cs="Times New Roman"/>
          <w:color w:val="auto"/>
          <w:szCs w:val="24"/>
        </w:rPr>
      </w:pPr>
    </w:p>
    <w:p>
      <w:pPr>
        <w:pStyle w:val="2"/>
        <w:spacing w:before="120" w:after="120" w:line="360" w:lineRule="auto"/>
        <w:jc w:val="both"/>
        <w:rPr>
          <w:rFonts w:hint="default" w:ascii="Times New Roman" w:hAnsi="Times New Roman" w:eastAsia="宋体" w:cs="Times New Roman"/>
          <w:color w:val="auto"/>
          <w:sz w:val="36"/>
          <w:szCs w:val="36"/>
        </w:rPr>
        <w:sectPr>
          <w:footerReference r:id="rId12" w:type="default"/>
          <w:pgSz w:w="11906" w:h="16838"/>
          <w:pgMar w:top="1440" w:right="1797" w:bottom="1440" w:left="1797" w:header="851" w:footer="992" w:gutter="0"/>
          <w:pgNumType w:fmt="decimal" w:start="1"/>
          <w:cols w:space="720" w:num="1"/>
          <w:docGrid w:linePitch="326" w:charSpace="0"/>
        </w:sectPr>
      </w:pPr>
    </w:p>
    <w:p>
      <w:pPr>
        <w:pStyle w:val="2"/>
        <w:numPr>
          <w:ilvl w:val="0"/>
          <w:numId w:val="2"/>
        </w:numPr>
        <w:spacing w:before="120" w:after="120" w:line="360" w:lineRule="auto"/>
        <w:rPr>
          <w:rFonts w:hint="default" w:ascii="Times New Roman" w:hAnsi="Times New Roman" w:eastAsia="宋体" w:cs="Times New Roman"/>
          <w:b/>
          <w:bCs w:val="0"/>
          <w:color w:val="auto"/>
          <w:sz w:val="36"/>
          <w:szCs w:val="36"/>
        </w:rPr>
      </w:pPr>
      <w:bookmarkStart w:id="0" w:name="_Toc24022"/>
      <w:r>
        <w:rPr>
          <w:rFonts w:hint="default" w:ascii="Times New Roman" w:hAnsi="Times New Roman" w:eastAsia="宋体" w:cs="Times New Roman"/>
          <w:b/>
          <w:bCs w:val="0"/>
          <w:color w:val="auto"/>
          <w:sz w:val="36"/>
          <w:szCs w:val="36"/>
        </w:rPr>
        <w:t>矿山基本情况</w:t>
      </w:r>
      <w:bookmarkEnd w:id="0"/>
    </w:p>
    <w:p>
      <w:pPr>
        <w:tabs>
          <w:tab w:val="left" w:pos="1300"/>
        </w:tabs>
        <w:spacing w:line="360" w:lineRule="auto"/>
        <w:ind w:firstLine="482"/>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矿山基本信息表</w:t>
      </w:r>
    </w:p>
    <w:tbl>
      <w:tblPr>
        <w:tblStyle w:val="13"/>
        <w:tblW w:w="8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864"/>
        <w:gridCol w:w="2049"/>
        <w:gridCol w:w="1053"/>
        <w:gridCol w:w="462"/>
        <w:gridCol w:w="675"/>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7" w:type="dxa"/>
            <w:gridSpan w:val="7"/>
            <w:vAlign w:val="center"/>
          </w:tcPr>
          <w:p>
            <w:pPr>
              <w:spacing w:line="240" w:lineRule="auto"/>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矿山企业基本信息表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矿山名称</w:t>
            </w:r>
          </w:p>
        </w:tc>
        <w:tc>
          <w:tcPr>
            <w:tcW w:w="7069" w:type="dxa"/>
            <w:gridSpan w:val="6"/>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宁城县常兴矿业有限公司沸石矿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采矿权人</w:t>
            </w:r>
          </w:p>
        </w:tc>
        <w:tc>
          <w:tcPr>
            <w:tcW w:w="3966"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宁城县常兴矿业有限公司</w:t>
            </w: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法人代表</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白晓刚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采矿许可证号</w:t>
            </w:r>
          </w:p>
        </w:tc>
        <w:tc>
          <w:tcPr>
            <w:tcW w:w="3966"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C1504002010127120107958</w:t>
            </w: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发证机关</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赤峰市自然资源局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有限期限</w:t>
            </w:r>
          </w:p>
        </w:tc>
        <w:tc>
          <w:tcPr>
            <w:tcW w:w="3966"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2018年5月22日至2021年5月22日</w:t>
            </w:r>
          </w:p>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（已延续）</w:t>
            </w: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发证日期</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2018年</w:t>
            </w:r>
            <w:r>
              <w:rPr>
                <w:rFonts w:hint="eastAsia" w:cs="Times New Roman"/>
                <w:color w:val="auto"/>
                <w:sz w:val="21"/>
                <w:szCs w:val="21"/>
                <w:lang w:val="en-US" w:eastAsia="zh-CN"/>
              </w:rPr>
              <w:t>11</w:t>
            </w:r>
            <w:r>
              <w:rPr>
                <w:rFonts w:hint="default" w:ascii="Times New Roman" w:hAnsi="Times New Roman" w:eastAsia="宋体" w:cs="Times New Roman"/>
                <w:color w:val="auto"/>
                <w:sz w:val="21"/>
                <w:szCs w:val="21"/>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矿区地址</w:t>
            </w:r>
          </w:p>
        </w:tc>
        <w:tc>
          <w:tcPr>
            <w:tcW w:w="7069" w:type="dxa"/>
            <w:gridSpan w:val="6"/>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宁城县小城子镇</w:t>
            </w:r>
            <w:r>
              <w:rPr>
                <w:rFonts w:hint="eastAsia" w:cs="Times New Roman"/>
                <w:color w:val="auto"/>
                <w:sz w:val="21"/>
                <w:szCs w:val="21"/>
                <w:lang w:eastAsia="zh-CN"/>
              </w:rPr>
              <w:t>南湾子村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经纬度坐标</w:t>
            </w:r>
          </w:p>
        </w:tc>
        <w:tc>
          <w:tcPr>
            <w:tcW w:w="7069" w:type="dxa"/>
            <w:gridSpan w:val="6"/>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东经：119°03′36″～119°03′56″；北纬：41°48′51″～41°49′15″。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经济类型</w:t>
            </w:r>
          </w:p>
        </w:tc>
        <w:tc>
          <w:tcPr>
            <w:tcW w:w="2913"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有限责任公司</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生产规模</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开采矿种</w:t>
            </w:r>
          </w:p>
        </w:tc>
        <w:tc>
          <w:tcPr>
            <w:tcW w:w="2913"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沸石</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采矿方式</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露天</w:t>
            </w:r>
            <w:r>
              <w:rPr>
                <w:rFonts w:hint="default" w:ascii="Times New Roman" w:hAnsi="Times New Roman" w:eastAsia="宋体" w:cs="Times New Roman"/>
                <w:color w:val="auto"/>
                <w:sz w:val="21"/>
                <w:szCs w:val="21"/>
              </w:rPr>
              <w:t>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矿区面积</w:t>
            </w:r>
          </w:p>
        </w:tc>
        <w:tc>
          <w:tcPr>
            <w:tcW w:w="2913" w:type="dxa"/>
            <w:gridSpan w:val="2"/>
            <w:vAlign w:val="center"/>
          </w:tcPr>
          <w:p>
            <w:pPr>
              <w:spacing w:line="240" w:lineRule="auto"/>
              <w:ind w:firstLine="0" w:firstLineChars="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auto"/>
                <w:sz w:val="21"/>
                <w:szCs w:val="21"/>
              </w:rPr>
              <w:t>0.0910km</w:t>
            </w:r>
            <w:r>
              <w:rPr>
                <w:rFonts w:hint="default" w:ascii="Times New Roman" w:hAnsi="Times New Roman" w:eastAsia="宋体" w:cs="Times New Roman"/>
                <w:color w:val="auto"/>
                <w:sz w:val="21"/>
                <w:szCs w:val="21"/>
                <w:vertAlign w:val="superscript"/>
              </w:rPr>
              <w:t>2</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生产现状</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停</w:t>
            </w:r>
            <w:r>
              <w:rPr>
                <w:rFonts w:hint="default" w:ascii="Times New Roman" w:hAnsi="Times New Roman" w:eastAsia="宋体" w:cs="Times New Roman"/>
                <w:color w:val="auto"/>
                <w:sz w:val="21"/>
                <w:szCs w:val="21"/>
                <w:lang w:eastAsia="zh-CN"/>
              </w:rPr>
              <w:t>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建矿时间</w:t>
            </w:r>
          </w:p>
        </w:tc>
        <w:tc>
          <w:tcPr>
            <w:tcW w:w="2913"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2006</w:t>
            </w:r>
            <w:r>
              <w:rPr>
                <w:rFonts w:hint="default" w:ascii="Times New Roman" w:hAnsi="Times New Roman" w:eastAsia="宋体" w:cs="Times New Roman"/>
                <w:color w:val="auto"/>
                <w:sz w:val="21"/>
                <w:szCs w:val="21"/>
                <w:lang w:val="en-US" w:eastAsia="zh-CN"/>
              </w:rPr>
              <w:t>年</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设计生产能力</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设计服务年限</w:t>
            </w:r>
          </w:p>
        </w:tc>
        <w:tc>
          <w:tcPr>
            <w:tcW w:w="2913" w:type="dxa"/>
            <w:gridSpan w:val="2"/>
            <w:tcBorders>
              <w:bottom w:val="single" w:color="auto"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11.45年</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实际生产能力</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剩余服务年限</w:t>
            </w:r>
          </w:p>
        </w:tc>
        <w:tc>
          <w:tcPr>
            <w:tcW w:w="2913"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11.45年</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开采深度</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700m至600m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查明资源储量</w:t>
            </w:r>
          </w:p>
        </w:tc>
        <w:tc>
          <w:tcPr>
            <w:tcW w:w="2913"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44.96×10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t</w:t>
            </w:r>
          </w:p>
        </w:tc>
        <w:tc>
          <w:tcPr>
            <w:tcW w:w="1515"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剩余资源储量</w:t>
            </w:r>
          </w:p>
        </w:tc>
        <w:tc>
          <w:tcPr>
            <w:tcW w:w="2641"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44.96×10</w:t>
            </w:r>
            <w:r>
              <w:rPr>
                <w:rFonts w:hint="default" w:ascii="Times New Roman" w:hAnsi="Times New Roman" w:eastAsia="宋体" w:cs="Times New Roman"/>
                <w:color w:val="auto"/>
                <w:sz w:val="21"/>
                <w:szCs w:val="21"/>
                <w:highlight w:val="none"/>
                <w:vertAlign w:val="superscript"/>
              </w:rPr>
              <w:t>4</w:t>
            </w:r>
            <w:r>
              <w:rPr>
                <w:rFonts w:hint="default" w:ascii="Times New Roman" w:hAnsi="Times New Roman" w:eastAsia="宋体" w:cs="Times New Roman"/>
                <w:color w:val="auto"/>
                <w:sz w:val="21"/>
                <w:szCs w:val="21"/>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矿区范围拐点坐标</w:t>
            </w:r>
          </w:p>
        </w:tc>
        <w:tc>
          <w:tcPr>
            <w:tcW w:w="7069" w:type="dxa"/>
            <w:gridSpan w:val="6"/>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2000国家大地</w:t>
            </w:r>
            <w:r>
              <w:rPr>
                <w:rFonts w:hint="default" w:ascii="Times New Roman" w:hAnsi="Times New Roman" w:eastAsia="宋体" w:cs="Times New Roman"/>
                <w:color w:val="auto"/>
                <w:sz w:val="21"/>
                <w:szCs w:val="21"/>
              </w:rPr>
              <w:t>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点号</w:t>
            </w:r>
          </w:p>
        </w:tc>
        <w:tc>
          <w:tcPr>
            <w:tcW w:w="3102"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3103" w:type="dxa"/>
            <w:gridSpan w:val="3"/>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102"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4631685.4223</w:t>
            </w:r>
          </w:p>
        </w:tc>
        <w:tc>
          <w:tcPr>
            <w:tcW w:w="3103" w:type="dxa"/>
            <w:gridSpan w:val="3"/>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40422155.4649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102" w:type="dxa"/>
            <w:gridSpan w:val="2"/>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4631490.2220</w:t>
            </w:r>
          </w:p>
        </w:tc>
        <w:tc>
          <w:tcPr>
            <w:tcW w:w="3103" w:type="dxa"/>
            <w:gridSpan w:val="3"/>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40422273.6857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102" w:type="dxa"/>
            <w:gridSpan w:val="2"/>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4631419.1817</w:t>
            </w:r>
          </w:p>
        </w:tc>
        <w:tc>
          <w:tcPr>
            <w:tcW w:w="3103" w:type="dxa"/>
            <w:gridSpan w:val="3"/>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40422188.1757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102"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4631556.3712</w:t>
            </w:r>
          </w:p>
        </w:tc>
        <w:tc>
          <w:tcPr>
            <w:tcW w:w="3103" w:type="dxa"/>
            <w:gridSpan w:val="3"/>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40421897.8745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102" w:type="dxa"/>
            <w:gridSpan w:val="2"/>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4631750.3920</w:t>
            </w:r>
          </w:p>
        </w:tc>
        <w:tc>
          <w:tcPr>
            <w:tcW w:w="3103" w:type="dxa"/>
            <w:gridSpan w:val="3"/>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40422013.6843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7069" w:type="dxa"/>
            <w:gridSpan w:val="6"/>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开采标高：</w:t>
            </w:r>
            <w:r>
              <w:rPr>
                <w:rFonts w:hint="default" w:ascii="Times New Roman" w:hAnsi="Times New Roman" w:eastAsia="宋体" w:cs="Times New Roman"/>
                <w:color w:val="auto"/>
                <w:sz w:val="21"/>
                <w:szCs w:val="21"/>
                <w:lang w:val="en-US" w:eastAsia="zh-CN"/>
              </w:rPr>
              <w:t>700m至600m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102"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4631881.3630</w:t>
            </w:r>
          </w:p>
        </w:tc>
        <w:tc>
          <w:tcPr>
            <w:tcW w:w="3103" w:type="dxa"/>
            <w:gridSpan w:val="3"/>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40422216.3246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102" w:type="dxa"/>
            <w:gridSpan w:val="2"/>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4632017.3933</w:t>
            </w:r>
          </w:p>
        </w:tc>
        <w:tc>
          <w:tcPr>
            <w:tcW w:w="3103" w:type="dxa"/>
            <w:gridSpan w:val="3"/>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40422188.0642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102" w:type="dxa"/>
            <w:gridSpan w:val="2"/>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4632145.9938</w:t>
            </w:r>
          </w:p>
        </w:tc>
        <w:tc>
          <w:tcPr>
            <w:tcW w:w="3103" w:type="dxa"/>
            <w:gridSpan w:val="3"/>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40422286.5841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864"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102"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4632004.9736</w:t>
            </w:r>
          </w:p>
        </w:tc>
        <w:tc>
          <w:tcPr>
            <w:tcW w:w="3103" w:type="dxa"/>
            <w:gridSpan w:val="3"/>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40422371.6947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98"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7069" w:type="dxa"/>
            <w:gridSpan w:val="6"/>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开采标高：</w:t>
            </w:r>
            <w:r>
              <w:rPr>
                <w:rFonts w:hint="default" w:ascii="Times New Roman" w:hAnsi="Times New Roman" w:eastAsia="宋体" w:cs="Times New Roman"/>
                <w:color w:val="auto"/>
                <w:sz w:val="21"/>
                <w:szCs w:val="21"/>
                <w:lang w:val="en-US" w:eastAsia="zh-CN"/>
              </w:rPr>
              <w:t>700m至600m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基金计提</w:t>
            </w:r>
          </w:p>
        </w:tc>
        <w:tc>
          <w:tcPr>
            <w:tcW w:w="3966" w:type="dxa"/>
            <w:gridSpan w:val="3"/>
            <w:shd w:val="clear" w:color="auto" w:fill="auto"/>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已提取</w:t>
            </w: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基金使用</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已</w:t>
            </w:r>
            <w:r>
              <w:rPr>
                <w:rFonts w:hint="default" w:ascii="Times New Roman" w:hAnsi="Times New Roman" w:eastAsia="宋体" w:cs="Times New Roman"/>
                <w:color w:val="auto"/>
                <w:sz w:val="21"/>
                <w:szCs w:val="21"/>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67" w:type="dxa"/>
            <w:gridSpan w:val="7"/>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联系人</w:t>
            </w:r>
          </w:p>
        </w:tc>
        <w:tc>
          <w:tcPr>
            <w:tcW w:w="3966"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白晓刚</w:t>
            </w: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手机号</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18604765838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通讯地址</w:t>
            </w:r>
          </w:p>
        </w:tc>
        <w:tc>
          <w:tcPr>
            <w:tcW w:w="3966"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宁城县小城子镇南湾子村</w:t>
            </w: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邮编</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98"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固定电话</w:t>
            </w:r>
          </w:p>
        </w:tc>
        <w:tc>
          <w:tcPr>
            <w:tcW w:w="3966" w:type="dxa"/>
            <w:gridSpan w:val="3"/>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137"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E-mail</w:t>
            </w:r>
          </w:p>
        </w:tc>
        <w:tc>
          <w:tcPr>
            <w:tcW w:w="1966" w:type="dxa"/>
            <w:vAlign w:val="center"/>
          </w:tcPr>
          <w:p>
            <w:pPr>
              <w:spacing w:line="240" w:lineRule="auto"/>
              <w:ind w:firstLine="0" w:firstLineChars="0"/>
              <w:jc w:val="center"/>
              <w:rPr>
                <w:rFonts w:hint="default" w:ascii="Times New Roman" w:hAnsi="Times New Roman" w:eastAsia="宋体" w:cs="Times New Roman"/>
                <w:color w:val="auto"/>
                <w:sz w:val="21"/>
                <w:szCs w:val="21"/>
              </w:rPr>
            </w:pPr>
          </w:p>
        </w:tc>
      </w:tr>
    </w:tbl>
    <w:p>
      <w:pPr>
        <w:pStyle w:val="2"/>
        <w:spacing w:before="120" w:after="120" w:line="360" w:lineRule="auto"/>
        <w:rPr>
          <w:rFonts w:hint="default" w:ascii="Times New Roman" w:hAnsi="Times New Roman" w:eastAsia="宋体" w:cs="Times New Roman"/>
          <w:color w:val="auto"/>
          <w:sz w:val="36"/>
          <w:szCs w:val="36"/>
        </w:rPr>
      </w:pPr>
      <w:bookmarkStart w:id="1" w:name="_Toc28703"/>
      <w:r>
        <w:rPr>
          <w:rFonts w:hint="default" w:ascii="Times New Roman" w:hAnsi="Times New Roman" w:eastAsia="宋体" w:cs="Times New Roman"/>
          <w:color w:val="auto"/>
          <w:sz w:val="36"/>
          <w:szCs w:val="36"/>
        </w:rPr>
        <w:t>二、矿山地质环境治理方案的编制与执行情况</w:t>
      </w:r>
      <w:bookmarkEnd w:id="1"/>
    </w:p>
    <w:p>
      <w:pPr>
        <w:pStyle w:val="3"/>
        <w:spacing w:before="120" w:after="120" w:line="360" w:lineRule="auto"/>
        <w:jc w:val="left"/>
        <w:rPr>
          <w:rFonts w:hint="default" w:ascii="Times New Roman" w:hAnsi="Times New Roman" w:eastAsia="宋体" w:cs="Times New Roman"/>
          <w:color w:val="auto"/>
          <w:sz w:val="30"/>
        </w:rPr>
      </w:pPr>
      <w:bookmarkStart w:id="2" w:name="_Toc18708"/>
      <w:r>
        <w:rPr>
          <w:rFonts w:hint="default" w:ascii="Times New Roman" w:hAnsi="Times New Roman" w:eastAsia="宋体" w:cs="Times New Roman"/>
          <w:color w:val="auto"/>
          <w:sz w:val="30"/>
        </w:rPr>
        <w:t>（一）方案编制概况</w:t>
      </w:r>
      <w:bookmarkEnd w:id="2"/>
    </w:p>
    <w:p>
      <w:pPr>
        <w:ind w:firstLine="48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矿山地质环境治理方案编制情况：</w:t>
      </w:r>
    </w:p>
    <w:p>
      <w:pPr>
        <w:keepNext w:val="0"/>
        <w:keepLines w:val="0"/>
        <w:pageBreakBefore w:val="0"/>
        <w:widowControl w:val="0"/>
        <w:kinsoku/>
        <w:wordWrap/>
        <w:overflowPunct/>
        <w:topLinePunct w:val="0"/>
        <w:bidi w:val="0"/>
        <w:adjustRightInd w:val="0"/>
        <w:ind w:firstLine="480"/>
        <w:jc w:val="left"/>
        <w:textAlignment w:val="auto"/>
        <w:rPr>
          <w:rFonts w:hint="default" w:ascii="Times New Roman" w:hAnsi="Times New Roman" w:eastAsia="宋体" w:cs="Times New Roman"/>
          <w:color w:val="auto"/>
          <w:sz w:val="24"/>
          <w:szCs w:val="22"/>
          <w:lang w:eastAsia="zh-CN"/>
        </w:rPr>
      </w:pPr>
      <w:r>
        <w:rPr>
          <w:color w:val="auto"/>
          <w:sz w:val="24"/>
        </w:rPr>
        <w:t>2</w:t>
      </w:r>
      <w:r>
        <w:rPr>
          <w:rFonts w:hint="eastAsia"/>
          <w:color w:val="auto"/>
          <w:sz w:val="24"/>
        </w:rPr>
        <w:t>015</w:t>
      </w:r>
      <w:r>
        <w:rPr>
          <w:color w:val="auto"/>
          <w:sz w:val="24"/>
        </w:rPr>
        <w:t>年</w:t>
      </w:r>
      <w:r>
        <w:rPr>
          <w:rFonts w:hint="eastAsia"/>
          <w:color w:val="auto"/>
          <w:sz w:val="24"/>
        </w:rPr>
        <w:t>8</w:t>
      </w:r>
      <w:r>
        <w:rPr>
          <w:color w:val="auto"/>
          <w:sz w:val="24"/>
        </w:rPr>
        <w:t>月，</w:t>
      </w:r>
      <w:r>
        <w:rPr>
          <w:rFonts w:hint="eastAsia"/>
          <w:color w:val="auto"/>
          <w:sz w:val="24"/>
        </w:rPr>
        <w:t>赤峰冠诚地质勘查有限责任公司</w:t>
      </w:r>
      <w:r>
        <w:rPr>
          <w:color w:val="auto"/>
          <w:sz w:val="24"/>
        </w:rPr>
        <w:t>编制的《</w:t>
      </w:r>
      <w:r>
        <w:rPr>
          <w:rFonts w:hint="eastAsia"/>
          <w:color w:val="auto"/>
          <w:sz w:val="24"/>
        </w:rPr>
        <w:t>宁城县常兴矿业有限公司沸石矿矿山地质环境分期治理及土地复垦方案（2010.1-2014.8.1）</w:t>
      </w:r>
      <w:r>
        <w:rPr>
          <w:color w:val="auto"/>
          <w:sz w:val="24"/>
        </w:rPr>
        <w:t>》</w:t>
      </w:r>
      <w:r>
        <w:rPr>
          <w:rFonts w:hint="eastAsia"/>
          <w:color w:val="auto"/>
          <w:sz w:val="24"/>
        </w:rPr>
        <w:t>（</w:t>
      </w:r>
      <w:r>
        <w:rPr>
          <w:color w:val="auto"/>
          <w:sz w:val="24"/>
        </w:rPr>
        <w:t>赤国土环分治备字[2015]2</w:t>
      </w:r>
      <w:r>
        <w:rPr>
          <w:rFonts w:hint="eastAsia"/>
          <w:color w:val="auto"/>
          <w:sz w:val="24"/>
        </w:rPr>
        <w:t>75</w:t>
      </w:r>
      <w:r>
        <w:rPr>
          <w:color w:val="auto"/>
          <w:sz w:val="24"/>
        </w:rPr>
        <w:t>号</w:t>
      </w:r>
      <w:r>
        <w:rPr>
          <w:rFonts w:hint="eastAsia"/>
          <w:color w:val="auto"/>
          <w:sz w:val="24"/>
        </w:rPr>
        <w:t>）</w:t>
      </w:r>
      <w:r>
        <w:rPr>
          <w:color w:val="auto"/>
          <w:sz w:val="24"/>
        </w:rPr>
        <w:t>以下简称《</w:t>
      </w:r>
      <w:r>
        <w:rPr>
          <w:rFonts w:hint="eastAsia"/>
          <w:color w:val="auto"/>
          <w:sz w:val="24"/>
        </w:rPr>
        <w:t>分期方案</w:t>
      </w:r>
      <w:r>
        <w:rPr>
          <w:color w:val="auto"/>
          <w:sz w:val="24"/>
        </w:rPr>
        <w:t>》；</w:t>
      </w:r>
    </w:p>
    <w:p>
      <w:pPr>
        <w:keepNext w:val="0"/>
        <w:keepLines w:val="0"/>
        <w:pageBreakBefore w:val="0"/>
        <w:widowControl w:val="0"/>
        <w:kinsoku/>
        <w:wordWrap/>
        <w:overflowPunct/>
        <w:topLinePunct w:val="0"/>
        <w:bidi w:val="0"/>
        <w:adjustRightInd w:val="0"/>
        <w:ind w:firstLine="480"/>
        <w:jc w:val="left"/>
        <w:textAlignment w:val="auto"/>
        <w:rPr>
          <w:rFonts w:hint="default" w:ascii="Times New Roman" w:hAnsi="Times New Roman" w:eastAsia="宋体" w:cs="Times New Roman"/>
          <w:color w:val="auto"/>
          <w:sz w:val="24"/>
          <w:szCs w:val="22"/>
          <w:lang w:val="en-US" w:eastAsia="zh-CN"/>
        </w:rPr>
      </w:pPr>
      <w:r>
        <w:rPr>
          <w:rFonts w:hint="eastAsia"/>
          <w:color w:val="auto"/>
          <w:sz w:val="24"/>
        </w:rPr>
        <w:t>2021年5月</w:t>
      </w:r>
      <w:r>
        <w:rPr>
          <w:color w:val="auto"/>
          <w:sz w:val="24"/>
        </w:rPr>
        <w:t>，</w:t>
      </w:r>
      <w:r>
        <w:rPr>
          <w:rFonts w:hint="eastAsia"/>
          <w:color w:val="auto"/>
          <w:sz w:val="24"/>
          <w:lang w:eastAsia="zh-CN"/>
        </w:rPr>
        <w:t>由</w:t>
      </w:r>
      <w:r>
        <w:rPr>
          <w:rFonts w:hint="eastAsia"/>
          <w:color w:val="auto"/>
          <w:sz w:val="24"/>
        </w:rPr>
        <w:t>辽宁省化工地质勘查院有限责任公司编制的</w:t>
      </w:r>
      <w:r>
        <w:rPr>
          <w:color w:val="auto"/>
          <w:sz w:val="24"/>
        </w:rPr>
        <w:t>《宁城县常兴矿业有限公司沸石矿</w:t>
      </w:r>
      <w:r>
        <w:rPr>
          <w:rFonts w:hint="eastAsia"/>
          <w:color w:val="auto"/>
          <w:sz w:val="24"/>
        </w:rPr>
        <w:t>矿山地质环境保护与土地复垦方案</w:t>
      </w:r>
      <w:r>
        <w:rPr>
          <w:color w:val="auto"/>
          <w:sz w:val="24"/>
        </w:rPr>
        <w:t>》</w:t>
      </w:r>
      <w:r>
        <w:rPr>
          <w:rFonts w:hint="eastAsia"/>
          <w:color w:val="auto"/>
          <w:sz w:val="24"/>
          <w:lang w:eastAsia="zh-CN"/>
        </w:rPr>
        <w:t>（赤矿治字</w:t>
      </w:r>
      <w:r>
        <w:rPr>
          <w:rFonts w:hint="eastAsia"/>
          <w:color w:val="auto"/>
          <w:sz w:val="24"/>
          <w:lang w:val="en-US" w:eastAsia="zh-CN"/>
        </w:rPr>
        <w:t>[2021]147号</w:t>
      </w:r>
      <w:r>
        <w:rPr>
          <w:rFonts w:hint="eastAsia"/>
          <w:color w:val="auto"/>
          <w:sz w:val="24"/>
          <w:lang w:eastAsia="zh-CN"/>
        </w:rPr>
        <w:t>）</w:t>
      </w:r>
      <w:r>
        <w:rPr>
          <w:rFonts w:hint="eastAsia"/>
          <w:color w:val="auto"/>
          <w:sz w:val="24"/>
        </w:rPr>
        <w:t>（以下简称《治理方案》）</w:t>
      </w:r>
      <w:r>
        <w:rPr>
          <w:rFonts w:hint="eastAsia" w:cs="Times New Roman"/>
          <w:color w:val="auto"/>
          <w:sz w:val="24"/>
          <w:szCs w:val="22"/>
          <w:lang w:eastAsia="zh-CN"/>
        </w:rPr>
        <w:t>；</w:t>
      </w: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cs="Times New Roman"/>
          <w:color w:val="auto"/>
          <w:sz w:val="24"/>
          <w:szCs w:val="22"/>
          <w:lang w:eastAsia="zh-CN"/>
        </w:rPr>
      </w:pPr>
      <w:r>
        <w:rPr>
          <w:rFonts w:hint="eastAsia" w:ascii="Times New Roman" w:cs="Times New Roman"/>
          <w:color w:val="auto"/>
          <w:sz w:val="24"/>
          <w:szCs w:val="22"/>
          <w:lang w:val="en-US" w:eastAsia="zh-CN"/>
        </w:rPr>
        <w:t>2020年由</w:t>
      </w:r>
      <w:r>
        <w:rPr>
          <w:color w:val="auto"/>
          <w:sz w:val="24"/>
        </w:rPr>
        <w:t>宁城县常兴矿业有限公司沸石矿</w:t>
      </w:r>
      <w:r>
        <w:rPr>
          <w:rFonts w:hint="default" w:ascii="Times New Roman" w:hAnsi="Times New Roman" w:eastAsia="宋体" w:cs="Times New Roman"/>
          <w:color w:val="auto"/>
          <w:sz w:val="24"/>
          <w:szCs w:val="22"/>
          <w:lang w:eastAsia="zh-CN"/>
        </w:rPr>
        <w:t>编制了《</w:t>
      </w:r>
      <w:r>
        <w:rPr>
          <w:color w:val="auto"/>
          <w:sz w:val="24"/>
        </w:rPr>
        <w:t>宁城县常兴矿业有限公司沸石矿</w:t>
      </w:r>
      <w:r>
        <w:rPr>
          <w:rFonts w:hint="eastAsia" w:ascii="Times New Roman" w:cs="Times New Roman"/>
          <w:color w:val="auto"/>
          <w:sz w:val="24"/>
          <w:szCs w:val="22"/>
          <w:lang w:val="en-US" w:eastAsia="zh-CN"/>
        </w:rPr>
        <w:t>2020年度矿山地质环境治理计划书</w:t>
      </w:r>
      <w:r>
        <w:rPr>
          <w:rFonts w:hint="default" w:ascii="Times New Roman" w:hAnsi="Times New Roman" w:eastAsia="宋体" w:cs="Times New Roman"/>
          <w:color w:val="auto"/>
          <w:sz w:val="24"/>
          <w:szCs w:val="22"/>
          <w:lang w:eastAsia="zh-CN"/>
        </w:rPr>
        <w:t>》</w:t>
      </w:r>
      <w:r>
        <w:rPr>
          <w:rFonts w:hint="eastAsia" w:ascii="Times New Roman" w:cs="Times New Roman"/>
          <w:color w:val="auto"/>
          <w:sz w:val="24"/>
          <w:szCs w:val="22"/>
          <w:lang w:eastAsia="zh-CN"/>
        </w:rPr>
        <w:t>；</w:t>
      </w: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cs="Times New Roman"/>
          <w:color w:val="auto"/>
          <w:sz w:val="24"/>
          <w:szCs w:val="22"/>
          <w:lang w:eastAsia="zh-CN"/>
        </w:rPr>
      </w:pPr>
      <w:r>
        <w:rPr>
          <w:rFonts w:hint="eastAsia" w:ascii="Times New Roman" w:cs="Times New Roman"/>
          <w:color w:val="auto"/>
          <w:sz w:val="24"/>
          <w:szCs w:val="22"/>
          <w:lang w:val="en-US" w:eastAsia="zh-CN"/>
        </w:rPr>
        <w:t>2021年由</w:t>
      </w:r>
      <w:r>
        <w:rPr>
          <w:color w:val="auto"/>
          <w:sz w:val="24"/>
        </w:rPr>
        <w:t>宁城县常兴矿业有限公司沸石矿</w:t>
      </w:r>
      <w:r>
        <w:rPr>
          <w:rFonts w:hint="default" w:ascii="Times New Roman" w:hAnsi="Times New Roman" w:eastAsia="宋体" w:cs="Times New Roman"/>
          <w:color w:val="auto"/>
          <w:sz w:val="24"/>
          <w:szCs w:val="22"/>
          <w:lang w:eastAsia="zh-CN"/>
        </w:rPr>
        <w:t>编制了《</w:t>
      </w:r>
      <w:r>
        <w:rPr>
          <w:color w:val="auto"/>
          <w:sz w:val="24"/>
        </w:rPr>
        <w:t>宁城县常兴矿业有限公司沸石矿</w:t>
      </w:r>
      <w:r>
        <w:rPr>
          <w:rFonts w:hint="eastAsia" w:ascii="Times New Roman" w:cs="Times New Roman"/>
          <w:color w:val="auto"/>
          <w:sz w:val="24"/>
          <w:szCs w:val="22"/>
          <w:lang w:val="en-US" w:eastAsia="zh-CN"/>
        </w:rPr>
        <w:t>2021年度矿山地质环境治理计划书</w:t>
      </w:r>
      <w:r>
        <w:rPr>
          <w:rFonts w:hint="default" w:ascii="Times New Roman" w:hAnsi="Times New Roman" w:eastAsia="宋体" w:cs="Times New Roman"/>
          <w:color w:val="auto"/>
          <w:sz w:val="24"/>
          <w:szCs w:val="22"/>
          <w:lang w:eastAsia="zh-CN"/>
        </w:rPr>
        <w:t>》</w:t>
      </w:r>
      <w:r>
        <w:rPr>
          <w:rFonts w:hint="eastAsia" w:ascii="Times New Roman" w:cs="Times New Roman"/>
          <w:color w:val="auto"/>
          <w:sz w:val="24"/>
          <w:szCs w:val="22"/>
          <w:lang w:eastAsia="zh-CN"/>
        </w:rPr>
        <w:t>；</w:t>
      </w: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cs="Times New Roman"/>
          <w:color w:val="auto"/>
          <w:sz w:val="24"/>
          <w:szCs w:val="22"/>
          <w:lang w:eastAsia="zh-CN"/>
        </w:rPr>
      </w:pPr>
      <w:r>
        <w:rPr>
          <w:rFonts w:hint="eastAsia" w:ascii="Times New Roman" w:cs="Times New Roman"/>
          <w:color w:val="auto"/>
          <w:sz w:val="24"/>
          <w:szCs w:val="22"/>
          <w:lang w:val="en-US" w:eastAsia="zh-CN"/>
        </w:rPr>
        <w:t>2022年由</w:t>
      </w:r>
      <w:r>
        <w:rPr>
          <w:color w:val="auto"/>
          <w:sz w:val="24"/>
        </w:rPr>
        <w:t>宁城县常兴矿业有限公司沸石矿</w:t>
      </w:r>
      <w:r>
        <w:rPr>
          <w:rFonts w:hint="default" w:ascii="Times New Roman" w:hAnsi="Times New Roman" w:eastAsia="宋体" w:cs="Times New Roman"/>
          <w:color w:val="auto"/>
          <w:sz w:val="24"/>
          <w:szCs w:val="22"/>
          <w:lang w:eastAsia="zh-CN"/>
        </w:rPr>
        <w:t>编制了《</w:t>
      </w:r>
      <w:r>
        <w:rPr>
          <w:color w:val="auto"/>
          <w:sz w:val="24"/>
        </w:rPr>
        <w:t>宁城县常兴矿业有限公司沸石矿</w:t>
      </w:r>
      <w:r>
        <w:rPr>
          <w:rFonts w:hint="eastAsia" w:ascii="Times New Roman" w:cs="Times New Roman"/>
          <w:color w:val="auto"/>
          <w:sz w:val="24"/>
          <w:szCs w:val="22"/>
          <w:lang w:val="en-US" w:eastAsia="zh-CN"/>
        </w:rPr>
        <w:t>2022年度矿山地质环境治理计划书</w:t>
      </w:r>
      <w:r>
        <w:rPr>
          <w:rFonts w:hint="default" w:ascii="Times New Roman" w:hAnsi="Times New Roman" w:eastAsia="宋体" w:cs="Times New Roman"/>
          <w:color w:val="auto"/>
          <w:sz w:val="24"/>
          <w:szCs w:val="22"/>
          <w:lang w:eastAsia="zh-CN"/>
        </w:rPr>
        <w:t>》</w:t>
      </w:r>
      <w:r>
        <w:rPr>
          <w:rFonts w:hint="eastAsia" w:ascii="Times New Roman" w:cs="Times New Roman"/>
          <w:color w:val="auto"/>
          <w:sz w:val="24"/>
          <w:szCs w:val="22"/>
          <w:lang w:eastAsia="zh-CN"/>
        </w:rPr>
        <w:t>。</w:t>
      </w: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cs="Times New Roman"/>
          <w:color w:val="auto"/>
          <w:sz w:val="24"/>
          <w:szCs w:val="22"/>
          <w:lang w:eastAsia="zh-CN"/>
        </w:rPr>
      </w:pPr>
      <w:r>
        <w:rPr>
          <w:rFonts w:hint="eastAsia" w:ascii="Times New Roman" w:cs="Times New Roman"/>
          <w:color w:val="auto"/>
          <w:sz w:val="24"/>
          <w:szCs w:val="22"/>
          <w:lang w:val="en-US" w:eastAsia="zh-CN"/>
        </w:rPr>
        <w:t>2023年由</w:t>
      </w:r>
      <w:r>
        <w:rPr>
          <w:color w:val="auto"/>
          <w:sz w:val="24"/>
        </w:rPr>
        <w:t>宁城县常兴矿业有限公司沸石矿</w:t>
      </w:r>
      <w:r>
        <w:rPr>
          <w:rFonts w:hint="default" w:ascii="Times New Roman" w:hAnsi="Times New Roman" w:eastAsia="宋体" w:cs="Times New Roman"/>
          <w:color w:val="auto"/>
          <w:sz w:val="24"/>
          <w:szCs w:val="22"/>
          <w:lang w:eastAsia="zh-CN"/>
        </w:rPr>
        <w:t>编制了《</w:t>
      </w:r>
      <w:r>
        <w:rPr>
          <w:color w:val="auto"/>
          <w:sz w:val="24"/>
        </w:rPr>
        <w:t>宁城县常兴矿业有限公司沸石矿</w:t>
      </w:r>
      <w:r>
        <w:rPr>
          <w:rFonts w:hint="eastAsia" w:ascii="Times New Roman" w:cs="Times New Roman"/>
          <w:color w:val="auto"/>
          <w:sz w:val="24"/>
          <w:szCs w:val="22"/>
          <w:lang w:val="en-US" w:eastAsia="zh-CN"/>
        </w:rPr>
        <w:t>2023年度矿山地质环境治理计划书</w:t>
      </w:r>
      <w:r>
        <w:rPr>
          <w:rFonts w:hint="default" w:ascii="Times New Roman" w:hAnsi="Times New Roman" w:eastAsia="宋体" w:cs="Times New Roman"/>
          <w:color w:val="auto"/>
          <w:sz w:val="24"/>
          <w:szCs w:val="22"/>
          <w:lang w:eastAsia="zh-CN"/>
        </w:rPr>
        <w:t>》</w:t>
      </w:r>
      <w:r>
        <w:rPr>
          <w:rFonts w:hint="eastAsia" w:ascii="Times New Roman" w:cs="Times New Roman"/>
          <w:color w:val="auto"/>
          <w:sz w:val="24"/>
          <w:szCs w:val="22"/>
          <w:lang w:eastAsia="zh-CN"/>
        </w:rPr>
        <w:t>。</w:t>
      </w:r>
    </w:p>
    <w:p>
      <w:pPr>
        <w:pStyle w:val="3"/>
        <w:spacing w:before="120" w:after="120" w:line="360" w:lineRule="auto"/>
        <w:jc w:val="left"/>
        <w:rPr>
          <w:rFonts w:hint="default" w:ascii="Times New Roman" w:hAnsi="Times New Roman" w:eastAsia="宋体" w:cs="Times New Roman"/>
          <w:color w:val="auto"/>
          <w:sz w:val="30"/>
        </w:rPr>
      </w:pPr>
      <w:bookmarkStart w:id="3" w:name="_Toc23480"/>
      <w:r>
        <w:rPr>
          <w:rFonts w:hint="default" w:ascii="Times New Roman" w:hAnsi="Times New Roman" w:eastAsia="宋体" w:cs="Times New Roman"/>
          <w:color w:val="auto"/>
          <w:sz w:val="30"/>
        </w:rPr>
        <w:t>（二）治理方案规划的近期治理工程内容</w:t>
      </w:r>
      <w:bookmarkEnd w:id="3"/>
    </w:p>
    <w:p>
      <w:pPr>
        <w:keepNext w:val="0"/>
        <w:keepLines w:val="0"/>
        <w:pageBreakBefore w:val="0"/>
        <w:kinsoku/>
        <w:wordWrap/>
        <w:overflowPunct/>
        <w:topLinePunct w:val="0"/>
        <w:autoSpaceDE/>
        <w:autoSpaceDN/>
        <w:bidi w:val="0"/>
        <w:adjustRightInd w:val="0"/>
        <w:snapToGrid w:val="0"/>
        <w:ind w:firstLine="480"/>
        <w:jc w:val="left"/>
        <w:textAlignment w:val="auto"/>
        <w:rPr>
          <w:rFonts w:hint="default" w:ascii="Times New Roman" w:hAnsi="Times New Roman" w:eastAsia="宋体" w:cs="Times New Roman"/>
          <w:b/>
          <w:bCs/>
          <w:color w:val="auto"/>
          <w:szCs w:val="22"/>
        </w:rPr>
      </w:pPr>
      <w:bookmarkStart w:id="4" w:name="_Toc487613484"/>
      <w:r>
        <w:rPr>
          <w:rFonts w:hint="default" w:ascii="Times New Roman" w:hAnsi="Times New Roman" w:eastAsia="宋体" w:cs="Times New Roman"/>
          <w:b/>
          <w:bCs/>
          <w:color w:val="auto"/>
          <w:szCs w:val="22"/>
          <w:lang w:eastAsia="zh-CN"/>
        </w:rPr>
        <w:t>一分期</w:t>
      </w:r>
      <w:bookmarkEnd w:id="4"/>
      <w:r>
        <w:rPr>
          <w:rFonts w:hint="default" w:ascii="Times New Roman" w:hAnsi="Times New Roman" w:eastAsia="宋体" w:cs="Times New Roman"/>
          <w:b/>
          <w:bCs/>
          <w:color w:val="auto"/>
          <w:szCs w:val="22"/>
          <w:lang w:eastAsia="zh-CN"/>
        </w:rPr>
        <w:t>设计的治理工程</w:t>
      </w:r>
      <w:r>
        <w:rPr>
          <w:rFonts w:hint="default" w:ascii="Times New Roman" w:hAnsi="Times New Roman" w:eastAsia="宋体" w:cs="Times New Roman"/>
          <w:b/>
          <w:bCs/>
          <w:color w:val="auto"/>
          <w:szCs w:val="22"/>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eastAsia"/>
          <w:color w:val="auto"/>
          <w:sz w:val="24"/>
        </w:rPr>
        <w:t>根据</w:t>
      </w:r>
      <w:r>
        <w:rPr>
          <w:color w:val="auto"/>
          <w:sz w:val="24"/>
        </w:rPr>
        <w:t>2</w:t>
      </w:r>
      <w:r>
        <w:rPr>
          <w:rFonts w:hint="eastAsia"/>
          <w:color w:val="auto"/>
          <w:sz w:val="24"/>
        </w:rPr>
        <w:t>015</w:t>
      </w:r>
      <w:r>
        <w:rPr>
          <w:color w:val="auto"/>
          <w:sz w:val="24"/>
        </w:rPr>
        <w:t>年</w:t>
      </w:r>
      <w:r>
        <w:rPr>
          <w:rFonts w:hint="eastAsia"/>
          <w:color w:val="auto"/>
          <w:sz w:val="24"/>
        </w:rPr>
        <w:t>8</w:t>
      </w:r>
      <w:r>
        <w:rPr>
          <w:color w:val="auto"/>
          <w:sz w:val="24"/>
        </w:rPr>
        <w:t>月，</w:t>
      </w:r>
      <w:r>
        <w:rPr>
          <w:rFonts w:hint="eastAsia"/>
          <w:color w:val="auto"/>
          <w:sz w:val="24"/>
        </w:rPr>
        <w:t>由赤峰冠诚地质勘查有限责任公司</w:t>
      </w:r>
      <w:r>
        <w:rPr>
          <w:color w:val="auto"/>
          <w:sz w:val="24"/>
        </w:rPr>
        <w:t>编制的</w:t>
      </w:r>
      <w:r>
        <w:rPr>
          <w:rFonts w:hint="eastAsia"/>
          <w:color w:val="auto"/>
          <w:sz w:val="24"/>
        </w:rPr>
        <w:t>《</w:t>
      </w:r>
      <w:r>
        <w:rPr>
          <w:color w:val="auto"/>
          <w:sz w:val="24"/>
        </w:rPr>
        <w:t>一分期治理方案</w:t>
      </w:r>
      <w:r>
        <w:rPr>
          <w:rFonts w:hint="eastAsia"/>
          <w:color w:val="auto"/>
          <w:sz w:val="24"/>
        </w:rPr>
        <w:t>》矿山地质环境治理工程设计为：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color w:val="auto"/>
          <w:sz w:val="24"/>
        </w:rPr>
        <w:t>（1）露天采场</w:t>
      </w:r>
      <w:r>
        <w:rPr>
          <w:rFonts w:hint="eastAsia"/>
          <w:color w:val="auto"/>
          <w:sz w:val="24"/>
        </w:rPr>
        <w:t>边坡</w:t>
      </w:r>
      <w:r>
        <w:rPr>
          <w:color w:val="auto"/>
          <w:sz w:val="24"/>
        </w:rPr>
        <w:t>：</w:t>
      </w:r>
      <w:r>
        <w:rPr>
          <w:rFonts w:hint="eastAsia"/>
          <w:color w:val="auto"/>
          <w:sz w:val="24"/>
        </w:rPr>
        <w:t>垫坡、整平、整垅；</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color w:val="auto"/>
          <w:sz w:val="24"/>
        </w:rPr>
        <w:t>（2）露天采场</w:t>
      </w:r>
      <w:r>
        <w:rPr>
          <w:rFonts w:hint="eastAsia"/>
          <w:color w:val="auto"/>
          <w:sz w:val="24"/>
        </w:rPr>
        <w:t>平台</w:t>
      </w:r>
      <w:r>
        <w:rPr>
          <w:color w:val="auto"/>
          <w:sz w:val="24"/>
        </w:rPr>
        <w:t>：</w:t>
      </w:r>
      <w:r>
        <w:rPr>
          <w:rFonts w:hint="eastAsia"/>
          <w:color w:val="auto"/>
          <w:sz w:val="24"/>
        </w:rPr>
        <w:t>覆土、整平、整垅</w:t>
      </w:r>
      <w:r>
        <w:rPr>
          <w:color w:val="auto"/>
          <w:spacing w:val="-4"/>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color w:val="auto"/>
          <w:sz w:val="24"/>
        </w:rPr>
        <w:t>（3）</w:t>
      </w:r>
      <w:r>
        <w:rPr>
          <w:rFonts w:hint="eastAsia"/>
          <w:color w:val="auto"/>
          <w:sz w:val="24"/>
        </w:rPr>
        <w:t>表土存储场</w:t>
      </w:r>
      <w:r>
        <w:rPr>
          <w:color w:val="auto"/>
          <w:sz w:val="24"/>
        </w:rPr>
        <w:t>：翻耕、种草、植被管护。</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color w:val="auto"/>
          <w:sz w:val="24"/>
        </w:rPr>
        <w:t>（4）</w:t>
      </w:r>
      <w:r>
        <w:rPr>
          <w:color w:val="auto"/>
          <w:sz w:val="24"/>
        </w:rPr>
        <w:t>新建料堆场</w:t>
      </w:r>
      <w:r>
        <w:rPr>
          <w:rFonts w:hint="eastAsia"/>
          <w:color w:val="auto"/>
          <w:sz w:val="24"/>
        </w:rPr>
        <w:t>：</w:t>
      </w:r>
      <w:r>
        <w:rPr>
          <w:color w:val="auto"/>
          <w:sz w:val="24"/>
        </w:rPr>
        <w:t>表土剥离，并将现状1#料堆场、2#料堆场、露天采场零星堆放的料石搬运到新建料堆场进行统一堆放</w:t>
      </w:r>
      <w:r>
        <w:rPr>
          <w:rFonts w:hint="eastAsia"/>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color w:val="auto"/>
          <w:sz w:val="24"/>
        </w:rPr>
        <w:t>（5）</w:t>
      </w:r>
      <w:r>
        <w:rPr>
          <w:color w:val="auto"/>
          <w:sz w:val="24"/>
        </w:rPr>
        <w:t>1#料堆场南部边坡</w:t>
      </w:r>
      <w:r>
        <w:rPr>
          <w:rFonts w:hint="eastAsia"/>
          <w:color w:val="auto"/>
          <w:sz w:val="24"/>
        </w:rPr>
        <w:t>：</w:t>
      </w:r>
      <w:r>
        <w:rPr>
          <w:color w:val="auto"/>
          <w:sz w:val="24"/>
        </w:rPr>
        <w:t>垫坡、整平、种草、植被管护</w:t>
      </w:r>
      <w:r>
        <w:rPr>
          <w:rFonts w:hint="eastAsia"/>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color w:val="auto"/>
          <w:sz w:val="24"/>
        </w:rPr>
        <w:t>（6）</w:t>
      </w:r>
      <w:r>
        <w:rPr>
          <w:color w:val="auto"/>
          <w:sz w:val="24"/>
        </w:rPr>
        <w:t>1#料堆场</w:t>
      </w:r>
      <w:r>
        <w:rPr>
          <w:rFonts w:hint="eastAsia"/>
          <w:color w:val="auto"/>
          <w:sz w:val="24"/>
        </w:rPr>
        <w:t>：</w:t>
      </w:r>
      <w:r>
        <w:rPr>
          <w:color w:val="auto"/>
          <w:sz w:val="24"/>
        </w:rPr>
        <w:t>翻耕、种草、植被管护</w:t>
      </w:r>
      <w:r>
        <w:rPr>
          <w:rFonts w:hint="eastAsia"/>
          <w:color w:val="auto"/>
          <w:sz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color w:val="auto"/>
          <w:sz w:val="24"/>
        </w:rPr>
      </w:pPr>
      <w:r>
        <w:rPr>
          <w:rFonts w:hint="eastAsia"/>
          <w:color w:val="auto"/>
          <w:sz w:val="24"/>
        </w:rPr>
        <w:t>（7）</w:t>
      </w:r>
      <w:r>
        <w:rPr>
          <w:color w:val="auto"/>
          <w:sz w:val="24"/>
        </w:rPr>
        <w:t>2#料堆场</w:t>
      </w:r>
      <w:r>
        <w:rPr>
          <w:rFonts w:hint="eastAsia"/>
          <w:color w:val="auto"/>
          <w:sz w:val="24"/>
        </w:rPr>
        <w:t>：</w:t>
      </w:r>
      <w:r>
        <w:rPr>
          <w:color w:val="auto"/>
          <w:sz w:val="24"/>
        </w:rPr>
        <w:t>翻耕、整陇。</w:t>
      </w:r>
    </w:p>
    <w:p>
      <w:pPr>
        <w:keepNext w:val="0"/>
        <w:keepLines w:val="0"/>
        <w:pageBreakBefore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具体见表2-1。</w:t>
      </w:r>
    </w:p>
    <w:p>
      <w:pPr>
        <w:spacing w:after="120" w:afterLines="50"/>
        <w:jc w:val="center"/>
        <w:rPr>
          <w:rFonts w:hint="eastAsia" w:ascii="黑体" w:hAnsi="黑体" w:eastAsia="黑体" w:cs="黑体"/>
          <w:bCs/>
          <w:color w:val="auto"/>
          <w:sz w:val="24"/>
          <w:szCs w:val="32"/>
        </w:rPr>
      </w:pPr>
      <w:r>
        <w:rPr>
          <w:rFonts w:hint="eastAsia" w:ascii="黑体" w:hAnsi="黑体" w:eastAsia="黑体" w:cs="黑体"/>
          <w:bCs/>
          <w:color w:val="auto"/>
          <w:sz w:val="24"/>
        </w:rPr>
        <w:t>表</w:t>
      </w:r>
      <w:r>
        <w:rPr>
          <w:rFonts w:hint="eastAsia" w:ascii="黑体" w:hAnsi="黑体" w:eastAsia="黑体" w:cs="黑体"/>
          <w:bCs/>
          <w:color w:val="auto"/>
          <w:sz w:val="24"/>
          <w:lang w:val="en-US" w:eastAsia="zh-CN"/>
        </w:rPr>
        <w:t>2-1</w:t>
      </w:r>
      <w:r>
        <w:rPr>
          <w:rFonts w:hint="eastAsia" w:ascii="黑体" w:hAnsi="黑体" w:eastAsia="黑体" w:cs="黑体"/>
          <w:bCs/>
          <w:color w:val="auto"/>
          <w:sz w:val="24"/>
        </w:rPr>
        <w:t xml:space="preserve">  《一分期治理方案》设计治理工程情况</w:t>
      </w: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37"/>
        <w:gridCol w:w="2748"/>
        <w:gridCol w:w="2923"/>
        <w:gridCol w:w="15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84"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治理区</w:t>
            </w:r>
          </w:p>
        </w:tc>
        <w:tc>
          <w:tcPr>
            <w:tcW w:w="1611"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kern w:val="0"/>
                <w:sz w:val="21"/>
                <w:szCs w:val="21"/>
              </w:rPr>
              <w:t>主要工程措施</w:t>
            </w:r>
          </w:p>
        </w:tc>
        <w:tc>
          <w:tcPr>
            <w:tcW w:w="1714"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Cs w:val="21"/>
              </w:rPr>
            </w:pPr>
            <w:r>
              <w:rPr>
                <w:color w:val="auto"/>
                <w:kern w:val="0"/>
                <w:szCs w:val="21"/>
              </w:rPr>
              <w:t>主要工程量</w:t>
            </w:r>
          </w:p>
        </w:tc>
        <w:tc>
          <w:tcPr>
            <w:tcW w:w="889"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kern w:val="0"/>
                <w:szCs w:val="21"/>
              </w:rPr>
            </w:pPr>
            <w:r>
              <w:rPr>
                <w:rFonts w:hint="eastAsia"/>
                <w:color w:val="auto"/>
                <w:kern w:val="0"/>
                <w:szCs w:val="21"/>
              </w:rPr>
              <w:t>完成情况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77" w:hRule="atLeast"/>
          <w:jc w:val="center"/>
        </w:trPr>
        <w:tc>
          <w:tcPr>
            <w:tcW w:w="784"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露天采场</w:t>
            </w:r>
            <w:r>
              <w:rPr>
                <w:rFonts w:hint="eastAsia" w:ascii="Times New Roman" w:hAnsi="Times New Roman"/>
                <w:color w:val="auto"/>
                <w:sz w:val="21"/>
                <w:szCs w:val="21"/>
              </w:rPr>
              <w:t>、</w:t>
            </w:r>
            <w:r>
              <w:rPr>
                <w:rFonts w:ascii="Times New Roman" w:hAnsi="Times New Roman"/>
                <w:color w:val="auto"/>
                <w:sz w:val="21"/>
                <w:szCs w:val="21"/>
              </w:rPr>
              <w:t>1#料堆</w:t>
            </w:r>
            <w:r>
              <w:rPr>
                <w:rFonts w:hint="eastAsia" w:ascii="Times New Roman" w:hAnsi="Times New Roman"/>
                <w:color w:val="auto"/>
                <w:sz w:val="21"/>
                <w:szCs w:val="21"/>
              </w:rPr>
              <w:t>场、2#料堆场、表土存储场、</w:t>
            </w:r>
            <w:r>
              <w:rPr>
                <w:rFonts w:ascii="Times New Roman" w:hAnsi="Times New Roman"/>
                <w:color w:val="auto"/>
                <w:sz w:val="21"/>
                <w:szCs w:val="21"/>
              </w:rPr>
              <w:t>新建料堆场</w:t>
            </w:r>
          </w:p>
        </w:tc>
        <w:tc>
          <w:tcPr>
            <w:tcW w:w="1611"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指定专人对露天采场边坡稳定性进行监测。对露天采场北部边坡进行垫坡、整平、整珑，对露天采场北部平台进行覆土、整平、整珑。对表土存储场进行翻耕、种草、植被管护。对新建料堆场进行表土剥离，并将现状1#料堆场、2#料堆场、露天采场零星堆放的料石搬运到新建料堆场进行统一堆放，对1#料堆场南部边坡进行垫坡、整平、种草、植被管护，对1#料堆场进行翻耕、种草、植被管护，对2#料堆场进行翻耕、整陇。</w:t>
            </w:r>
          </w:p>
        </w:tc>
        <w:tc>
          <w:tcPr>
            <w:tcW w:w="1714" w:type="pct"/>
            <w:tcBorders>
              <w:right w:val="single" w:color="auto" w:sz="4" w:space="0"/>
            </w:tcBorders>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rPr>
            </w:pPr>
            <w:r>
              <w:rPr>
                <w:rFonts w:hint="eastAsia" w:ascii="Times New Roman" w:hAnsi="Times New Roman"/>
                <w:color w:val="auto"/>
                <w:sz w:val="21"/>
                <w:szCs w:val="21"/>
              </w:rPr>
              <w:t>垫坡方量为13289m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，清运料石1180m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，覆土352m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，平土3281m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，翻耕14298m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，种草14605m</w:t>
            </w:r>
            <w:r>
              <w:rPr>
                <w:rFonts w:hint="eastAsia" w:ascii="Times New Roman" w:hAnsi="Times New Roman"/>
                <w:color w:val="auto"/>
                <w:sz w:val="21"/>
                <w:szCs w:val="21"/>
                <w:vertAlign w:val="superscript"/>
              </w:rPr>
              <w:t>2</w:t>
            </w:r>
            <w:r>
              <w:rPr>
                <w:rFonts w:hint="eastAsia" w:ascii="Times New Roman" w:hAnsi="Times New Roman"/>
                <w:color w:val="auto"/>
                <w:sz w:val="21"/>
                <w:szCs w:val="21"/>
              </w:rPr>
              <w:t>，表土剥离489m</w:t>
            </w:r>
            <w:r>
              <w:rPr>
                <w:rFonts w:hint="eastAsia" w:ascii="Times New Roman" w:hAnsi="Times New Roman"/>
                <w:color w:val="auto"/>
                <w:sz w:val="21"/>
                <w:szCs w:val="21"/>
                <w:vertAlign w:val="superscript"/>
              </w:rPr>
              <w:t>3</w:t>
            </w:r>
            <w:r>
              <w:rPr>
                <w:rFonts w:hint="eastAsia" w:ascii="Times New Roman" w:hAnsi="Times New Roman"/>
                <w:color w:val="auto"/>
                <w:sz w:val="21"/>
                <w:szCs w:val="21"/>
              </w:rPr>
              <w:t>。</w:t>
            </w:r>
          </w:p>
        </w:tc>
        <w:tc>
          <w:tcPr>
            <w:tcW w:w="889" w:type="pct"/>
            <w:tcBorders>
              <w:left w:val="single" w:color="auto" w:sz="4" w:space="0"/>
            </w:tcBorders>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olor w:val="auto"/>
                <w:sz w:val="21"/>
                <w:szCs w:val="21"/>
              </w:rPr>
            </w:pPr>
            <w:r>
              <w:rPr>
                <w:rFonts w:hint="eastAsia" w:ascii="Times New Roman" w:hAnsi="Times New Roman"/>
                <w:color w:val="auto"/>
                <w:sz w:val="21"/>
                <w:szCs w:val="21"/>
              </w:rPr>
              <w:t>已完成</w:t>
            </w:r>
          </w:p>
        </w:tc>
      </w:tr>
    </w:tbl>
    <w:p>
      <w:pPr>
        <w:pStyle w:val="18"/>
        <w:rPr>
          <w:rFonts w:hint="default" w:ascii="Times New Roman" w:hAnsi="Times New Roman" w:eastAsia="宋体" w:cs="Times New Roman"/>
          <w:color w:val="FF0000"/>
          <w:lang w:val="en-US" w:eastAsia="zh-CN"/>
        </w:rPr>
      </w:pP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eastAsia="宋体" w:cs="Times New Roman"/>
          <w:b/>
          <w:bCs/>
          <w:color w:val="auto"/>
          <w:szCs w:val="22"/>
        </w:rPr>
      </w:pPr>
      <w:r>
        <w:rPr>
          <w:rFonts w:hint="default" w:ascii="Times New Roman" w:hAnsi="Times New Roman" w:eastAsia="宋体" w:cs="Times New Roman"/>
          <w:b/>
          <w:bCs/>
          <w:color w:val="auto"/>
          <w:szCs w:val="22"/>
          <w:lang w:eastAsia="zh-CN"/>
        </w:rPr>
        <w:t>治理方案设计的治理工程</w:t>
      </w:r>
      <w:r>
        <w:rPr>
          <w:rFonts w:hint="default" w:ascii="Times New Roman" w:hAnsi="Times New Roman" w:eastAsia="宋体" w:cs="Times New Roman"/>
          <w:b/>
          <w:bCs/>
          <w:color w:val="auto"/>
          <w:szCs w:val="22"/>
        </w:rPr>
        <w:t>：</w:t>
      </w: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2"/>
          <w:lang w:eastAsia="zh-CN"/>
        </w:rPr>
      </w:pPr>
      <w:r>
        <w:rPr>
          <w:rFonts w:hint="default" w:ascii="Times New Roman" w:hAnsi="Times New Roman" w:eastAsia="宋体" w:cs="Times New Roman"/>
          <w:color w:val="auto"/>
          <w:sz w:val="24"/>
        </w:rPr>
        <w:t>2021年5月，</w:t>
      </w:r>
      <w:r>
        <w:rPr>
          <w:rFonts w:hint="default" w:ascii="Times New Roman" w:hAnsi="Times New Roman" w:eastAsia="宋体" w:cs="Times New Roman"/>
          <w:color w:val="auto"/>
          <w:sz w:val="24"/>
          <w:lang w:eastAsia="zh-CN"/>
        </w:rPr>
        <w:t>由</w:t>
      </w:r>
      <w:r>
        <w:rPr>
          <w:rFonts w:hint="default" w:ascii="Times New Roman" w:hAnsi="Times New Roman" w:eastAsia="宋体" w:cs="Times New Roman"/>
          <w:color w:val="auto"/>
          <w:sz w:val="24"/>
        </w:rPr>
        <w:t>辽宁省化工地质勘查院有限责任公司编制的《宁城县常兴矿业有限公司沸石矿矿山地质环境保护与土地复垦方案》</w:t>
      </w:r>
      <w:r>
        <w:rPr>
          <w:rFonts w:hint="default" w:ascii="Times New Roman" w:hAnsi="Times New Roman" w:eastAsia="宋体" w:cs="Times New Roman"/>
          <w:color w:val="auto"/>
          <w:sz w:val="24"/>
          <w:lang w:eastAsia="zh-CN"/>
        </w:rPr>
        <w:t>首期</w:t>
      </w:r>
      <w:r>
        <w:rPr>
          <w:rFonts w:hint="default" w:ascii="Times New Roman" w:hAnsi="Times New Roman" w:eastAsia="宋体" w:cs="Times New Roman"/>
          <w:color w:val="auto"/>
          <w:sz w:val="24"/>
          <w:szCs w:val="22"/>
          <w:lang w:eastAsia="zh-CN"/>
        </w:rPr>
        <w:t>（2021年7月1日～202</w:t>
      </w:r>
      <w:r>
        <w:rPr>
          <w:rFonts w:hint="default" w:ascii="Times New Roman" w:hAnsi="Times New Roman" w:eastAsia="宋体" w:cs="Times New Roman"/>
          <w:color w:val="auto"/>
          <w:sz w:val="24"/>
          <w:szCs w:val="22"/>
          <w:lang w:val="en-US" w:eastAsia="zh-CN"/>
        </w:rPr>
        <w:t>6</w:t>
      </w:r>
      <w:r>
        <w:rPr>
          <w:rFonts w:hint="default" w:ascii="Times New Roman" w:hAnsi="Times New Roman" w:eastAsia="宋体" w:cs="Times New Roman"/>
          <w:color w:val="auto"/>
          <w:sz w:val="24"/>
          <w:szCs w:val="22"/>
          <w:lang w:eastAsia="zh-CN"/>
        </w:rPr>
        <w:t>年6月30日）治理单元为：1#采场（拟建）、2#采场（拟建）、3#采场（拟建）、1#排土场（拟建）、2#排土场（拟建）、截洪沟（拟建）、矿石堆放场、民采坑、工业场地（堆坡）、办公生活区</w:t>
      </w:r>
      <w:r>
        <w:rPr>
          <w:rFonts w:hint="default" w:ascii="Times New Roman" w:hAnsi="Times New Roman" w:eastAsia="宋体" w:cs="Times New Roman"/>
          <w:color w:val="auto"/>
          <w:sz w:val="24"/>
          <w:szCs w:val="22"/>
          <w:lang w:val="en-US" w:eastAsia="zh-CN"/>
        </w:rPr>
        <w:t>1（堆坡）、</w:t>
      </w:r>
      <w:r>
        <w:rPr>
          <w:rFonts w:hint="default" w:ascii="Times New Roman" w:hAnsi="Times New Roman" w:eastAsia="宋体" w:cs="Times New Roman"/>
          <w:color w:val="auto"/>
          <w:sz w:val="24"/>
          <w:szCs w:val="22"/>
          <w:lang w:eastAsia="zh-CN"/>
        </w:rPr>
        <w:t>办公生活区</w:t>
      </w:r>
      <w:r>
        <w:rPr>
          <w:rFonts w:hint="default" w:ascii="Times New Roman" w:hAnsi="Times New Roman" w:eastAsia="宋体" w:cs="Times New Roman"/>
          <w:color w:val="auto"/>
          <w:sz w:val="24"/>
          <w:szCs w:val="22"/>
          <w:lang w:val="en-US" w:eastAsia="zh-CN"/>
        </w:rPr>
        <w:t>2（堆坡）、</w:t>
      </w:r>
      <w:r>
        <w:rPr>
          <w:rFonts w:hint="default" w:ascii="Times New Roman" w:hAnsi="Times New Roman" w:eastAsia="宋体" w:cs="Times New Roman"/>
          <w:color w:val="auto"/>
          <w:sz w:val="24"/>
          <w:szCs w:val="22"/>
          <w:lang w:eastAsia="zh-CN"/>
        </w:rPr>
        <w:t>钻机平台（PT1-PT9）、零散废渣堆（ZD1-ZD6）及矿区道路（部分）。矿山地质环境治理工程设计为：</w:t>
      </w:r>
    </w:p>
    <w:p>
      <w:pPr>
        <w:spacing w:line="360" w:lineRule="auto"/>
        <w:ind w:firstLine="480" w:firstLineChars="200"/>
        <w:rPr>
          <w:rFonts w:hint="eastAsia" w:ascii="宋体" w:hAnsi="宋体"/>
          <w:color w:val="auto"/>
          <w:sz w:val="24"/>
        </w:rPr>
      </w:pPr>
      <w:r>
        <w:rPr>
          <w:rFonts w:hint="eastAsia"/>
          <w:color w:val="auto"/>
          <w:sz w:val="24"/>
        </w:rPr>
        <w:t>（1）1#采场（拟建）：</w:t>
      </w:r>
      <w:r>
        <w:rPr>
          <w:color w:val="auto"/>
          <w:sz w:val="24"/>
        </w:rPr>
        <w:t>对</w:t>
      </w:r>
      <w:r>
        <w:rPr>
          <w:rFonts w:hint="eastAsia"/>
          <w:color w:val="auto"/>
          <w:sz w:val="24"/>
        </w:rPr>
        <w:t>1#采场（拟建）</w:t>
      </w:r>
      <w:r>
        <w:rPr>
          <w:color w:val="auto"/>
          <w:sz w:val="24"/>
        </w:rPr>
        <w:t>设置网围栏及警示牌，对</w:t>
      </w:r>
      <w:r>
        <w:rPr>
          <w:rFonts w:hint="eastAsia"/>
          <w:color w:val="auto"/>
          <w:sz w:val="24"/>
        </w:rPr>
        <w:t>设计</w:t>
      </w:r>
      <w:r>
        <w:rPr>
          <w:color w:val="auto"/>
          <w:sz w:val="24"/>
        </w:rPr>
        <w:t>开采区域进行表土剥离，采场边坡清除危岩体；</w:t>
      </w:r>
    </w:p>
    <w:p>
      <w:pPr>
        <w:spacing w:line="360" w:lineRule="auto"/>
        <w:ind w:firstLine="480" w:firstLineChars="200"/>
        <w:rPr>
          <w:color w:val="auto"/>
          <w:sz w:val="24"/>
        </w:rPr>
      </w:pPr>
      <w:r>
        <w:rPr>
          <w:rFonts w:hint="eastAsia"/>
          <w:color w:val="auto"/>
          <w:sz w:val="24"/>
        </w:rPr>
        <w:t>（2）2#采场（拟建）：</w:t>
      </w:r>
      <w:r>
        <w:rPr>
          <w:color w:val="auto"/>
          <w:sz w:val="24"/>
        </w:rPr>
        <w:t>对</w:t>
      </w:r>
      <w:r>
        <w:rPr>
          <w:rFonts w:hint="eastAsia"/>
          <w:color w:val="auto"/>
          <w:sz w:val="24"/>
        </w:rPr>
        <w:t>2#采场（拟建）</w:t>
      </w:r>
      <w:r>
        <w:rPr>
          <w:color w:val="auto"/>
          <w:sz w:val="24"/>
        </w:rPr>
        <w:t>（A区）设置网围栏及警示牌，对</w:t>
      </w:r>
      <w:r>
        <w:rPr>
          <w:rFonts w:hint="eastAsia"/>
          <w:color w:val="auto"/>
          <w:sz w:val="24"/>
        </w:rPr>
        <w:t>设计</w:t>
      </w:r>
      <w:r>
        <w:rPr>
          <w:color w:val="auto"/>
          <w:sz w:val="24"/>
        </w:rPr>
        <w:t>开采区域进行表土剥离，采场边坡清除危岩体；</w:t>
      </w:r>
      <w:r>
        <w:rPr>
          <w:rFonts w:hint="eastAsia"/>
          <w:color w:val="auto"/>
          <w:sz w:val="24"/>
        </w:rPr>
        <w:t>对2#采场（拟建）</w:t>
      </w:r>
      <w:r>
        <w:rPr>
          <w:color w:val="auto"/>
          <w:sz w:val="24"/>
        </w:rPr>
        <w:t>（</w:t>
      </w:r>
      <w:r>
        <w:rPr>
          <w:rFonts w:hint="eastAsia"/>
          <w:color w:val="auto"/>
          <w:sz w:val="24"/>
        </w:rPr>
        <w:t>A</w:t>
      </w:r>
      <w:r>
        <w:rPr>
          <w:color w:val="auto"/>
          <w:sz w:val="24"/>
        </w:rPr>
        <w:t>区）</w:t>
      </w:r>
      <w:r>
        <w:rPr>
          <w:rFonts w:hint="eastAsia"/>
          <w:color w:val="auto"/>
          <w:sz w:val="24"/>
        </w:rPr>
        <w:t>进行回填</w:t>
      </w:r>
      <w:r>
        <w:rPr>
          <w:color w:val="auto"/>
          <w:sz w:val="24"/>
        </w:rPr>
        <w:t>、覆土及整平、</w:t>
      </w:r>
      <w:r>
        <w:rPr>
          <w:rFonts w:hint="eastAsia"/>
          <w:color w:val="auto"/>
          <w:sz w:val="24"/>
        </w:rPr>
        <w:t>恢复植被</w:t>
      </w:r>
      <w:r>
        <w:rPr>
          <w:color w:val="auto"/>
          <w:sz w:val="24"/>
        </w:rPr>
        <w:t>；对</w:t>
      </w:r>
      <w:r>
        <w:rPr>
          <w:rFonts w:hint="eastAsia"/>
          <w:color w:val="auto"/>
          <w:sz w:val="24"/>
        </w:rPr>
        <w:t>2#采场（拟建）</w:t>
      </w:r>
      <w:r>
        <w:rPr>
          <w:color w:val="auto"/>
          <w:sz w:val="24"/>
        </w:rPr>
        <w:t>（B区）进行回填、</w:t>
      </w:r>
      <w:r>
        <w:rPr>
          <w:rFonts w:hint="eastAsia"/>
          <w:color w:val="auto"/>
          <w:sz w:val="24"/>
        </w:rPr>
        <w:t>垫坡整形</w:t>
      </w:r>
      <w:r>
        <w:rPr>
          <w:color w:val="auto"/>
          <w:sz w:val="24"/>
        </w:rPr>
        <w:t>、覆土及整平、</w:t>
      </w:r>
      <w:r>
        <w:rPr>
          <w:rFonts w:hint="eastAsia"/>
          <w:color w:val="auto"/>
          <w:sz w:val="24"/>
        </w:rPr>
        <w:t>恢复植被</w:t>
      </w:r>
      <w:r>
        <w:rPr>
          <w:color w:val="auto"/>
          <w:sz w:val="24"/>
        </w:rPr>
        <w:t>；对边坡稳定性进行监测。</w:t>
      </w:r>
    </w:p>
    <w:p>
      <w:pPr>
        <w:spacing w:line="360" w:lineRule="auto"/>
        <w:ind w:firstLine="480" w:firstLineChars="200"/>
        <w:rPr>
          <w:rFonts w:hint="eastAsia"/>
          <w:color w:val="auto"/>
          <w:sz w:val="24"/>
        </w:rPr>
      </w:pPr>
      <w:r>
        <w:rPr>
          <w:rFonts w:hint="eastAsia"/>
          <w:color w:val="auto"/>
          <w:sz w:val="24"/>
        </w:rPr>
        <w:t>（3）3#采场（拟建）：</w:t>
      </w:r>
      <w:r>
        <w:rPr>
          <w:color w:val="auto"/>
          <w:sz w:val="24"/>
        </w:rPr>
        <w:t>对</w:t>
      </w:r>
      <w:r>
        <w:rPr>
          <w:rFonts w:hint="eastAsia"/>
          <w:color w:val="auto"/>
          <w:sz w:val="24"/>
        </w:rPr>
        <w:t>3#采场（拟建）</w:t>
      </w:r>
      <w:r>
        <w:rPr>
          <w:color w:val="auto"/>
          <w:sz w:val="24"/>
        </w:rPr>
        <w:t>设置网围栏及警示牌，</w:t>
      </w:r>
      <w:r>
        <w:rPr>
          <w:rFonts w:hint="eastAsia"/>
          <w:color w:val="auto"/>
          <w:sz w:val="24"/>
        </w:rPr>
        <w:t>对拟建场地进行表土剥离</w:t>
      </w:r>
      <w:r>
        <w:rPr>
          <w:color w:val="auto"/>
          <w:sz w:val="24"/>
        </w:rPr>
        <w:t>，采场边坡清除危岩体；</w:t>
      </w:r>
    </w:p>
    <w:p>
      <w:pPr>
        <w:spacing w:line="360" w:lineRule="auto"/>
        <w:ind w:firstLine="480" w:firstLineChars="200"/>
        <w:jc w:val="left"/>
        <w:rPr>
          <w:color w:val="auto"/>
          <w:sz w:val="24"/>
        </w:rPr>
      </w:pPr>
      <w:r>
        <w:rPr>
          <w:color w:val="auto"/>
          <w:sz w:val="24"/>
        </w:rPr>
        <w:t>（</w:t>
      </w:r>
      <w:r>
        <w:rPr>
          <w:rFonts w:hint="eastAsia"/>
          <w:color w:val="auto"/>
          <w:sz w:val="24"/>
        </w:rPr>
        <w:t>4</w:t>
      </w:r>
      <w:r>
        <w:rPr>
          <w:color w:val="auto"/>
          <w:sz w:val="24"/>
        </w:rPr>
        <w:t>）</w:t>
      </w:r>
      <w:r>
        <w:rPr>
          <w:rFonts w:hint="eastAsia"/>
          <w:color w:val="auto"/>
          <w:sz w:val="24"/>
        </w:rPr>
        <w:t>矿石堆放场</w:t>
      </w:r>
      <w:r>
        <w:rPr>
          <w:color w:val="auto"/>
          <w:sz w:val="24"/>
        </w:rPr>
        <w:t>：近期</w:t>
      </w:r>
      <w:r>
        <w:rPr>
          <w:rFonts w:hint="eastAsia"/>
          <w:color w:val="auto"/>
          <w:sz w:val="24"/>
        </w:rPr>
        <w:t>对场地内堆存的矿石进行清运（出售），</w:t>
      </w:r>
      <w:r>
        <w:rPr>
          <w:color w:val="auto"/>
          <w:sz w:val="24"/>
        </w:rPr>
        <w:t>利用</w:t>
      </w:r>
      <w:r>
        <w:rPr>
          <w:rFonts w:hint="eastAsia"/>
          <w:color w:val="auto"/>
          <w:sz w:val="24"/>
        </w:rPr>
        <w:t>废渣堆内的</w:t>
      </w:r>
      <w:r>
        <w:rPr>
          <w:color w:val="auto"/>
          <w:sz w:val="24"/>
        </w:rPr>
        <w:t>废石对场地切坡进行垫坡整形，然后对场地全面进行覆土及整平、</w:t>
      </w:r>
      <w:r>
        <w:rPr>
          <w:rFonts w:hint="eastAsia"/>
          <w:color w:val="auto"/>
          <w:sz w:val="24"/>
        </w:rPr>
        <w:t>恢复旱地</w:t>
      </w:r>
      <w:r>
        <w:rPr>
          <w:color w:val="auto"/>
          <w:sz w:val="24"/>
        </w:rPr>
        <w:t>。</w:t>
      </w:r>
    </w:p>
    <w:p>
      <w:pPr>
        <w:pStyle w:val="18"/>
        <w:spacing w:line="360" w:lineRule="auto"/>
        <w:ind w:firstLine="480" w:firstLineChars="200"/>
        <w:jc w:val="left"/>
        <w:rPr>
          <w:rFonts w:ascii="Times New Roman" w:cs="Times New Roman"/>
          <w:color w:val="auto"/>
        </w:rPr>
      </w:pPr>
      <w:r>
        <w:rPr>
          <w:rFonts w:ascii="Times New Roman" w:cs="Times New Roman"/>
          <w:color w:val="auto"/>
        </w:rPr>
        <w:t>（</w:t>
      </w:r>
      <w:r>
        <w:rPr>
          <w:rFonts w:hint="eastAsia" w:ascii="Times New Roman" w:cs="Times New Roman"/>
          <w:color w:val="auto"/>
        </w:rPr>
        <w:t>5</w:t>
      </w:r>
      <w:r>
        <w:rPr>
          <w:rFonts w:ascii="Times New Roman" w:cs="Times New Roman"/>
          <w:color w:val="auto"/>
        </w:rPr>
        <w:t>）</w:t>
      </w:r>
      <w:r>
        <w:rPr>
          <w:rFonts w:hint="eastAsia" w:ascii="Times New Roman" w:cs="Times New Roman"/>
          <w:color w:val="auto"/>
        </w:rPr>
        <w:t>民采坑</w:t>
      </w:r>
      <w:r>
        <w:rPr>
          <w:rFonts w:ascii="Times New Roman" w:cs="Times New Roman"/>
          <w:color w:val="auto"/>
        </w:rPr>
        <w:t>：</w:t>
      </w:r>
      <w:r>
        <w:rPr>
          <w:rFonts w:hint="eastAsia" w:ascii="Times New Roman" w:cs="Times New Roman"/>
          <w:color w:val="auto"/>
        </w:rPr>
        <w:t>近期</w:t>
      </w:r>
      <w:r>
        <w:rPr>
          <w:color w:val="auto"/>
        </w:rPr>
        <w:t>利用</w:t>
      </w:r>
      <w:r>
        <w:rPr>
          <w:rFonts w:hint="eastAsia"/>
          <w:color w:val="auto"/>
        </w:rPr>
        <w:t>废渣</w:t>
      </w:r>
      <w:r>
        <w:rPr>
          <w:color w:val="auto"/>
        </w:rPr>
        <w:t>对场地</w:t>
      </w:r>
      <w:r>
        <w:rPr>
          <w:rFonts w:hint="eastAsia"/>
          <w:color w:val="auto"/>
        </w:rPr>
        <w:t>进行回填，场地</w:t>
      </w:r>
      <w:r>
        <w:rPr>
          <w:color w:val="auto"/>
        </w:rPr>
        <w:t>全面进行覆土</w:t>
      </w:r>
      <w:r>
        <w:rPr>
          <w:rFonts w:hint="eastAsia"/>
          <w:color w:val="auto"/>
        </w:rPr>
        <w:t>及整平</w:t>
      </w:r>
      <w:r>
        <w:rPr>
          <w:color w:val="auto"/>
        </w:rPr>
        <w:t>、</w:t>
      </w:r>
      <w:r>
        <w:rPr>
          <w:rFonts w:ascii="Times New Roman" w:cs="Times New Roman"/>
          <w:color w:val="auto"/>
        </w:rPr>
        <w:t>复垦为草地、管护。</w:t>
      </w:r>
    </w:p>
    <w:p>
      <w:pPr>
        <w:pStyle w:val="18"/>
        <w:spacing w:line="360" w:lineRule="auto"/>
        <w:ind w:firstLine="480" w:firstLineChars="200"/>
        <w:jc w:val="left"/>
        <w:rPr>
          <w:rFonts w:hint="eastAsia" w:ascii="Times New Roman" w:cs="Times New Roman"/>
          <w:color w:val="auto"/>
        </w:rPr>
      </w:pPr>
      <w:r>
        <w:rPr>
          <w:rFonts w:hint="eastAsia" w:ascii="Times New Roman" w:cs="Times New Roman"/>
          <w:color w:val="auto"/>
        </w:rPr>
        <w:t>（6）钻机平台（PT1-PT9）：</w:t>
      </w:r>
      <w:r>
        <w:rPr>
          <w:rFonts w:ascii="Times New Roman" w:cs="Times New Roman"/>
          <w:color w:val="auto"/>
        </w:rPr>
        <w:t>近期</w:t>
      </w:r>
      <w:r>
        <w:rPr>
          <w:rFonts w:hint="eastAsia" w:ascii="Times New Roman" w:cs="Times New Roman"/>
          <w:color w:val="auto"/>
        </w:rPr>
        <w:t>对场地</w:t>
      </w:r>
      <w:r>
        <w:rPr>
          <w:rFonts w:ascii="Times New Roman" w:cs="Times New Roman"/>
          <w:color w:val="auto"/>
        </w:rPr>
        <w:t>切坡进行垫坡整形，对场地进行覆土及整平、植被恢复、管护。</w:t>
      </w:r>
    </w:p>
    <w:p>
      <w:pPr>
        <w:pStyle w:val="18"/>
        <w:spacing w:line="360" w:lineRule="auto"/>
        <w:ind w:firstLine="480" w:firstLineChars="200"/>
        <w:jc w:val="left"/>
        <w:rPr>
          <w:rFonts w:hint="eastAsia" w:ascii="Times New Roman" w:cs="Times New Roman"/>
          <w:color w:val="auto"/>
        </w:rPr>
      </w:pPr>
      <w:r>
        <w:rPr>
          <w:rFonts w:hint="eastAsia" w:ascii="Times New Roman" w:cs="Times New Roman"/>
          <w:color w:val="auto"/>
        </w:rPr>
        <w:t>（7）零散废渣堆（ZD1-ZD6）：</w:t>
      </w:r>
      <w:r>
        <w:rPr>
          <w:rFonts w:ascii="Times New Roman" w:cs="Times New Roman"/>
          <w:color w:val="auto"/>
        </w:rPr>
        <w:t>近期</w:t>
      </w:r>
      <w:r>
        <w:rPr>
          <w:rFonts w:hint="eastAsia" w:ascii="Times New Roman" w:cs="Times New Roman"/>
          <w:color w:val="auto"/>
        </w:rPr>
        <w:t>对场地内废渣进行清运至1#排土场统一堆放</w:t>
      </w:r>
      <w:r>
        <w:rPr>
          <w:rFonts w:ascii="Times New Roman" w:cs="Times New Roman"/>
          <w:color w:val="auto"/>
        </w:rPr>
        <w:t>，对</w:t>
      </w:r>
      <w:r>
        <w:rPr>
          <w:rFonts w:hint="eastAsia" w:ascii="Times New Roman" w:cs="Times New Roman"/>
          <w:color w:val="auto"/>
        </w:rPr>
        <w:t>清运后的</w:t>
      </w:r>
      <w:r>
        <w:rPr>
          <w:rFonts w:ascii="Times New Roman" w:cs="Times New Roman"/>
          <w:color w:val="auto"/>
        </w:rPr>
        <w:t>场地进行覆土及整平、植被恢复、管护。</w:t>
      </w:r>
    </w:p>
    <w:p>
      <w:pPr>
        <w:pStyle w:val="18"/>
        <w:spacing w:line="360" w:lineRule="auto"/>
        <w:ind w:firstLine="480" w:firstLineChars="200"/>
        <w:jc w:val="left"/>
        <w:rPr>
          <w:rFonts w:hint="eastAsia" w:ascii="Times New Roman" w:cs="Times New Roman"/>
          <w:color w:val="auto"/>
        </w:rPr>
      </w:pPr>
      <w:r>
        <w:rPr>
          <w:rFonts w:hint="eastAsia" w:ascii="Times New Roman" w:cs="Times New Roman"/>
          <w:color w:val="auto"/>
        </w:rPr>
        <w:t>（8）工业场地：</w:t>
      </w:r>
      <w:r>
        <w:rPr>
          <w:rFonts w:hint="eastAsia"/>
          <w:color w:val="auto"/>
        </w:rPr>
        <w:t>近期对场地形成的堆坡进行清运。</w:t>
      </w:r>
      <w:r>
        <w:rPr>
          <w:rFonts w:ascii="Times New Roman" w:cs="Times New Roman"/>
          <w:color w:val="auto"/>
        </w:rPr>
        <w:t>对</w:t>
      </w:r>
      <w:r>
        <w:rPr>
          <w:rFonts w:hint="eastAsia" w:ascii="Times New Roman" w:cs="Times New Roman"/>
          <w:color w:val="auto"/>
        </w:rPr>
        <w:t>清运后的</w:t>
      </w:r>
      <w:r>
        <w:rPr>
          <w:rFonts w:ascii="Times New Roman" w:cs="Times New Roman"/>
          <w:color w:val="auto"/>
        </w:rPr>
        <w:t>场地进行覆土及整平、植被恢复、管护。</w:t>
      </w:r>
    </w:p>
    <w:p>
      <w:pPr>
        <w:pStyle w:val="18"/>
        <w:spacing w:line="360" w:lineRule="auto"/>
        <w:ind w:firstLine="480" w:firstLineChars="200"/>
        <w:jc w:val="left"/>
        <w:rPr>
          <w:rFonts w:ascii="Times New Roman" w:cs="Times New Roman"/>
          <w:color w:val="auto"/>
        </w:rPr>
      </w:pPr>
      <w:r>
        <w:rPr>
          <w:rFonts w:hint="eastAsia" w:ascii="Times New Roman" w:cs="Times New Roman"/>
          <w:color w:val="auto"/>
        </w:rPr>
        <w:t>（9）办公生活区1：</w:t>
      </w:r>
      <w:r>
        <w:rPr>
          <w:rFonts w:hint="eastAsia"/>
          <w:color w:val="auto"/>
        </w:rPr>
        <w:t>近期对场地形成的堆坡进行清运。</w:t>
      </w:r>
      <w:r>
        <w:rPr>
          <w:rFonts w:ascii="Times New Roman" w:cs="Times New Roman"/>
          <w:color w:val="auto"/>
        </w:rPr>
        <w:t>对</w:t>
      </w:r>
      <w:r>
        <w:rPr>
          <w:rFonts w:hint="eastAsia" w:ascii="Times New Roman" w:cs="Times New Roman"/>
          <w:color w:val="auto"/>
        </w:rPr>
        <w:t>清运后的</w:t>
      </w:r>
      <w:r>
        <w:rPr>
          <w:rFonts w:ascii="Times New Roman" w:cs="Times New Roman"/>
          <w:color w:val="auto"/>
        </w:rPr>
        <w:t>场地进行覆土及整平、</w:t>
      </w:r>
      <w:r>
        <w:rPr>
          <w:rFonts w:hint="eastAsia" w:ascii="Times New Roman" w:cs="Times New Roman"/>
          <w:color w:val="auto"/>
        </w:rPr>
        <w:t>恢复耕地</w:t>
      </w:r>
      <w:r>
        <w:rPr>
          <w:rFonts w:ascii="Times New Roman" w:cs="Times New Roman"/>
          <w:color w:val="auto"/>
        </w:rPr>
        <w:t>。</w:t>
      </w:r>
    </w:p>
    <w:p>
      <w:pPr>
        <w:pStyle w:val="18"/>
        <w:spacing w:line="360" w:lineRule="auto"/>
        <w:ind w:firstLine="480" w:firstLineChars="200"/>
        <w:jc w:val="left"/>
        <w:rPr>
          <w:rFonts w:ascii="Times New Roman" w:cs="Times New Roman"/>
          <w:color w:val="auto"/>
        </w:rPr>
      </w:pPr>
      <w:r>
        <w:rPr>
          <w:rFonts w:hint="eastAsia" w:ascii="Times New Roman" w:cs="Times New Roman"/>
          <w:color w:val="auto"/>
        </w:rPr>
        <w:t>（10）办公生活区2：</w:t>
      </w:r>
      <w:r>
        <w:rPr>
          <w:rFonts w:hint="eastAsia"/>
          <w:color w:val="auto"/>
        </w:rPr>
        <w:t>近期对场地形成的堆坡进行修坡整形，</w:t>
      </w:r>
      <w:r>
        <w:rPr>
          <w:rFonts w:ascii="Times New Roman" w:cs="Times New Roman"/>
          <w:color w:val="auto"/>
        </w:rPr>
        <w:t>对</w:t>
      </w:r>
      <w:r>
        <w:rPr>
          <w:rFonts w:hint="eastAsia" w:ascii="Times New Roman" w:cs="Times New Roman"/>
          <w:color w:val="auto"/>
        </w:rPr>
        <w:t>整形后的</w:t>
      </w:r>
      <w:r>
        <w:rPr>
          <w:rFonts w:ascii="Times New Roman" w:cs="Times New Roman"/>
          <w:color w:val="auto"/>
        </w:rPr>
        <w:t>场地进行覆土及整平、</w:t>
      </w:r>
      <w:r>
        <w:rPr>
          <w:rFonts w:hint="eastAsia" w:ascii="Times New Roman" w:cs="Times New Roman"/>
          <w:color w:val="auto"/>
        </w:rPr>
        <w:t>恢复耕地</w:t>
      </w:r>
      <w:r>
        <w:rPr>
          <w:rFonts w:ascii="Times New Roman" w:cs="Times New Roman"/>
          <w:color w:val="auto"/>
        </w:rPr>
        <w:t>。</w:t>
      </w:r>
    </w:p>
    <w:p>
      <w:pPr>
        <w:pStyle w:val="18"/>
        <w:spacing w:line="360" w:lineRule="auto"/>
        <w:ind w:firstLine="480" w:firstLineChars="200"/>
        <w:jc w:val="left"/>
        <w:rPr>
          <w:rFonts w:ascii="Times New Roman" w:cs="Times New Roman"/>
          <w:color w:val="auto"/>
        </w:rPr>
      </w:pPr>
      <w:r>
        <w:rPr>
          <w:rFonts w:hint="eastAsia" w:ascii="Times New Roman" w:cs="Times New Roman"/>
          <w:color w:val="auto"/>
        </w:rPr>
        <w:t>（11）</w:t>
      </w:r>
      <w:r>
        <w:rPr>
          <w:color w:val="auto"/>
        </w:rPr>
        <w:t>矿区道路</w:t>
      </w:r>
      <w:r>
        <w:rPr>
          <w:rFonts w:hint="eastAsia"/>
          <w:color w:val="auto"/>
        </w:rPr>
        <w:t>：近期对</w:t>
      </w:r>
      <w:r>
        <w:rPr>
          <w:rFonts w:ascii="Times New Roman" w:cs="Times New Roman"/>
          <w:color w:val="auto"/>
        </w:rPr>
        <w:t>不在利用的矿区道路及道路切坡进行垫坡整形，对场地进行覆土及整平、植被恢复、管护。</w:t>
      </w:r>
    </w:p>
    <w:p>
      <w:pPr>
        <w:pStyle w:val="5"/>
        <w:keepNext w:val="0"/>
        <w:keepLines w:val="0"/>
        <w:pageBreakBefore w:val="0"/>
        <w:widowControl w:val="0"/>
        <w:kinsoku/>
        <w:wordWrap/>
        <w:overflowPunct/>
        <w:topLinePunct w:val="0"/>
        <w:bidi w:val="0"/>
        <w:adjustRightInd w:val="0"/>
        <w:spacing w:after="0"/>
        <w:ind w:left="0" w:leftChars="0" w:firstLine="480" w:firstLineChars="200"/>
        <w:jc w:val="left"/>
        <w:textAlignment w:val="auto"/>
        <w:rPr>
          <w:rFonts w:hint="eastAsia" w:ascii="Times New Roman" w:hAnsi="Times New Roman" w:eastAsia="宋体" w:cs="Times New Roman"/>
          <w:color w:val="FF0000"/>
          <w:lang w:eastAsia="zh-CN"/>
        </w:rPr>
      </w:pPr>
      <w:r>
        <w:rPr>
          <w:rFonts w:ascii="Times New Roman" w:cs="Times New Roman"/>
          <w:color w:val="auto"/>
        </w:rPr>
        <w:t>（1</w:t>
      </w:r>
      <w:r>
        <w:rPr>
          <w:rFonts w:hint="eastAsia" w:ascii="Times New Roman" w:cs="Times New Roman"/>
          <w:color w:val="auto"/>
        </w:rPr>
        <w:t>2</w:t>
      </w:r>
      <w:r>
        <w:rPr>
          <w:rFonts w:ascii="Times New Roman" w:cs="Times New Roman"/>
          <w:color w:val="auto"/>
        </w:rPr>
        <w:t>）完善前期治理区：</w:t>
      </w:r>
      <w:r>
        <w:rPr>
          <w:rStyle w:val="37"/>
          <w:rFonts w:eastAsia="宋体" w:cs="Times New Roman"/>
          <w:color w:val="auto"/>
        </w:rPr>
        <w:t>近期对前期治理区进行</w:t>
      </w:r>
      <w:r>
        <w:rPr>
          <w:rFonts w:ascii="Times New Roman" w:cs="Times New Roman"/>
          <w:color w:val="auto"/>
        </w:rPr>
        <w:t>撒播种草、管护。</w:t>
      </w:r>
    </w:p>
    <w:p>
      <w:pPr>
        <w:tabs>
          <w:tab w:val="left" w:pos="1300"/>
        </w:tabs>
        <w:spacing w:line="360" w:lineRule="auto"/>
        <w:ind w:firstLine="482"/>
        <w:jc w:val="center"/>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表2-</w:t>
      </w:r>
      <w:r>
        <w:rPr>
          <w:rFonts w:hint="eastAsia" w:cs="Times New Roman"/>
          <w:b/>
          <w:bCs w:val="0"/>
          <w:color w:val="auto"/>
          <w:kern w:val="2"/>
          <w:sz w:val="21"/>
          <w:szCs w:val="21"/>
          <w:lang w:val="en-US" w:eastAsia="zh-CN" w:bidi="ar-SA"/>
        </w:rPr>
        <w:t>3</w:t>
      </w:r>
      <w:r>
        <w:rPr>
          <w:rFonts w:hint="default" w:ascii="Times New Roman" w:hAnsi="Times New Roman" w:eastAsia="宋体" w:cs="Times New Roman"/>
          <w:b/>
          <w:bCs w:val="0"/>
          <w:color w:val="auto"/>
          <w:kern w:val="2"/>
          <w:sz w:val="21"/>
          <w:szCs w:val="21"/>
          <w:lang w:val="en-US" w:eastAsia="zh-CN" w:bidi="ar-SA"/>
        </w:rPr>
        <w:t xml:space="preserve">  治理方案</w:t>
      </w:r>
      <w:r>
        <w:rPr>
          <w:rFonts w:hint="eastAsia" w:cs="Times New Roman"/>
          <w:b/>
          <w:bCs w:val="0"/>
          <w:color w:val="auto"/>
          <w:kern w:val="2"/>
          <w:sz w:val="21"/>
          <w:szCs w:val="21"/>
          <w:lang w:val="en-US" w:eastAsia="zh-CN" w:bidi="ar-SA"/>
        </w:rPr>
        <w:t>首期</w:t>
      </w:r>
      <w:r>
        <w:rPr>
          <w:rFonts w:hint="default" w:ascii="Times New Roman" w:hAnsi="Times New Roman" w:eastAsia="宋体" w:cs="Times New Roman"/>
          <w:b/>
          <w:bCs w:val="0"/>
          <w:color w:val="auto"/>
          <w:kern w:val="2"/>
          <w:sz w:val="21"/>
          <w:szCs w:val="21"/>
          <w:lang w:val="en-US" w:eastAsia="zh-CN" w:bidi="ar-SA"/>
        </w:rPr>
        <w:t>治理工程</w:t>
      </w:r>
    </w:p>
    <w:p>
      <w:pPr>
        <w:pStyle w:val="19"/>
        <w:spacing w:line="240" w:lineRule="auto"/>
        <w:ind w:firstLine="0" w:firstLineChars="0"/>
        <w:jc w:val="center"/>
        <w:rPr>
          <w:rFonts w:hint="eastAsia" w:ascii="黑体" w:hAnsi="黑体" w:eastAsia="黑体" w:cs="黑体"/>
          <w:color w:val="auto"/>
          <w:sz w:val="24"/>
        </w:rPr>
      </w:pPr>
      <w:r>
        <w:rPr>
          <w:rFonts w:hint="eastAsia" w:ascii="黑体" w:hAnsi="黑体" w:eastAsia="黑体" w:cs="黑体"/>
          <w:color w:val="auto"/>
          <w:sz w:val="24"/>
        </w:rPr>
        <w:t>表6-14  矿山地质环境治理工程进度表</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106"/>
        <w:gridCol w:w="2608"/>
        <w:gridCol w:w="1919"/>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39"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治理分期</w:t>
            </w:r>
          </w:p>
        </w:tc>
        <w:tc>
          <w:tcPr>
            <w:tcW w:w="1253"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治理时限（年）</w:t>
            </w:r>
          </w:p>
        </w:tc>
        <w:tc>
          <w:tcPr>
            <w:tcW w:w="2638" w:type="pct"/>
            <w:gridSpan w:val="2"/>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治理工程场地</w:t>
            </w:r>
          </w:p>
        </w:tc>
        <w:tc>
          <w:tcPr>
            <w:tcW w:w="56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治理工程量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2638" w:type="pct"/>
            <w:gridSpan w:val="2"/>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56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近期</w:t>
            </w:r>
          </w:p>
        </w:tc>
        <w:tc>
          <w:tcPr>
            <w:tcW w:w="1253"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2021.</w:t>
            </w:r>
            <w:r>
              <w:rPr>
                <w:rFonts w:hint="eastAsia"/>
                <w:color w:val="auto"/>
                <w:kern w:val="0"/>
                <w:sz w:val="21"/>
                <w:szCs w:val="21"/>
                <w:lang w:bidi="ar"/>
              </w:rPr>
              <w:t>7</w:t>
            </w:r>
            <w:r>
              <w:rPr>
                <w:color w:val="auto"/>
                <w:kern w:val="0"/>
                <w:sz w:val="21"/>
                <w:szCs w:val="21"/>
                <w:lang w:bidi="ar"/>
              </w:rPr>
              <w:t>.1-202</w:t>
            </w:r>
            <w:r>
              <w:rPr>
                <w:rFonts w:hint="eastAsia"/>
                <w:color w:val="auto"/>
                <w:kern w:val="0"/>
                <w:sz w:val="21"/>
                <w:szCs w:val="21"/>
                <w:lang w:bidi="ar"/>
              </w:rPr>
              <w:t>2.6.30</w:t>
            </w: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表土剥离（m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警示牌（块）</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网围栏（m）</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表土剥离（m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警示牌（块）</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网围栏（m）</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表土剥离（m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警示牌（块）</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网围栏（m）</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民采坑</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回填</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r>
              <w:rPr>
                <w:rFonts w:hint="eastAsia"/>
                <w:color w:val="auto"/>
                <w:kern w:val="0"/>
                <w:sz w:val="21"/>
                <w:szCs w:val="21"/>
                <w:lang w:bidi="ar"/>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零散废渣堆（</w:t>
            </w:r>
            <w:r>
              <w:rPr>
                <w:color w:val="auto"/>
                <w:kern w:val="0"/>
                <w:sz w:val="21"/>
                <w:szCs w:val="21"/>
                <w:lang w:bidi="ar"/>
              </w:rPr>
              <w:t>ZD1-ZD6</w:t>
            </w:r>
            <w:r>
              <w:rPr>
                <w:rFonts w:hint="eastAsia" w:ascii="宋体" w:hAnsi="宋体" w:cs="宋体"/>
                <w:color w:val="auto"/>
                <w:kern w:val="0"/>
                <w:sz w:val="21"/>
                <w:szCs w:val="21"/>
                <w:lang w:bidi="ar"/>
              </w:rPr>
              <w:t>）</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color w:val="auto"/>
                <w:kern w:val="0"/>
                <w:sz w:val="21"/>
                <w:szCs w:val="21"/>
                <w:lang w:bidi="ar"/>
              </w:rPr>
              <w:t>清运（m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r>
              <w:rPr>
                <w:rFonts w:hint="eastAsia" w:ascii="宋体" w:hAnsi="宋体" w:cs="宋体"/>
                <w:color w:val="auto"/>
                <w:sz w:val="21"/>
                <w:szCs w:val="21"/>
              </w:rPr>
              <w:t>完善前期治理区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栽植松树</w:t>
            </w:r>
            <w:r>
              <w:rPr>
                <w:color w:val="auto"/>
                <w:kern w:val="0"/>
                <w:sz w:val="21"/>
                <w:szCs w:val="21"/>
                <w:lang w:bidi="ar"/>
              </w:rPr>
              <w:t>（</w:t>
            </w:r>
            <w:r>
              <w:rPr>
                <w:rFonts w:hint="eastAsia" w:ascii="宋体" w:hAnsi="宋体" w:cs="宋体"/>
                <w:color w:val="auto"/>
                <w:kern w:val="0"/>
                <w:sz w:val="21"/>
                <w:szCs w:val="21"/>
                <w:lang w:bidi="ar"/>
              </w:rPr>
              <w:t>株</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3903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2022.</w:t>
            </w:r>
            <w:r>
              <w:rPr>
                <w:rFonts w:hint="eastAsia"/>
                <w:color w:val="auto"/>
                <w:kern w:val="0"/>
                <w:sz w:val="21"/>
                <w:szCs w:val="21"/>
                <w:lang w:bidi="ar"/>
              </w:rPr>
              <w:t>7</w:t>
            </w:r>
            <w:r>
              <w:rPr>
                <w:color w:val="auto"/>
                <w:kern w:val="0"/>
                <w:sz w:val="21"/>
                <w:szCs w:val="21"/>
                <w:lang w:bidi="ar"/>
              </w:rPr>
              <w:t>.1-202</w:t>
            </w:r>
            <w:r>
              <w:rPr>
                <w:rFonts w:hint="eastAsia"/>
                <w:color w:val="auto"/>
                <w:kern w:val="0"/>
                <w:sz w:val="21"/>
                <w:szCs w:val="21"/>
                <w:lang w:bidi="ar"/>
              </w:rPr>
              <w:t>3</w:t>
            </w:r>
            <w:r>
              <w:rPr>
                <w:color w:val="auto"/>
                <w:kern w:val="0"/>
                <w:sz w:val="21"/>
                <w:szCs w:val="21"/>
                <w:lang w:bidi="ar"/>
              </w:rPr>
              <w:t>.</w:t>
            </w:r>
            <w:r>
              <w:rPr>
                <w:rFonts w:hint="eastAsia"/>
                <w:color w:val="auto"/>
                <w:kern w:val="0"/>
                <w:sz w:val="21"/>
                <w:szCs w:val="21"/>
                <w:lang w:bidi="ar"/>
              </w:rPr>
              <w:t>6.30</w:t>
            </w: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栽植松树</w:t>
            </w:r>
            <w:r>
              <w:rPr>
                <w:color w:val="auto"/>
                <w:kern w:val="0"/>
                <w:sz w:val="21"/>
                <w:szCs w:val="21"/>
                <w:lang w:bidi="ar"/>
              </w:rPr>
              <w:t>（</w:t>
            </w:r>
            <w:r>
              <w:rPr>
                <w:rFonts w:hint="eastAsia" w:ascii="宋体" w:hAnsi="宋体" w:cs="宋体"/>
                <w:color w:val="auto"/>
                <w:kern w:val="0"/>
                <w:sz w:val="21"/>
                <w:szCs w:val="21"/>
                <w:lang w:bidi="ar"/>
              </w:rPr>
              <w:t>株</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r>
              <w:rPr>
                <w:rFonts w:hint="eastAsia"/>
                <w:color w:val="auto"/>
                <w:sz w:val="21"/>
                <w:szCs w:val="21"/>
              </w:rPr>
              <w:t>工业场地</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清运</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覆土</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办公生活区1</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清运</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覆土</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办公生活区2</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修坡整形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ascii="宋体" w:hAnsi="宋体" w:cs="宋体"/>
                <w:color w:val="auto"/>
                <w:kern w:val="0"/>
                <w:sz w:val="21"/>
                <w:szCs w:val="21"/>
                <w:lang w:bidi="ar"/>
              </w:rPr>
              <w:t>覆土</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钻机平台（</w:t>
            </w:r>
            <w:r>
              <w:rPr>
                <w:color w:val="auto"/>
                <w:kern w:val="0"/>
                <w:sz w:val="21"/>
                <w:szCs w:val="21"/>
                <w:lang w:bidi="ar"/>
              </w:rPr>
              <w:t>PT1-PT9</w:t>
            </w:r>
            <w:r>
              <w:rPr>
                <w:rFonts w:hint="eastAsia" w:ascii="宋体" w:hAnsi="宋体" w:cs="宋体"/>
                <w:color w:val="auto"/>
                <w:kern w:val="0"/>
                <w:sz w:val="21"/>
                <w:szCs w:val="21"/>
                <w:lang w:bidi="ar"/>
              </w:rPr>
              <w:t>）</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2023.</w:t>
            </w:r>
            <w:r>
              <w:rPr>
                <w:rFonts w:hint="eastAsia"/>
                <w:color w:val="auto"/>
                <w:kern w:val="0"/>
                <w:sz w:val="21"/>
                <w:szCs w:val="21"/>
                <w:lang w:bidi="ar"/>
              </w:rPr>
              <w:t>7</w:t>
            </w:r>
            <w:r>
              <w:rPr>
                <w:color w:val="auto"/>
                <w:kern w:val="0"/>
                <w:sz w:val="21"/>
                <w:szCs w:val="21"/>
                <w:lang w:bidi="ar"/>
              </w:rPr>
              <w:t>.1-202</w:t>
            </w:r>
            <w:r>
              <w:rPr>
                <w:rFonts w:hint="eastAsia"/>
                <w:color w:val="auto"/>
                <w:kern w:val="0"/>
                <w:sz w:val="21"/>
                <w:szCs w:val="21"/>
                <w:lang w:bidi="ar"/>
              </w:rPr>
              <w:t>4</w:t>
            </w:r>
            <w:r>
              <w:rPr>
                <w:color w:val="auto"/>
                <w:kern w:val="0"/>
                <w:sz w:val="21"/>
                <w:szCs w:val="21"/>
                <w:lang w:bidi="ar"/>
              </w:rPr>
              <w:t>.</w:t>
            </w:r>
            <w:r>
              <w:rPr>
                <w:rFonts w:hint="eastAsia"/>
                <w:color w:val="auto"/>
                <w:kern w:val="0"/>
                <w:sz w:val="21"/>
                <w:szCs w:val="21"/>
                <w:lang w:bidi="ar"/>
              </w:rPr>
              <w:t>6.30</w:t>
            </w: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采场（拟建）（</w:t>
            </w:r>
            <w:r>
              <w:rPr>
                <w:color w:val="auto"/>
                <w:kern w:val="0"/>
                <w:sz w:val="21"/>
                <w:szCs w:val="21"/>
                <w:lang w:bidi="ar"/>
              </w:rPr>
              <w:t>A</w:t>
            </w:r>
            <w:r>
              <w:rPr>
                <w:rFonts w:hint="eastAsia" w:ascii="宋体" w:hAnsi="宋体" w:cs="宋体"/>
                <w:color w:val="auto"/>
                <w:kern w:val="0"/>
                <w:sz w:val="21"/>
                <w:szCs w:val="21"/>
                <w:lang w:bidi="ar"/>
              </w:rPr>
              <w:t>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采场（拟建）（</w:t>
            </w:r>
            <w:r>
              <w:rPr>
                <w:color w:val="auto"/>
                <w:kern w:val="0"/>
                <w:sz w:val="21"/>
                <w:szCs w:val="21"/>
                <w:lang w:bidi="ar"/>
              </w:rPr>
              <w:t>B</w:t>
            </w:r>
            <w:r>
              <w:rPr>
                <w:rFonts w:hint="eastAsia" w:ascii="宋体" w:hAnsi="宋体" w:cs="宋体"/>
                <w:color w:val="auto"/>
                <w:kern w:val="0"/>
                <w:sz w:val="21"/>
                <w:szCs w:val="21"/>
                <w:lang w:bidi="ar"/>
              </w:rPr>
              <w:t>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回填（</w:t>
            </w:r>
            <w:r>
              <w:rPr>
                <w:color w:val="auto"/>
                <w:kern w:val="0"/>
                <w:sz w:val="21"/>
                <w:szCs w:val="21"/>
                <w:lang w:bidi="ar"/>
              </w:rPr>
              <w:t>m</w:t>
            </w:r>
            <w:r>
              <w:rPr>
                <w:color w:val="auto"/>
                <w:kern w:val="0"/>
                <w:sz w:val="21"/>
                <w:szCs w:val="21"/>
                <w:vertAlign w:val="superscript"/>
                <w:lang w:bidi="ar"/>
              </w:rPr>
              <w:t>3</w:t>
            </w:r>
            <w:r>
              <w:rPr>
                <w:rFonts w:hint="eastAsia" w:ascii="宋体" w:hAnsi="宋体" w:cs="宋体"/>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石方整平（</w:t>
            </w:r>
            <w:r>
              <w:rPr>
                <w:color w:val="auto"/>
                <w:kern w:val="0"/>
                <w:sz w:val="21"/>
                <w:szCs w:val="21"/>
                <w:lang w:bidi="ar"/>
              </w:rPr>
              <w:t>m</w:t>
            </w:r>
            <w:r>
              <w:rPr>
                <w:color w:val="auto"/>
                <w:kern w:val="0"/>
                <w:sz w:val="21"/>
                <w:szCs w:val="21"/>
                <w:vertAlign w:val="superscript"/>
                <w:lang w:bidi="ar"/>
              </w:rPr>
              <w:t>3</w:t>
            </w:r>
            <w:r>
              <w:rPr>
                <w:rFonts w:hint="eastAsia" w:ascii="宋体" w:hAnsi="宋体" w:cs="宋体"/>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rFonts w:hint="eastAsia" w:ascii="宋体" w:hAnsi="宋体" w:cs="宋体"/>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color w:val="auto"/>
                <w:kern w:val="0"/>
                <w:sz w:val="21"/>
                <w:szCs w:val="21"/>
                <w:lang w:bidi="ar"/>
              </w:rPr>
              <w:t>栽植松树</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ascii="宋体" w:hAnsi="宋体" w:cs="宋体"/>
                <w:color w:val="auto"/>
                <w:sz w:val="21"/>
                <w:szCs w:val="21"/>
              </w:rPr>
            </w:pPr>
            <w:r>
              <w:rPr>
                <w:rFonts w:hint="eastAsia" w:ascii="宋体" w:hAnsi="宋体" w:cs="宋体"/>
                <w:color w:val="auto"/>
                <w:sz w:val="21"/>
                <w:szCs w:val="21"/>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矿石堆放场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清运（m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17900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2024.</w:t>
            </w:r>
            <w:r>
              <w:rPr>
                <w:rFonts w:hint="eastAsia"/>
                <w:color w:val="auto"/>
                <w:kern w:val="0"/>
                <w:sz w:val="21"/>
                <w:szCs w:val="21"/>
                <w:lang w:bidi="ar"/>
              </w:rPr>
              <w:t>7</w:t>
            </w:r>
            <w:r>
              <w:rPr>
                <w:color w:val="auto"/>
                <w:kern w:val="0"/>
                <w:sz w:val="21"/>
                <w:szCs w:val="21"/>
                <w:lang w:bidi="ar"/>
              </w:rPr>
              <w:t>.1-202</w:t>
            </w:r>
            <w:r>
              <w:rPr>
                <w:rFonts w:hint="eastAsia"/>
                <w:color w:val="auto"/>
                <w:kern w:val="0"/>
                <w:sz w:val="21"/>
                <w:szCs w:val="21"/>
                <w:lang w:bidi="ar"/>
              </w:rPr>
              <w:t>5</w:t>
            </w:r>
            <w:r>
              <w:rPr>
                <w:color w:val="auto"/>
                <w:kern w:val="0"/>
                <w:sz w:val="21"/>
                <w:szCs w:val="21"/>
                <w:lang w:bidi="ar"/>
              </w:rPr>
              <w:t>.</w:t>
            </w:r>
            <w:r>
              <w:rPr>
                <w:rFonts w:hint="eastAsia"/>
                <w:color w:val="auto"/>
                <w:kern w:val="0"/>
                <w:sz w:val="21"/>
                <w:szCs w:val="21"/>
                <w:lang w:bidi="ar"/>
              </w:rPr>
              <w:t>6.30</w:t>
            </w: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ascii="宋体" w:hAnsi="宋体" w:cs="宋体"/>
                <w:color w:val="auto"/>
                <w:sz w:val="21"/>
                <w:szCs w:val="21"/>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color w:val="auto"/>
                <w:kern w:val="0"/>
                <w:sz w:val="21"/>
                <w:szCs w:val="21"/>
                <w:lang w:bidi="ar"/>
              </w:rPr>
              <w:t>栽植松树</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ascii="宋体" w:hAnsi="宋体" w:cs="宋体"/>
                <w:color w:val="auto"/>
                <w:sz w:val="21"/>
                <w:szCs w:val="21"/>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2025.</w:t>
            </w:r>
            <w:r>
              <w:rPr>
                <w:rFonts w:hint="eastAsia"/>
                <w:color w:val="auto"/>
                <w:kern w:val="0"/>
                <w:sz w:val="21"/>
                <w:szCs w:val="21"/>
                <w:lang w:bidi="ar"/>
              </w:rPr>
              <w:t>7</w:t>
            </w:r>
            <w:r>
              <w:rPr>
                <w:color w:val="auto"/>
                <w:kern w:val="0"/>
                <w:sz w:val="21"/>
                <w:szCs w:val="21"/>
                <w:lang w:bidi="ar"/>
              </w:rPr>
              <w:t>.1-202</w:t>
            </w:r>
            <w:r>
              <w:rPr>
                <w:rFonts w:hint="eastAsia"/>
                <w:color w:val="auto"/>
                <w:kern w:val="0"/>
                <w:sz w:val="21"/>
                <w:szCs w:val="21"/>
                <w:lang w:bidi="ar"/>
              </w:rPr>
              <w:t>6.6.30</w:t>
            </w:r>
          </w:p>
        </w:tc>
        <w:tc>
          <w:tcPr>
            <w:tcW w:w="154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采场（拟建）（</w:t>
            </w:r>
            <w:r>
              <w:rPr>
                <w:color w:val="auto"/>
                <w:kern w:val="0"/>
                <w:sz w:val="21"/>
                <w:szCs w:val="21"/>
                <w:lang w:bidi="ar"/>
              </w:rPr>
              <w:t>A</w:t>
            </w:r>
            <w:r>
              <w:rPr>
                <w:rFonts w:hint="eastAsia" w:ascii="宋体" w:hAnsi="宋体" w:cs="宋体"/>
                <w:color w:val="auto"/>
                <w:kern w:val="0"/>
                <w:sz w:val="21"/>
                <w:szCs w:val="21"/>
                <w:lang w:bidi="ar"/>
              </w:rPr>
              <w:t>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回填</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34580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石方整平（</w:t>
            </w:r>
            <w:r>
              <w:rPr>
                <w:color w:val="auto"/>
                <w:kern w:val="0"/>
                <w:sz w:val="21"/>
                <w:szCs w:val="21"/>
                <w:lang w:bidi="ar"/>
              </w:rPr>
              <w:t>m</w:t>
            </w:r>
            <w:r>
              <w:rPr>
                <w:color w:val="auto"/>
                <w:kern w:val="0"/>
                <w:sz w:val="21"/>
                <w:szCs w:val="21"/>
                <w:vertAlign w:val="superscript"/>
                <w:lang w:bidi="ar"/>
              </w:rPr>
              <w:t>3</w:t>
            </w:r>
            <w:r>
              <w:rPr>
                <w:rFonts w:hint="eastAsia" w:ascii="宋体" w:hAnsi="宋体" w:cs="宋体"/>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4638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r>
              <w:rPr>
                <w:rFonts w:hint="eastAsia" w:ascii="宋体" w:hAnsi="宋体" w:cs="宋体"/>
                <w:color w:val="auto"/>
                <w:kern w:val="0"/>
                <w:sz w:val="21"/>
                <w:szCs w:val="21"/>
                <w:lang w:bidi="ar"/>
              </w:rPr>
              <w:t>采场（拟建）</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清理危岩体</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ascii="宋体" w:hAnsi="宋体" w:cs="宋体"/>
                <w:color w:val="auto"/>
                <w:sz w:val="21"/>
                <w:szCs w:val="21"/>
              </w:rPr>
              <w:t>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rFonts w:hint="eastAsia"/>
                <w:color w:val="auto"/>
                <w:kern w:val="0"/>
                <w:sz w:val="21"/>
                <w:szCs w:val="21"/>
                <w:lang w:bidi="ar"/>
              </w:rPr>
              <w:t>栽植松树</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ascii="宋体" w:hAnsi="宋体" w:cs="宋体"/>
                <w:color w:val="auto"/>
                <w:sz w:val="21"/>
                <w:szCs w:val="21"/>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矿区道路</w:t>
            </w: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09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中</w:t>
            </w:r>
            <w:r>
              <w:rPr>
                <w:color w:val="auto"/>
                <w:kern w:val="0"/>
                <w:sz w:val="21"/>
                <w:szCs w:val="21"/>
                <w:lang w:bidi="ar"/>
              </w:rPr>
              <w:t>远期</w:t>
            </w:r>
          </w:p>
        </w:tc>
        <w:tc>
          <w:tcPr>
            <w:tcW w:w="1253"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2026.</w:t>
            </w:r>
            <w:r>
              <w:rPr>
                <w:rFonts w:hint="eastAsia"/>
                <w:color w:val="auto"/>
                <w:kern w:val="0"/>
                <w:sz w:val="21"/>
                <w:szCs w:val="21"/>
                <w:lang w:bidi="ar"/>
              </w:rPr>
              <w:t>7</w:t>
            </w:r>
            <w:r>
              <w:rPr>
                <w:color w:val="auto"/>
                <w:kern w:val="0"/>
                <w:sz w:val="21"/>
                <w:szCs w:val="21"/>
                <w:lang w:bidi="ar"/>
              </w:rPr>
              <w:t>.1-203</w:t>
            </w:r>
            <w:r>
              <w:rPr>
                <w:rFonts w:hint="eastAsia"/>
                <w:color w:val="auto"/>
                <w:kern w:val="0"/>
                <w:sz w:val="21"/>
                <w:szCs w:val="21"/>
                <w:lang w:bidi="ar"/>
              </w:rPr>
              <w:t>4.6.30</w:t>
            </w: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采场（拟建）</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清理危岩体（m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回填（m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73740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石方</w:t>
            </w:r>
            <w:r>
              <w:rPr>
                <w:color w:val="auto"/>
                <w:kern w:val="0"/>
                <w:sz w:val="21"/>
                <w:szCs w:val="21"/>
                <w:lang w:bidi="ar"/>
              </w:rPr>
              <w:t>整平（m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7140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r>
              <w:rPr>
                <w:rFonts w:hint="eastAsia" w:ascii="宋体" w:hAnsi="宋体" w:cs="宋体"/>
                <w:color w:val="auto"/>
                <w:kern w:val="0"/>
                <w:sz w:val="21"/>
                <w:szCs w:val="21"/>
                <w:lang w:bidi="ar"/>
              </w:rPr>
              <w:t>采场（拟建）</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清理危岩体（m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回填（m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300775.7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石方</w:t>
            </w:r>
            <w:r>
              <w:rPr>
                <w:color w:val="auto"/>
                <w:kern w:val="0"/>
                <w:sz w:val="21"/>
                <w:szCs w:val="21"/>
                <w:lang w:bidi="ar"/>
              </w:rPr>
              <w:t>整平（m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rPr>
              <w:t>10558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rPr>
              <w:t>10558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栽植</w:t>
            </w:r>
            <w:r>
              <w:rPr>
                <w:rFonts w:hint="eastAsia" w:ascii="宋体" w:hAnsi="宋体" w:cs="宋体"/>
                <w:color w:val="auto"/>
                <w:kern w:val="0"/>
                <w:sz w:val="21"/>
                <w:szCs w:val="21"/>
                <w:lang w:bidi="ar"/>
              </w:rPr>
              <w:t>松树</w:t>
            </w:r>
            <w:r>
              <w:rPr>
                <w:color w:val="auto"/>
                <w:kern w:val="0"/>
                <w:sz w:val="21"/>
                <w:szCs w:val="21"/>
                <w:lang w:bidi="ar"/>
              </w:rPr>
              <w:t>（株）</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sz w:val="21"/>
                <w:szCs w:val="21"/>
              </w:rPr>
              <w:t>5036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r>
              <w:rPr>
                <w:rFonts w:hint="eastAsia" w:ascii="宋体" w:hAnsi="宋体" w:cs="宋体"/>
                <w:color w:val="auto"/>
                <w:kern w:val="0"/>
                <w:sz w:val="21"/>
                <w:szCs w:val="21"/>
                <w:lang w:bidi="ar"/>
              </w:rPr>
              <w:t>排土场（拟建）</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清运</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250125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r>
              <w:rPr>
                <w:rFonts w:hint="eastAsia" w:ascii="宋体" w:hAnsi="宋体" w:cs="宋体"/>
                <w:color w:val="auto"/>
                <w:kern w:val="0"/>
                <w:sz w:val="21"/>
                <w:szCs w:val="21"/>
                <w:lang w:bidi="ar"/>
              </w:rPr>
              <w:t>排土场（拟建）</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清运</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140858.7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19559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截洪沟（拟建）</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回填</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种树（株）</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ascii="宋体" w:hAnsi="宋体" w:cs="宋体"/>
                <w:color w:val="auto"/>
                <w:kern w:val="0"/>
                <w:sz w:val="21"/>
                <w:szCs w:val="21"/>
                <w:lang w:bidi="ar"/>
              </w:rPr>
              <w:t>工业场地</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拆除（m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清运（m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3</w:t>
            </w:r>
            <w:r>
              <w:rPr>
                <w:rFonts w:hint="eastAsia"/>
                <w:color w:val="auto"/>
                <w:kern w:val="0"/>
                <w:sz w:val="21"/>
                <w:szCs w:val="21"/>
                <w:lang w:bidi="ar"/>
              </w:rPr>
              <w:t>9</w:t>
            </w:r>
            <w:r>
              <w:rPr>
                <w:color w:val="auto"/>
                <w:kern w:val="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14059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ascii="宋体" w:hAnsi="宋体" w:cs="宋体"/>
                <w:color w:val="auto"/>
                <w:kern w:val="0"/>
                <w:sz w:val="21"/>
                <w:szCs w:val="21"/>
                <w:lang w:bidi="ar"/>
              </w:rPr>
              <w:t>办公生活区</w:t>
            </w:r>
            <w:r>
              <w:rPr>
                <w:color w:val="auto"/>
                <w:kern w:val="0"/>
                <w:sz w:val="21"/>
                <w:szCs w:val="21"/>
                <w:lang w:bidi="ar"/>
              </w:rPr>
              <w:t>1</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拆除（m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ascii="宋体" w:hAnsi="宋体" w:cs="宋体"/>
                <w:color w:val="auto"/>
                <w:kern w:val="0"/>
                <w:sz w:val="21"/>
                <w:szCs w:val="21"/>
                <w:lang w:bidi="ar"/>
              </w:rPr>
              <w:t>办公生活区</w:t>
            </w:r>
            <w:r>
              <w:rPr>
                <w:color w:val="auto"/>
                <w:kern w:val="0"/>
                <w:sz w:val="21"/>
                <w:szCs w:val="21"/>
                <w:lang w:bidi="ar"/>
              </w:rPr>
              <w:t>2</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拆除（m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垫坡整形</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kern w:val="0"/>
                <w:sz w:val="21"/>
                <w:szCs w:val="21"/>
                <w:lang w:bidi="ar"/>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1933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矿区道路</w:t>
            </w: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覆土</w:t>
            </w:r>
            <w:r>
              <w:rPr>
                <w:rFonts w:hint="eastAsia" w:ascii="宋体" w:hAnsi="宋体" w:cs="宋体"/>
                <w:color w:val="auto"/>
                <w:kern w:val="0"/>
                <w:sz w:val="21"/>
                <w:szCs w:val="21"/>
                <w:lang w:bidi="ar"/>
              </w:rPr>
              <w:t>及整平</w:t>
            </w:r>
            <w:r>
              <w:rPr>
                <w:color w:val="auto"/>
                <w:kern w:val="0"/>
                <w:sz w:val="21"/>
                <w:szCs w:val="21"/>
                <w:lang w:bidi="ar"/>
              </w:rPr>
              <w:t>（m</w:t>
            </w:r>
            <w:r>
              <w:rPr>
                <w:color w:val="auto"/>
                <w:kern w:val="0"/>
                <w:sz w:val="21"/>
                <w:szCs w:val="21"/>
                <w:vertAlign w:val="superscript"/>
                <w:lang w:bidi="ar"/>
              </w:rPr>
              <w:t>3</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39"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cs="宋体"/>
                <w:color w:val="auto"/>
                <w:sz w:val="21"/>
                <w:szCs w:val="21"/>
              </w:rPr>
            </w:pPr>
          </w:p>
        </w:tc>
        <w:tc>
          <w:tcPr>
            <w:tcW w:w="1253"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547" w:type="pct"/>
            <w:vMerge w:val="continue"/>
            <w:noWrap/>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0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cs="宋体"/>
                <w:color w:val="auto"/>
                <w:sz w:val="21"/>
                <w:szCs w:val="21"/>
              </w:rPr>
            </w:pPr>
            <w:r>
              <w:rPr>
                <w:rFonts w:hint="eastAsia" w:ascii="宋体" w:hAnsi="宋体" w:cs="宋体"/>
                <w:color w:val="auto"/>
                <w:kern w:val="0"/>
                <w:sz w:val="21"/>
                <w:szCs w:val="21"/>
                <w:lang w:bidi="ar"/>
              </w:rPr>
              <w:t>撒播种草</w:t>
            </w: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5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3772</w:t>
            </w:r>
          </w:p>
        </w:tc>
      </w:tr>
    </w:tbl>
    <w:p>
      <w:pPr>
        <w:pStyle w:val="18"/>
        <w:rPr>
          <w:rFonts w:hint="default" w:ascii="Times New Roman" w:hAnsi="Times New Roman" w:eastAsia="宋体" w:cs="Times New Roman"/>
          <w:b/>
          <w:bCs w:val="0"/>
          <w:color w:val="auto"/>
          <w:kern w:val="2"/>
          <w:sz w:val="21"/>
          <w:szCs w:val="21"/>
          <w:lang w:val="en-US" w:eastAsia="zh-CN" w:bidi="ar-SA"/>
        </w:rPr>
      </w:pPr>
      <w:r>
        <w:rPr>
          <w:b/>
          <w:bCs/>
          <w:color w:val="auto"/>
          <w:kern w:val="44"/>
          <w:sz w:val="36"/>
          <w:szCs w:val="36"/>
        </w:rPr>
        <w:br w:type="page"/>
      </w:r>
    </w:p>
    <w:p>
      <w:pPr>
        <w:pStyle w:val="18"/>
        <w:keepNext w:val="0"/>
        <w:keepLines w:val="0"/>
        <w:pageBreakBefore w:val="0"/>
        <w:widowControl w:val="0"/>
        <w:kinsoku/>
        <w:wordWrap/>
        <w:overflowPunct/>
        <w:topLinePunct w:val="0"/>
        <w:autoSpaceDE w:val="0"/>
        <w:autoSpaceDN w:val="0"/>
        <w:bidi w:val="0"/>
        <w:adjustRightInd w:val="0"/>
        <w:snapToGrid/>
        <w:spacing w:before="164" w:beforeLines="50" w:line="360" w:lineRule="auto"/>
        <w:ind w:firstLine="482" w:firstLineChars="200"/>
        <w:textAlignment w:val="auto"/>
        <w:rPr>
          <w:rFonts w:hint="default" w:ascii="Times New Roman" w:hAnsi="Times New Roman" w:eastAsia="宋体" w:cs="Times New Roman"/>
          <w:b/>
          <w:bCs/>
          <w:color w:val="auto"/>
          <w:szCs w:val="22"/>
        </w:rPr>
      </w:pPr>
      <w:r>
        <w:rPr>
          <w:rFonts w:hint="eastAsia" w:ascii="Times New Roman" w:cs="Times New Roman"/>
          <w:b/>
          <w:bCs/>
          <w:color w:val="auto"/>
          <w:szCs w:val="22"/>
          <w:lang w:val="en-US" w:eastAsia="zh-CN"/>
        </w:rPr>
        <w:t>2020年度治理计划书</w:t>
      </w:r>
      <w:r>
        <w:rPr>
          <w:rFonts w:hint="default" w:ascii="Times New Roman" w:hAnsi="Times New Roman" w:eastAsia="宋体" w:cs="Times New Roman"/>
          <w:b/>
          <w:bCs/>
          <w:color w:val="auto"/>
          <w:szCs w:val="22"/>
          <w:lang w:eastAsia="zh-CN"/>
        </w:rPr>
        <w:t>设计的治理工程</w:t>
      </w:r>
      <w:r>
        <w:rPr>
          <w:rFonts w:hint="default" w:ascii="Times New Roman" w:hAnsi="Times New Roman" w:eastAsia="宋体" w:cs="Times New Roman"/>
          <w:b/>
          <w:bCs/>
          <w:color w:val="auto"/>
          <w:szCs w:val="22"/>
        </w:rPr>
        <w:t>：</w:t>
      </w:r>
    </w:p>
    <w:p>
      <w:pPr>
        <w:pStyle w:val="18"/>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FF0000"/>
          <w:sz w:val="24"/>
          <w:szCs w:val="22"/>
          <w:lang w:eastAsia="zh-CN"/>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2020年由</w:t>
      </w:r>
      <w:r>
        <w:rPr>
          <w:rFonts w:hint="default" w:ascii="Times New Roman" w:hAnsi="Times New Roman" w:eastAsia="宋体" w:cs="Times New Roman"/>
          <w:color w:val="auto"/>
        </w:rPr>
        <w:t>宁城县常兴矿业有限公司沸石矿</w:t>
      </w:r>
      <w:r>
        <w:rPr>
          <w:rFonts w:hint="default" w:ascii="Times New Roman" w:hAnsi="Times New Roman" w:eastAsia="宋体" w:cs="Times New Roman"/>
          <w:color w:val="auto"/>
          <w:lang w:eastAsia="zh-CN"/>
        </w:rPr>
        <w:t>编制</w:t>
      </w:r>
      <w:r>
        <w:rPr>
          <w:rFonts w:hint="eastAsia" w:ascii="Times New Roman" w:cs="Times New Roman"/>
          <w:color w:val="auto"/>
          <w:lang w:eastAsia="zh-CN"/>
        </w:rPr>
        <w:t>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宁城县常兴矿业有限公司沸石矿</w:t>
      </w:r>
      <w:r>
        <w:rPr>
          <w:rFonts w:hint="default" w:ascii="Times New Roman" w:hAnsi="Times New Roman" w:eastAsia="宋体" w:cs="Times New Roman"/>
          <w:color w:val="auto"/>
          <w:lang w:val="en-US" w:eastAsia="zh-CN"/>
        </w:rPr>
        <w:t>2020年度矿山地质环境治理计划书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szCs w:val="22"/>
          <w:lang w:eastAsia="zh-CN"/>
        </w:rPr>
        <w:t>治理单元为：1#办公生活区</w:t>
      </w:r>
      <w:r>
        <w:rPr>
          <w:rFonts w:hint="eastAsia" w:ascii="Times New Roman" w:cs="Times New Roman"/>
          <w:color w:val="auto"/>
          <w:sz w:val="24"/>
          <w:szCs w:val="22"/>
          <w:lang w:val="en-US" w:eastAsia="zh-CN"/>
        </w:rPr>
        <w:t>，</w:t>
      </w:r>
      <w:r>
        <w:rPr>
          <w:rFonts w:hint="default" w:ascii="Times New Roman" w:hAnsi="Times New Roman" w:eastAsia="宋体" w:cs="Times New Roman"/>
          <w:color w:val="auto"/>
          <w:sz w:val="24"/>
          <w:szCs w:val="22"/>
          <w:lang w:eastAsia="zh-CN"/>
        </w:rPr>
        <w:t>矿山地质环境治理工程设计为：</w:t>
      </w:r>
    </w:p>
    <w:p>
      <w:pPr>
        <w:numPr>
          <w:ilvl w:val="0"/>
          <w:numId w:val="3"/>
        </w:numPr>
        <w:adjustRightInd w:val="0"/>
        <w:snapToGrid w:val="0"/>
        <w:spacing w:line="360" w:lineRule="auto"/>
        <w:ind w:firstLine="480" w:firstLineChars="200"/>
        <w:rPr>
          <w:color w:val="auto"/>
          <w:sz w:val="24"/>
        </w:rPr>
      </w:pPr>
      <w:r>
        <w:rPr>
          <w:color w:val="auto"/>
          <w:sz w:val="24"/>
        </w:rPr>
        <w:t>对1#办公生活区美化，布设花坛2个。</w:t>
      </w:r>
    </w:p>
    <w:p>
      <w:pPr>
        <w:pStyle w:val="5"/>
        <w:keepNext w:val="0"/>
        <w:keepLines w:val="0"/>
        <w:pageBreakBefore w:val="0"/>
        <w:widowControl w:val="0"/>
        <w:kinsoku/>
        <w:wordWrap/>
        <w:overflowPunct/>
        <w:topLinePunct w:val="0"/>
        <w:bidi w:val="0"/>
        <w:adjustRightInd w:val="0"/>
        <w:spacing w:after="0"/>
        <w:ind w:left="0" w:leftChars="0" w:firstLine="480" w:firstLineChars="200"/>
        <w:jc w:val="left"/>
        <w:textAlignment w:val="auto"/>
        <w:rPr>
          <w:rFonts w:hint="default" w:ascii="Times New Roman" w:hAnsi="Times New Roman" w:eastAsia="宋体" w:cs="Times New Roman"/>
          <w:color w:val="FF0000"/>
        </w:rPr>
      </w:pPr>
      <w:r>
        <w:rPr>
          <w:color w:val="auto"/>
          <w:sz w:val="24"/>
        </w:rPr>
        <w:t>（2）对1#办公生活区后侧进行植树绿化，植树面积170m</w:t>
      </w:r>
      <w:r>
        <w:rPr>
          <w:color w:val="auto"/>
          <w:sz w:val="24"/>
          <w:vertAlign w:val="superscript"/>
        </w:rPr>
        <w:t>2</w:t>
      </w:r>
      <w:r>
        <w:rPr>
          <w:color w:val="auto"/>
          <w:sz w:val="24"/>
        </w:rPr>
        <w:t>，双排种植，根据原地类及矿区实际情况，恢复植被树种选择松树，种树间距为3m×3m，面积170m</w:t>
      </w:r>
      <w:r>
        <w:rPr>
          <w:color w:val="auto"/>
          <w:sz w:val="24"/>
          <w:vertAlign w:val="superscript"/>
        </w:rPr>
        <w:t>2</w:t>
      </w:r>
      <w:r>
        <w:rPr>
          <w:color w:val="auto"/>
          <w:sz w:val="24"/>
        </w:rPr>
        <w:t>，种树20棵。</w:t>
      </w:r>
    </w:p>
    <w:p>
      <w:pPr>
        <w:pStyle w:val="3"/>
        <w:spacing w:before="120" w:after="120" w:line="360" w:lineRule="auto"/>
        <w:jc w:val="left"/>
        <w:rPr>
          <w:rFonts w:hint="default" w:ascii="Times New Roman" w:hAnsi="Times New Roman" w:eastAsia="宋体" w:cs="Times New Roman"/>
          <w:color w:val="auto"/>
          <w:szCs w:val="24"/>
        </w:rPr>
      </w:pPr>
      <w:bookmarkStart w:id="5" w:name="_Toc9327"/>
      <w:r>
        <w:rPr>
          <w:rFonts w:hint="default" w:ascii="Times New Roman" w:hAnsi="Times New Roman" w:eastAsia="宋体" w:cs="Times New Roman"/>
          <w:color w:val="auto"/>
          <w:sz w:val="30"/>
        </w:rPr>
        <w:t>（三）矿山地质环境治理方案执行情况</w:t>
      </w:r>
      <w:bookmarkEnd w:id="5"/>
    </w:p>
    <w:p>
      <w:pPr>
        <w:pStyle w:val="18"/>
        <w:keepNext w:val="0"/>
        <w:keepLines w:val="0"/>
        <w:pageBreakBefore w:val="0"/>
        <w:widowControl w:val="0"/>
        <w:kinsoku/>
        <w:wordWrap/>
        <w:overflowPunct/>
        <w:topLinePunct w:val="0"/>
        <w:autoSpaceDE w:val="0"/>
        <w:autoSpaceDN w:val="0"/>
        <w:bidi w:val="0"/>
        <w:adjustRightInd w:val="0"/>
        <w:snapToGrid/>
        <w:spacing w:before="0" w:line="360" w:lineRule="auto"/>
        <w:ind w:firstLine="482"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szCs w:val="22"/>
          <w:lang w:eastAsia="zh-CN"/>
        </w:rPr>
        <w:t>一分期设计方案执行情况</w:t>
      </w:r>
      <w:r>
        <w:rPr>
          <w:rFonts w:hint="default" w:ascii="Times New Roman" w:hAnsi="Times New Roman" w:eastAsia="宋体" w:cs="Times New Roman"/>
          <w:b/>
          <w:bCs/>
          <w:color w:val="auto"/>
          <w:szCs w:val="22"/>
        </w:rPr>
        <w:t>：</w:t>
      </w:r>
    </w:p>
    <w:p>
      <w:pPr>
        <w:pStyle w:val="5"/>
        <w:keepNext w:val="0"/>
        <w:keepLines w:val="0"/>
        <w:pageBreakBefore w:val="0"/>
        <w:widowControl w:val="0"/>
        <w:tabs>
          <w:tab w:val="left" w:pos="859"/>
        </w:tabs>
        <w:kinsoku/>
        <w:wordWrap/>
        <w:overflowPunct/>
        <w:topLinePunct w:val="0"/>
        <w:autoSpaceDE/>
        <w:autoSpaceDN/>
        <w:bidi w:val="0"/>
        <w:adjustRightInd w:val="0"/>
        <w:snapToGrid w:val="0"/>
        <w:spacing w:after="0" w:line="360" w:lineRule="auto"/>
        <w:ind w:right="0" w:rightChars="0"/>
        <w:jc w:val="left"/>
        <w:textAlignment w:val="auto"/>
        <w:rPr>
          <w:rFonts w:hint="default" w:ascii="Times New Roman" w:hAnsi="Times New Roman" w:eastAsia="宋体" w:cs="Times New Roman"/>
          <w:color w:val="auto"/>
          <w:sz w:val="24"/>
          <w:szCs w:val="22"/>
          <w:lang w:eastAsia="zh-CN"/>
        </w:rPr>
      </w:pPr>
      <w:r>
        <w:rPr>
          <w:rStyle w:val="37"/>
          <w:rFonts w:eastAsia="宋体"/>
          <w:color w:val="auto"/>
        </w:rPr>
        <w:t>采矿权人根据设计完成一分期设计治理工程</w:t>
      </w:r>
      <w:r>
        <w:rPr>
          <w:rStyle w:val="37"/>
          <w:rFonts w:hint="eastAsia" w:eastAsia="宋体"/>
          <w:color w:val="auto"/>
        </w:rPr>
        <w:t>。</w:t>
      </w:r>
      <w:r>
        <w:rPr>
          <w:rStyle w:val="37"/>
          <w:rFonts w:eastAsia="宋体"/>
          <w:color w:val="auto"/>
        </w:rPr>
        <w:t>应采矿权人申请，</w:t>
      </w:r>
      <w:r>
        <w:rPr>
          <w:rStyle w:val="36"/>
          <w:rFonts w:eastAsia="宋体"/>
          <w:color w:val="auto"/>
        </w:rPr>
        <w:t>201</w:t>
      </w:r>
      <w:r>
        <w:rPr>
          <w:rStyle w:val="36"/>
          <w:rFonts w:hint="eastAsia" w:eastAsia="宋体"/>
          <w:color w:val="auto"/>
        </w:rPr>
        <w:t>8</w:t>
      </w:r>
      <w:r>
        <w:rPr>
          <w:rStyle w:val="37"/>
          <w:rFonts w:eastAsia="宋体"/>
          <w:color w:val="auto"/>
        </w:rPr>
        <w:t>年</w:t>
      </w:r>
      <w:r>
        <w:rPr>
          <w:rStyle w:val="36"/>
          <w:rFonts w:hint="eastAsia" w:eastAsia="宋体"/>
          <w:color w:val="auto"/>
        </w:rPr>
        <w:t>8</w:t>
      </w:r>
      <w:r>
        <w:rPr>
          <w:rStyle w:val="37"/>
          <w:rFonts w:eastAsia="宋体"/>
          <w:color w:val="auto"/>
        </w:rPr>
        <w:t>月</w:t>
      </w:r>
      <w:r>
        <w:rPr>
          <w:rStyle w:val="36"/>
          <w:rFonts w:hint="eastAsia" w:eastAsia="宋体"/>
          <w:color w:val="auto"/>
        </w:rPr>
        <w:t>2</w:t>
      </w:r>
      <w:r>
        <w:rPr>
          <w:rStyle w:val="37"/>
          <w:rFonts w:eastAsia="宋体"/>
          <w:color w:val="auto"/>
        </w:rPr>
        <w:t>日，赤峰市</w:t>
      </w:r>
      <w:r>
        <w:rPr>
          <w:rStyle w:val="37"/>
          <w:rFonts w:hint="eastAsia" w:eastAsia="宋体"/>
          <w:color w:val="auto"/>
        </w:rPr>
        <w:t>自然</w:t>
      </w:r>
      <w:r>
        <w:rPr>
          <w:rStyle w:val="37"/>
          <w:rFonts w:eastAsia="宋体"/>
          <w:color w:val="auto"/>
        </w:rPr>
        <w:t>资源局组织有关专家组成验收组对</w:t>
      </w:r>
      <w:r>
        <w:rPr>
          <w:rStyle w:val="37"/>
          <w:rFonts w:hint="eastAsia" w:eastAsia="宋体"/>
          <w:color w:val="auto"/>
        </w:rPr>
        <w:t>宁城县常兴矿业有限公司沸石矿</w:t>
      </w:r>
      <w:r>
        <w:rPr>
          <w:rStyle w:val="37"/>
          <w:rFonts w:eastAsia="宋体"/>
          <w:color w:val="auto"/>
        </w:rPr>
        <w:t>矿山地质环境分期治理工程进行现场验收，该矿山基本完成了一分期设计的工程内容，治理工程效果符合设计要求。同意该矿山治理工程通过验收，并出具了一分期治理工程验收意见书文号：</w:t>
      </w:r>
      <w:r>
        <w:rPr>
          <w:rStyle w:val="36"/>
          <w:rFonts w:hint="eastAsia" w:eastAsia="宋体"/>
          <w:color w:val="auto"/>
        </w:rPr>
        <w:t>181015</w:t>
      </w:r>
      <w:r>
        <w:rPr>
          <w:rStyle w:val="37"/>
          <w:rFonts w:eastAsia="宋体"/>
          <w:color w:val="auto"/>
        </w:rPr>
        <w:t>。</w:t>
      </w:r>
    </w:p>
    <w:p>
      <w:pPr>
        <w:jc w:val="center"/>
        <w:rPr>
          <w:b/>
          <w:color w:val="auto"/>
          <w:szCs w:val="32"/>
        </w:rPr>
      </w:pPr>
      <w:r>
        <w:rPr>
          <w:color w:val="auto"/>
        </w:rPr>
        <w:drawing>
          <wp:inline distT="0" distB="0" distL="114300" distR="114300">
            <wp:extent cx="3738880" cy="2405380"/>
            <wp:effectExtent l="0" t="0" r="13970" b="139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16"/>
                    <a:stretch>
                      <a:fillRect/>
                    </a:stretch>
                  </pic:blipFill>
                  <pic:spPr>
                    <a:xfrm>
                      <a:off x="0" y="0"/>
                      <a:ext cx="3738880" cy="2405380"/>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照片1-3  1#料场治理效果照片</w:t>
      </w:r>
    </w:p>
    <w:p>
      <w:pPr>
        <w:jc w:val="center"/>
        <w:rPr>
          <w:color w:val="auto"/>
        </w:rPr>
      </w:pPr>
      <w:r>
        <w:rPr>
          <w:color w:val="auto"/>
        </w:rPr>
        <w:drawing>
          <wp:inline distT="0" distB="0" distL="114300" distR="114300">
            <wp:extent cx="3590925" cy="2820035"/>
            <wp:effectExtent l="0" t="0" r="9525" b="1841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7"/>
                    <a:stretch>
                      <a:fillRect/>
                    </a:stretch>
                  </pic:blipFill>
                  <pic:spPr>
                    <a:xfrm>
                      <a:off x="0" y="0"/>
                      <a:ext cx="3590925" cy="282003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照片1-4  2#料场治理效果照片</w:t>
      </w:r>
    </w:p>
    <w:p>
      <w:pPr>
        <w:jc w:val="center"/>
        <w:rPr>
          <w:b/>
          <w:bCs/>
          <w:color w:val="auto"/>
          <w:sz w:val="24"/>
        </w:rPr>
      </w:pPr>
      <w:r>
        <w:rPr>
          <w:color w:val="auto"/>
        </w:rPr>
        <w:drawing>
          <wp:inline distT="0" distB="0" distL="114300" distR="114300">
            <wp:extent cx="3484245" cy="2424430"/>
            <wp:effectExtent l="0" t="0" r="1905"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8"/>
                    <a:stretch>
                      <a:fillRect/>
                    </a:stretch>
                  </pic:blipFill>
                  <pic:spPr>
                    <a:xfrm>
                      <a:off x="0" y="0"/>
                      <a:ext cx="3484245" cy="2424430"/>
                    </a:xfrm>
                    <a:prstGeom prst="rect">
                      <a:avLst/>
                    </a:prstGeom>
                    <a:noFill/>
                    <a:ln>
                      <a:noFill/>
                    </a:ln>
                  </pic:spPr>
                </pic:pic>
              </a:graphicData>
            </a:graphic>
          </wp:inline>
        </w:drawing>
      </w:r>
    </w:p>
    <w:p>
      <w:pPr>
        <w:spacing w:line="360" w:lineRule="auto"/>
        <w:jc w:val="center"/>
        <w:rPr>
          <w:b/>
          <w:bCs/>
          <w:color w:val="auto"/>
          <w:sz w:val="24"/>
        </w:rPr>
      </w:pPr>
      <w:r>
        <w:rPr>
          <w:rFonts w:hint="eastAsia" w:ascii="黑体" w:hAnsi="黑体" w:eastAsia="黑体" w:cs="黑体"/>
          <w:color w:val="auto"/>
          <w:sz w:val="24"/>
          <w:szCs w:val="32"/>
        </w:rPr>
        <w:t>照片1-5  表土存储场治理效果照片</w:t>
      </w:r>
    </w:p>
    <w:p>
      <w:pPr>
        <w:jc w:val="center"/>
        <w:rPr>
          <w:b/>
          <w:bCs/>
          <w:color w:val="auto"/>
          <w:sz w:val="24"/>
        </w:rPr>
      </w:pPr>
      <w:r>
        <w:rPr>
          <w:color w:val="auto"/>
        </w:rPr>
        <w:drawing>
          <wp:inline distT="0" distB="0" distL="114300" distR="114300">
            <wp:extent cx="4695190" cy="2534285"/>
            <wp:effectExtent l="0" t="0" r="10160" b="1841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9"/>
                    <a:stretch>
                      <a:fillRect/>
                    </a:stretch>
                  </pic:blipFill>
                  <pic:spPr>
                    <a:xfrm>
                      <a:off x="0" y="0"/>
                      <a:ext cx="4695190" cy="2534285"/>
                    </a:xfrm>
                    <a:prstGeom prst="rect">
                      <a:avLst/>
                    </a:prstGeom>
                    <a:noFill/>
                    <a:ln>
                      <a:noFill/>
                    </a:ln>
                  </pic:spPr>
                </pic:pic>
              </a:graphicData>
            </a:graphic>
          </wp:inline>
        </w:drawing>
      </w:r>
    </w:p>
    <w:p>
      <w:pPr>
        <w:spacing w:line="360" w:lineRule="auto"/>
        <w:jc w:val="center"/>
        <w:rPr>
          <w:b/>
          <w:bCs/>
          <w:color w:val="auto"/>
          <w:sz w:val="24"/>
        </w:rPr>
      </w:pPr>
      <w:r>
        <w:rPr>
          <w:rFonts w:hint="eastAsia" w:ascii="黑体" w:hAnsi="黑体" w:eastAsia="黑体" w:cs="黑体"/>
          <w:color w:val="auto"/>
          <w:sz w:val="24"/>
          <w:szCs w:val="32"/>
        </w:rPr>
        <w:t>照片1-6  露天采场治理效果照片</w:t>
      </w:r>
    </w:p>
    <w:p>
      <w:pPr>
        <w:adjustRightInd/>
        <w:ind w:firstLine="480"/>
        <w:rPr>
          <w:rFonts w:hint="default" w:ascii="Times New Roman" w:hAnsi="Times New Roman" w:eastAsia="宋体" w:cs="Times New Roman"/>
          <w:b/>
          <w:bCs/>
          <w:color w:val="auto"/>
          <w:szCs w:val="22"/>
        </w:rPr>
      </w:pPr>
      <w:r>
        <w:rPr>
          <w:rFonts w:hint="eastAsia" w:cs="Times New Roman"/>
          <w:b/>
          <w:bCs/>
          <w:color w:val="auto"/>
          <w:szCs w:val="22"/>
          <w:lang w:val="en-US" w:eastAsia="zh-CN"/>
        </w:rPr>
        <w:t>2020年度治理计划书</w:t>
      </w:r>
      <w:r>
        <w:rPr>
          <w:rFonts w:hint="default" w:ascii="Times New Roman" w:hAnsi="Times New Roman" w:eastAsia="宋体" w:cs="Times New Roman"/>
          <w:b/>
          <w:bCs/>
          <w:color w:val="auto"/>
          <w:szCs w:val="22"/>
          <w:lang w:eastAsia="zh-CN"/>
        </w:rPr>
        <w:t>设计方案执行情况</w:t>
      </w:r>
      <w:r>
        <w:rPr>
          <w:rFonts w:hint="default" w:ascii="Times New Roman" w:hAnsi="Times New Roman" w:eastAsia="宋体" w:cs="Times New Roman"/>
          <w:b/>
          <w:bCs/>
          <w:color w:val="auto"/>
          <w:szCs w:val="22"/>
        </w:rPr>
        <w:t>：</w:t>
      </w:r>
    </w:p>
    <w:p>
      <w:pPr>
        <w:spacing w:line="360" w:lineRule="auto"/>
        <w:ind w:firstLine="480" w:firstLineChars="200"/>
        <w:jc w:val="left"/>
        <w:rPr>
          <w:rStyle w:val="37"/>
          <w:rFonts w:hint="eastAsia" w:eastAsia="宋体"/>
          <w:color w:val="auto"/>
        </w:rPr>
      </w:pPr>
      <w:r>
        <w:rPr>
          <w:rStyle w:val="37"/>
          <w:rFonts w:hint="eastAsia" w:eastAsia="宋体"/>
          <w:color w:val="auto"/>
        </w:rPr>
        <w:t>2021年3月31日，宁城县自然资源局组织有关专家组成核查组，对《宁城县常兴矿业有限公司沸石矿2020年度矿山地质环境治理计划书》的执行情况进行了现场核查。</w:t>
      </w:r>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FF0000"/>
          <w:lang w:val="en-US" w:eastAsia="zh-CN"/>
        </w:rPr>
      </w:pPr>
      <w:r>
        <w:rPr>
          <w:rStyle w:val="37"/>
          <w:rFonts w:hint="eastAsia" w:eastAsia="宋体"/>
          <w:color w:val="auto"/>
        </w:rPr>
        <w:t>现场核查，矿山对1#料堆场进行植被管护，撒播种草，表土存储场进行管护；对1#办公生活区美化，布设花坛两个；对1#办公生活区后侧进行植树绿化。专家组认为，宁城县常兴矿业有限公司沸石矿《2020年度矿山地质环境治理计划书》编制内容合规；矿山的治理工程量与治理工程效果基本符合年度治理计划书的要求。</w:t>
      </w:r>
    </w:p>
    <w:p>
      <w:pPr>
        <w:jc w:val="center"/>
        <w:rPr>
          <w:color w:val="auto"/>
        </w:rPr>
      </w:pPr>
      <w:r>
        <w:rPr>
          <w:color w:val="auto"/>
        </w:rPr>
        <w:drawing>
          <wp:inline distT="0" distB="0" distL="114300" distR="114300">
            <wp:extent cx="3600450" cy="2619375"/>
            <wp:effectExtent l="0" t="0" r="0" b="952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20"/>
                    <a:stretch>
                      <a:fillRect/>
                    </a:stretch>
                  </pic:blipFill>
                  <pic:spPr>
                    <a:xfrm>
                      <a:off x="0" y="0"/>
                      <a:ext cx="3600450" cy="261937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照片1-7  1#料堆场治理效果</w:t>
      </w:r>
    </w:p>
    <w:p>
      <w:pPr>
        <w:jc w:val="center"/>
        <w:rPr>
          <w:rFonts w:hint="eastAsia"/>
          <w:color w:val="auto"/>
        </w:rPr>
      </w:pPr>
      <w:r>
        <w:rPr>
          <w:color w:val="auto"/>
        </w:rPr>
        <w:drawing>
          <wp:inline distT="0" distB="0" distL="114300" distR="114300">
            <wp:extent cx="3737610" cy="1930400"/>
            <wp:effectExtent l="0" t="0" r="15240" b="1270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21"/>
                    <a:stretch>
                      <a:fillRect/>
                    </a:stretch>
                  </pic:blipFill>
                  <pic:spPr>
                    <a:xfrm>
                      <a:off x="0" y="0"/>
                      <a:ext cx="3737610" cy="1930400"/>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照片1-8  办公生活区治理效果</w:t>
      </w:r>
    </w:p>
    <w:p>
      <w:pPr>
        <w:jc w:val="center"/>
        <w:rPr>
          <w:color w:val="auto"/>
        </w:rPr>
      </w:pPr>
      <w:r>
        <w:rPr>
          <w:color w:val="auto"/>
        </w:rPr>
        <w:drawing>
          <wp:inline distT="0" distB="0" distL="114300" distR="114300">
            <wp:extent cx="3434715" cy="1934210"/>
            <wp:effectExtent l="0" t="0" r="13335" b="889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22"/>
                    <a:stretch>
                      <a:fillRect/>
                    </a:stretch>
                  </pic:blipFill>
                  <pic:spPr>
                    <a:xfrm>
                      <a:off x="0" y="0"/>
                      <a:ext cx="3434715" cy="1934210"/>
                    </a:xfrm>
                    <a:prstGeom prst="rect">
                      <a:avLst/>
                    </a:prstGeom>
                    <a:noFill/>
                    <a:ln>
                      <a:noFill/>
                    </a:ln>
                  </pic:spPr>
                </pic:pic>
              </a:graphicData>
            </a:graphic>
          </wp:inline>
        </w:drawing>
      </w:r>
    </w:p>
    <w:p>
      <w:pPr>
        <w:spacing w:line="360" w:lineRule="auto"/>
        <w:jc w:val="center"/>
        <w:rPr>
          <w:rFonts w:ascii="黑体" w:hAnsi="黑体" w:eastAsia="黑体" w:cs="黑体"/>
          <w:color w:val="auto"/>
          <w:sz w:val="24"/>
          <w:szCs w:val="32"/>
        </w:rPr>
      </w:pPr>
      <w:r>
        <w:rPr>
          <w:rFonts w:hint="eastAsia" w:ascii="黑体" w:hAnsi="黑体" w:eastAsia="黑体" w:cs="黑体"/>
          <w:color w:val="auto"/>
          <w:sz w:val="24"/>
          <w:szCs w:val="32"/>
        </w:rPr>
        <w:t>照片1-9  1#办公生活区后侧治理效果</w:t>
      </w:r>
    </w:p>
    <w:p>
      <w:pPr>
        <w:pStyle w:val="3"/>
        <w:spacing w:before="120" w:after="120" w:line="360" w:lineRule="auto"/>
        <w:jc w:val="left"/>
        <w:rPr>
          <w:rFonts w:hint="eastAsia" w:ascii="Times New Roman" w:hAnsi="Times New Roman" w:eastAsia="宋体" w:cs="Times New Roman"/>
          <w:color w:val="auto"/>
          <w:sz w:val="30"/>
        </w:rPr>
      </w:pPr>
      <w:bookmarkStart w:id="6" w:name="_Toc31954"/>
      <w:r>
        <w:rPr>
          <w:rFonts w:hint="eastAsia" w:ascii="Times New Roman" w:hAnsi="Times New Roman" w:eastAsia="宋体" w:cs="Times New Roman"/>
          <w:color w:val="auto"/>
          <w:sz w:val="30"/>
        </w:rPr>
        <w:t>（四）前期地质环境治理存在的问题</w:t>
      </w:r>
      <w:bookmarkEnd w:id="6"/>
    </w:p>
    <w:p>
      <w:pPr>
        <w:rPr>
          <w:rFonts w:hint="default" w:ascii="Times New Roman" w:hAnsi="Times New Roman" w:eastAsia="宋体" w:cs="Times New Roman"/>
          <w:b/>
          <w:bCs w:val="0"/>
          <w:color w:val="FF0000"/>
          <w:kern w:val="2"/>
          <w:sz w:val="21"/>
          <w:szCs w:val="21"/>
          <w:lang w:val="en-US" w:eastAsia="zh-CN" w:bidi="ar-SA"/>
        </w:rPr>
      </w:pPr>
      <w:r>
        <w:rPr>
          <w:rFonts w:hint="eastAsia"/>
          <w:sz w:val="24"/>
          <w:szCs w:val="24"/>
          <w:lang w:val="en-US" w:eastAsia="zh-CN"/>
        </w:rPr>
        <w:t>矿山未全部完成治理方案中规划的2023年度治理工程，本年度应继续进行未完成的矿山地质环境治理。</w:t>
      </w:r>
    </w:p>
    <w:p>
      <w:pPr>
        <w:rPr>
          <w:rFonts w:hint="default" w:ascii="Times New Roman" w:hAnsi="Times New Roman" w:eastAsia="宋体" w:cs="Times New Roman"/>
          <w:b/>
          <w:bCs w:val="0"/>
          <w:color w:val="FF0000"/>
          <w:kern w:val="2"/>
          <w:sz w:val="21"/>
          <w:szCs w:val="21"/>
          <w:lang w:val="en-US" w:eastAsia="zh-CN" w:bidi="ar-SA"/>
        </w:rPr>
      </w:pPr>
    </w:p>
    <w:p>
      <w:pPr>
        <w:rPr>
          <w:rFonts w:hint="default" w:ascii="Times New Roman" w:hAnsi="Times New Roman" w:eastAsia="宋体" w:cs="Times New Roman"/>
          <w:b/>
          <w:bCs w:val="0"/>
          <w:color w:val="FF0000"/>
          <w:kern w:val="2"/>
          <w:sz w:val="21"/>
          <w:szCs w:val="21"/>
          <w:lang w:val="en-US" w:eastAsia="zh-CN" w:bidi="ar-SA"/>
        </w:rPr>
      </w:pPr>
    </w:p>
    <w:p>
      <w:pPr>
        <w:rPr>
          <w:rFonts w:hint="default" w:ascii="Times New Roman" w:hAnsi="Times New Roman" w:eastAsia="宋体" w:cs="Times New Roman"/>
          <w:b/>
          <w:bCs w:val="0"/>
          <w:color w:val="FF0000"/>
          <w:kern w:val="2"/>
          <w:sz w:val="21"/>
          <w:szCs w:val="21"/>
          <w:lang w:val="en-US" w:eastAsia="zh-CN" w:bidi="ar-SA"/>
        </w:rPr>
      </w:pPr>
      <w:r>
        <w:rPr>
          <w:rFonts w:hint="default" w:ascii="Times New Roman" w:hAnsi="Times New Roman" w:eastAsia="宋体" w:cs="Times New Roman"/>
          <w:b/>
          <w:bCs w:val="0"/>
          <w:color w:val="FF0000"/>
          <w:kern w:val="2"/>
          <w:sz w:val="21"/>
          <w:szCs w:val="21"/>
          <w:lang w:val="en-US" w:eastAsia="zh-CN" w:bidi="ar-SA"/>
        </w:rPr>
        <w:br w:type="page"/>
      </w:r>
    </w:p>
    <w:p>
      <w:pPr>
        <w:pStyle w:val="2"/>
        <w:spacing w:before="120" w:after="120" w:line="360" w:lineRule="auto"/>
        <w:rPr>
          <w:rFonts w:hint="default" w:ascii="Times New Roman" w:hAnsi="Times New Roman" w:eastAsia="宋体" w:cs="Times New Roman"/>
          <w:b/>
          <w:bCs w:val="0"/>
          <w:color w:val="auto"/>
        </w:rPr>
      </w:pPr>
      <w:bookmarkStart w:id="7" w:name="_Toc32447"/>
      <w:r>
        <w:rPr>
          <w:rFonts w:hint="default" w:ascii="Times New Roman" w:hAnsi="Times New Roman" w:eastAsia="宋体" w:cs="Times New Roman"/>
          <w:b/>
          <w:bCs w:val="0"/>
          <w:color w:val="auto"/>
          <w:sz w:val="36"/>
          <w:szCs w:val="36"/>
        </w:rPr>
        <w:t>三、本年度矿山生产计划</w:t>
      </w:r>
      <w:bookmarkEnd w:id="7"/>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eastAsia="宋体" w:cs="Times New Roman"/>
          <w:color w:val="auto"/>
          <w:sz w:val="30"/>
        </w:rPr>
      </w:pPr>
      <w:bookmarkStart w:id="8" w:name="_Toc12202"/>
      <w:r>
        <w:rPr>
          <w:rFonts w:hint="default" w:ascii="Times New Roman" w:hAnsi="Times New Roman" w:eastAsia="宋体" w:cs="Times New Roman"/>
          <w:color w:val="auto"/>
          <w:sz w:val="30"/>
        </w:rPr>
        <w:t>（一）本年度的主要生产指标计划</w:t>
      </w:r>
      <w:bookmarkEnd w:id="8"/>
    </w:p>
    <w:p>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Cs w:val="24"/>
          <w:lang w:eastAsia="zh-CN"/>
        </w:rPr>
      </w:pPr>
      <w:r>
        <w:rPr>
          <w:rFonts w:hint="default" w:ascii="Times New Roman" w:hAnsi="Times New Roman" w:eastAsia="宋体" w:cs="Times New Roman"/>
          <w:bCs/>
          <w:snapToGrid w:val="0"/>
          <w:color w:val="000000" w:themeColor="text1"/>
          <w:sz w:val="24"/>
          <w:szCs w:val="24"/>
          <w:lang w:eastAsia="zh-CN"/>
          <w14:textFill>
            <w14:solidFill>
              <w14:schemeClr w14:val="tx1"/>
            </w14:solidFill>
          </w14:textFill>
        </w:rPr>
        <w:t>根据矿山总体生产规划，矿山</w:t>
      </w:r>
      <w:r>
        <w:rPr>
          <w:rFonts w:hint="default" w:ascii="Times New Roman" w:hAnsi="Times New Roman" w:eastAsia="宋体" w:cs="Times New Roman"/>
          <w:bCs/>
          <w:snapToGrid w:val="0"/>
          <w:color w:val="000000" w:themeColor="text1"/>
          <w:sz w:val="24"/>
          <w:szCs w:val="24"/>
          <w14:textFill>
            <w14:solidFill>
              <w14:schemeClr w14:val="tx1"/>
            </w14:solidFill>
          </w14:textFill>
        </w:rPr>
        <w:t>202</w:t>
      </w:r>
      <w:r>
        <w:rPr>
          <w:rFonts w:hint="eastAsia" w:ascii="Times New Roman" w:cs="Times New Roman"/>
          <w:bCs/>
          <w:snapToGrid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snapToGrid w:val="0"/>
          <w:color w:val="000000" w:themeColor="text1"/>
          <w:sz w:val="24"/>
          <w:szCs w:val="24"/>
          <w:lang w:eastAsia="zh-CN"/>
          <w14:textFill>
            <w14:solidFill>
              <w14:schemeClr w14:val="tx1"/>
            </w14:solidFill>
          </w14:textFill>
        </w:rPr>
        <w:t>年度</w:t>
      </w:r>
      <w:r>
        <w:rPr>
          <w:rFonts w:hint="eastAsia" w:ascii="Times New Roman" w:hAnsi="Times New Roman" w:cs="Times New Roman"/>
          <w:bCs/>
          <w:snapToGrid w:val="0"/>
          <w:color w:val="000000" w:themeColor="text1"/>
          <w:sz w:val="24"/>
          <w:szCs w:val="24"/>
          <w:lang w:eastAsia="zh-CN"/>
          <w14:textFill>
            <w14:solidFill>
              <w14:schemeClr w14:val="tx1"/>
            </w14:solidFill>
          </w14:textFill>
        </w:rPr>
        <w:t>未计划</w:t>
      </w:r>
      <w:r>
        <w:rPr>
          <w:rFonts w:hint="default" w:ascii="Times New Roman" w:hAnsi="Times New Roman" w:eastAsia="宋体" w:cs="Times New Roman"/>
          <w:bCs/>
          <w:snapToGrid w:val="0"/>
          <w:color w:val="000000" w:themeColor="text1"/>
          <w:sz w:val="24"/>
          <w:szCs w:val="24"/>
          <w:lang w:eastAsia="zh-CN"/>
          <w14:textFill>
            <w14:solidFill>
              <w14:schemeClr w14:val="tx1"/>
            </w14:solidFill>
          </w14:textFill>
        </w:rPr>
        <w:t>进行生产，</w:t>
      </w:r>
      <w:r>
        <w:rPr>
          <w:rFonts w:hint="default" w:ascii="Times New Roman" w:hAnsi="Times New Roman" w:eastAsia="宋体" w:cs="Times New Roman"/>
          <w:color w:val="000000" w:themeColor="text1"/>
          <w:sz w:val="24"/>
          <w:szCs w:val="28"/>
          <w:lang w:eastAsia="zh-CN"/>
          <w14:textFill>
            <w14:solidFill>
              <w14:schemeClr w14:val="tx1"/>
            </w14:solidFill>
          </w14:textFill>
        </w:rPr>
        <w:t>本年度无新增工程单元</w:t>
      </w:r>
      <w:r>
        <w:rPr>
          <w:rFonts w:hint="default" w:ascii="Times New Roman" w:hAnsi="Times New Roman" w:eastAsia="宋体" w:cs="Times New Roman"/>
          <w:color w:val="000000" w:themeColor="text1"/>
          <w:sz w:val="24"/>
          <w:szCs w:val="28"/>
          <w14:textFill>
            <w14:solidFill>
              <w14:schemeClr w14:val="tx1"/>
            </w14:solidFill>
          </w14:textFill>
        </w:rPr>
        <w:t>。</w:t>
      </w:r>
    </w:p>
    <w:p>
      <w:pPr>
        <w:pStyle w:val="18"/>
        <w:rPr>
          <w:rFonts w:hint="default" w:ascii="Times New Roman" w:hAnsi="Times New Roman" w:eastAsia="宋体" w:cs="Times New Roman"/>
          <w:b w:val="0"/>
          <w:bCs w:val="0"/>
          <w:color w:val="FF0000"/>
          <w:sz w:val="24"/>
          <w:szCs w:val="24"/>
          <w:lang w:val="en-US" w:eastAsia="zh-CN"/>
        </w:rPr>
      </w:pPr>
    </w:p>
    <w:p>
      <w:pPr>
        <w:pStyle w:val="2"/>
        <w:spacing w:before="120" w:after="120" w:line="360" w:lineRule="auto"/>
        <w:rPr>
          <w:rFonts w:hint="default" w:ascii="Times New Roman" w:hAnsi="Times New Roman" w:eastAsia="宋体" w:cs="Times New Roman"/>
          <w:color w:val="auto"/>
          <w:sz w:val="36"/>
          <w:szCs w:val="36"/>
        </w:rPr>
      </w:pPr>
      <w:bookmarkStart w:id="9" w:name="_Toc12552"/>
      <w:r>
        <w:rPr>
          <w:rFonts w:hint="default" w:ascii="Times New Roman" w:hAnsi="Times New Roman" w:eastAsia="宋体" w:cs="Times New Roman"/>
          <w:color w:val="auto"/>
          <w:sz w:val="36"/>
          <w:szCs w:val="36"/>
        </w:rPr>
        <w:t>四、矿山地质环境问题</w:t>
      </w:r>
      <w:bookmarkEnd w:id="9"/>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eastAsia="宋体" w:cs="Times New Roman"/>
          <w:color w:val="auto"/>
        </w:rPr>
      </w:pPr>
      <w:bookmarkStart w:id="10" w:name="_Toc2048"/>
      <w:bookmarkStart w:id="11" w:name="_Toc362269331"/>
      <w:bookmarkStart w:id="12" w:name="_Toc356205339"/>
      <w:r>
        <w:rPr>
          <w:rFonts w:hint="default" w:ascii="Times New Roman" w:hAnsi="Times New Roman" w:eastAsia="宋体" w:cs="Times New Roman"/>
          <w:color w:val="auto"/>
          <w:sz w:val="30"/>
        </w:rPr>
        <w:t>（一）矿山地质环境问题现状</w:t>
      </w:r>
      <w:bookmarkEnd w:id="10"/>
    </w:p>
    <w:p>
      <w:pPr>
        <w:keepNext w:val="0"/>
        <w:keepLines w:val="0"/>
        <w:pageBreakBefore w:val="0"/>
        <w:tabs>
          <w:tab w:val="left" w:pos="1300"/>
        </w:tabs>
        <w:kinsoku/>
        <w:wordWrap/>
        <w:overflowPunct/>
        <w:topLinePunct w:val="0"/>
        <w:bidi w:val="0"/>
        <w:spacing w:line="360" w:lineRule="auto"/>
        <w:ind w:firstLine="480" w:firstLineChars="200"/>
        <w:jc w:val="left"/>
        <w:textAlignment w:val="auto"/>
        <w:rPr>
          <w:color w:val="auto"/>
          <w:sz w:val="24"/>
        </w:rPr>
      </w:pPr>
      <w:r>
        <w:rPr>
          <w:rFonts w:hint="eastAsia"/>
          <w:color w:val="auto"/>
          <w:sz w:val="24"/>
        </w:rPr>
        <w:t>宁城县常兴矿业有限公司沸石矿</w:t>
      </w:r>
      <w:r>
        <w:rPr>
          <w:color w:val="auto"/>
          <w:sz w:val="24"/>
        </w:rPr>
        <w:t>属于</w:t>
      </w:r>
      <w:r>
        <w:rPr>
          <w:rFonts w:hint="eastAsia"/>
          <w:color w:val="auto"/>
          <w:sz w:val="24"/>
          <w:lang w:eastAsia="zh-CN"/>
        </w:rPr>
        <w:t>停</w:t>
      </w:r>
      <w:r>
        <w:rPr>
          <w:color w:val="auto"/>
          <w:sz w:val="24"/>
        </w:rPr>
        <w:t>产矿山，经现场调查和资料显示，矿山前期已进行开采，矿区范围内形成的工程单元有</w:t>
      </w:r>
      <w:r>
        <w:rPr>
          <w:rFonts w:hint="eastAsia"/>
          <w:color w:val="auto"/>
          <w:sz w:val="24"/>
        </w:rPr>
        <w:t>露天采场1</w:t>
      </w:r>
      <w:r>
        <w:rPr>
          <w:color w:val="auto"/>
          <w:sz w:val="24"/>
        </w:rPr>
        <w:t>、</w:t>
      </w:r>
      <w:r>
        <w:rPr>
          <w:rFonts w:hint="eastAsia"/>
          <w:color w:val="auto"/>
          <w:sz w:val="24"/>
        </w:rPr>
        <w:t>露天采场2、工业场地、矿石堆放场、办公生活区1、办公生活区2、民采坑、钻机平台（PT1-PT9）、零散废渣堆（ZD1-ZD6）和矿区道路</w:t>
      </w:r>
      <w:r>
        <w:rPr>
          <w:color w:val="auto"/>
          <w:sz w:val="24"/>
        </w:rPr>
        <w:t>等。依据《内蒙古自治区矿山地质环境治理方案》（DZ/T0223-2011）编制技术要求附录E矿山地质环境影响程度分级表，以下从地质灾害影响、含水层影响和破坏、地形地貌景观影响和破坏、土地资源损毁等四个方面对矿山地质环境影响进行现状评估。</w:t>
      </w:r>
    </w:p>
    <w:p>
      <w:pPr>
        <w:pStyle w:val="6"/>
        <w:keepNext w:val="0"/>
        <w:keepLines w:val="0"/>
        <w:pageBreakBefore w:val="0"/>
        <w:kinsoku/>
        <w:wordWrap/>
        <w:overflowPunct/>
        <w:topLinePunct w:val="0"/>
        <w:bidi w:val="0"/>
        <w:spacing w:after="0" w:line="360" w:lineRule="auto"/>
        <w:ind w:left="0" w:leftChars="0" w:firstLine="482" w:firstLineChars="200"/>
        <w:contextualSpacing/>
        <w:jc w:val="left"/>
        <w:textAlignment w:val="auto"/>
        <w:rPr>
          <w:rFonts w:hint="eastAsia" w:ascii="宋体" w:hAnsi="宋体" w:cs="宋体"/>
          <w:b/>
          <w:color w:val="auto"/>
          <w:sz w:val="24"/>
        </w:rPr>
      </w:pPr>
      <w:r>
        <w:rPr>
          <w:rFonts w:hint="eastAsia" w:ascii="宋体" w:hAnsi="宋体" w:cs="宋体"/>
          <w:b/>
          <w:color w:val="auto"/>
          <w:sz w:val="24"/>
        </w:rPr>
        <w:t>一、地质灾害现状评估</w:t>
      </w:r>
    </w:p>
    <w:p>
      <w:pPr>
        <w:keepNext w:val="0"/>
        <w:keepLines w:val="0"/>
        <w:pageBreakBefore w:val="0"/>
        <w:tabs>
          <w:tab w:val="left" w:pos="1300"/>
        </w:tabs>
        <w:kinsoku/>
        <w:wordWrap/>
        <w:overflowPunct/>
        <w:topLinePunct w:val="0"/>
        <w:bidi w:val="0"/>
        <w:spacing w:line="360" w:lineRule="auto"/>
        <w:ind w:firstLine="482" w:firstLineChars="200"/>
        <w:jc w:val="left"/>
        <w:textAlignment w:val="auto"/>
        <w:rPr>
          <w:b/>
          <w:bCs/>
          <w:color w:val="auto"/>
          <w:sz w:val="24"/>
        </w:rPr>
      </w:pPr>
      <w:r>
        <w:rPr>
          <w:b/>
          <w:bCs/>
          <w:color w:val="auto"/>
          <w:sz w:val="24"/>
        </w:rPr>
        <w:t>1、崩塌</w:t>
      </w:r>
    </w:p>
    <w:p>
      <w:pPr>
        <w:pStyle w:val="18"/>
        <w:keepNext w:val="0"/>
        <w:keepLines w:val="0"/>
        <w:pageBreakBefore w:val="0"/>
        <w:kinsoku/>
        <w:wordWrap/>
        <w:overflowPunct/>
        <w:topLinePunct w:val="0"/>
        <w:bidi w:val="0"/>
        <w:spacing w:line="360" w:lineRule="auto"/>
        <w:ind w:firstLine="480" w:firstLineChars="200"/>
        <w:jc w:val="left"/>
        <w:textAlignment w:val="auto"/>
        <w:rPr>
          <w:rFonts w:ascii="Times New Roman" w:cs="Times New Roman"/>
          <w:color w:val="auto"/>
        </w:rPr>
      </w:pPr>
      <w:r>
        <w:rPr>
          <w:rFonts w:ascii="Times New Roman" w:cs="Times New Roman"/>
          <w:color w:val="auto"/>
        </w:rPr>
        <w:t>根据现场调查，评估区内山体稳定，地形起伏变化小，未发生过崩塌地质灾害；矿山开采方式为露天开采，前期已进行开采工作，现状形成2处露天采场。露天采场1长约117m，宽约30m，开采深度约10m，</w:t>
      </w:r>
      <w:r>
        <w:rPr>
          <w:rFonts w:ascii="Times New Roman" w:cs="Times New Roman"/>
          <w:bCs/>
          <w:color w:val="auto"/>
          <w:kern w:val="2"/>
        </w:rPr>
        <w:t>边坡坡度40~65°</w:t>
      </w:r>
      <w:r>
        <w:rPr>
          <w:rFonts w:ascii="Times New Roman" w:cs="Times New Roman"/>
          <w:color w:val="auto"/>
        </w:rPr>
        <w:t>，采场底标高596.57m，面积为5044m</w:t>
      </w:r>
      <w:r>
        <w:rPr>
          <w:rFonts w:ascii="Times New Roman" w:cs="Times New Roman"/>
          <w:color w:val="auto"/>
          <w:vertAlign w:val="superscript"/>
        </w:rPr>
        <w:t>2</w:t>
      </w:r>
      <w:r>
        <w:rPr>
          <w:rFonts w:ascii="Times New Roman" w:cs="Times New Roman"/>
          <w:bCs/>
          <w:color w:val="auto"/>
          <w:kern w:val="2"/>
        </w:rPr>
        <w:t>。露天采场2</w:t>
      </w:r>
      <w:r>
        <w:rPr>
          <w:rFonts w:ascii="Times New Roman" w:cs="Times New Roman"/>
          <w:color w:val="auto"/>
        </w:rPr>
        <w:t>长约100m，宽约30m，开采深度约8m，</w:t>
      </w:r>
      <w:r>
        <w:rPr>
          <w:rFonts w:ascii="Times New Roman" w:cs="Times New Roman"/>
          <w:bCs/>
          <w:color w:val="auto"/>
          <w:kern w:val="2"/>
        </w:rPr>
        <w:t>边坡坡度35~65°</w:t>
      </w:r>
      <w:r>
        <w:rPr>
          <w:rFonts w:ascii="Times New Roman" w:cs="Times New Roman"/>
          <w:color w:val="auto"/>
        </w:rPr>
        <w:t>，采场底标高596.19m，面积为2389m</w:t>
      </w:r>
      <w:r>
        <w:rPr>
          <w:rFonts w:ascii="Times New Roman" w:cs="Times New Roman"/>
          <w:color w:val="auto"/>
          <w:vertAlign w:val="superscript"/>
        </w:rPr>
        <w:t>2</w:t>
      </w:r>
      <w:r>
        <w:rPr>
          <w:rFonts w:ascii="Times New Roman" w:cs="Times New Roman"/>
          <w:bCs/>
          <w:color w:val="auto"/>
          <w:kern w:val="2"/>
        </w:rPr>
        <w:t>。现状条</w:t>
      </w:r>
      <w:r>
        <w:rPr>
          <w:rFonts w:ascii="Times New Roman" w:cs="Times New Roman"/>
          <w:color w:val="auto"/>
        </w:rPr>
        <w:t>件下露天采场内未发生崩塌灾害，崩塌地质灾害不发育。</w:t>
      </w:r>
    </w:p>
    <w:p>
      <w:pPr>
        <w:keepNext w:val="0"/>
        <w:keepLines w:val="0"/>
        <w:pageBreakBefore w:val="0"/>
        <w:tabs>
          <w:tab w:val="left" w:pos="1300"/>
        </w:tabs>
        <w:kinsoku/>
        <w:wordWrap/>
        <w:overflowPunct/>
        <w:topLinePunct w:val="0"/>
        <w:bidi w:val="0"/>
        <w:spacing w:line="360" w:lineRule="auto"/>
        <w:ind w:firstLine="482" w:firstLineChars="200"/>
        <w:jc w:val="left"/>
        <w:textAlignment w:val="auto"/>
        <w:rPr>
          <w:b/>
          <w:bCs/>
          <w:color w:val="auto"/>
          <w:sz w:val="24"/>
        </w:rPr>
      </w:pPr>
      <w:r>
        <w:rPr>
          <w:b/>
          <w:bCs/>
          <w:color w:val="auto"/>
          <w:sz w:val="24"/>
        </w:rPr>
        <w:t>2、滑坡</w:t>
      </w:r>
    </w:p>
    <w:p>
      <w:pPr>
        <w:keepNext w:val="0"/>
        <w:keepLines w:val="0"/>
        <w:pageBreakBefore w:val="0"/>
        <w:kinsoku/>
        <w:wordWrap/>
        <w:overflowPunct/>
        <w:topLinePunct w:val="0"/>
        <w:bidi w:val="0"/>
        <w:spacing w:line="360" w:lineRule="auto"/>
        <w:ind w:firstLine="480" w:firstLineChars="200"/>
        <w:jc w:val="left"/>
        <w:textAlignment w:val="auto"/>
        <w:rPr>
          <w:color w:val="auto"/>
          <w:sz w:val="24"/>
        </w:rPr>
      </w:pPr>
      <w:r>
        <w:rPr>
          <w:color w:val="auto"/>
          <w:sz w:val="24"/>
        </w:rPr>
        <w:t>经调查，评估区未曾发生滑坡地质灾害。现状条件下共有</w:t>
      </w:r>
      <w:r>
        <w:rPr>
          <w:rFonts w:hint="eastAsia"/>
          <w:color w:val="auto"/>
          <w:sz w:val="24"/>
        </w:rPr>
        <w:t>6</w:t>
      </w:r>
      <w:r>
        <w:rPr>
          <w:color w:val="auto"/>
          <w:sz w:val="24"/>
        </w:rPr>
        <w:t>个</w:t>
      </w:r>
      <w:r>
        <w:rPr>
          <w:rFonts w:hint="eastAsia"/>
          <w:bCs/>
          <w:color w:val="auto"/>
          <w:sz w:val="24"/>
        </w:rPr>
        <w:t>废渣堆</w:t>
      </w:r>
      <w:r>
        <w:rPr>
          <w:bCs/>
          <w:color w:val="auto"/>
          <w:sz w:val="24"/>
        </w:rPr>
        <w:t>，</w:t>
      </w:r>
      <w:r>
        <w:rPr>
          <w:rFonts w:hint="eastAsia"/>
          <w:bCs/>
          <w:color w:val="auto"/>
          <w:sz w:val="24"/>
        </w:rPr>
        <w:t>1个表土存放场，表土存放场</w:t>
      </w:r>
      <w:r>
        <w:rPr>
          <w:bCs/>
          <w:color w:val="auto"/>
          <w:sz w:val="24"/>
        </w:rPr>
        <w:t>分期以设计进行治理；</w:t>
      </w:r>
      <w:r>
        <w:rPr>
          <w:rFonts w:hint="eastAsia"/>
          <w:bCs/>
          <w:color w:val="auto"/>
          <w:sz w:val="24"/>
        </w:rPr>
        <w:t>零散废渣堆（ZD1-ZD6）共计</w:t>
      </w:r>
      <w:r>
        <w:rPr>
          <w:bCs/>
          <w:color w:val="auto"/>
          <w:sz w:val="24"/>
        </w:rPr>
        <w:t>面积</w:t>
      </w:r>
      <w:r>
        <w:rPr>
          <w:rFonts w:hint="eastAsia"/>
          <w:bCs/>
          <w:color w:val="auto"/>
          <w:sz w:val="24"/>
        </w:rPr>
        <w:t>4031</w:t>
      </w:r>
      <w:r>
        <w:rPr>
          <w:bCs/>
          <w:color w:val="auto"/>
          <w:sz w:val="24"/>
        </w:rPr>
        <w:t>m</w:t>
      </w:r>
      <w:r>
        <w:rPr>
          <w:bCs/>
          <w:color w:val="auto"/>
          <w:sz w:val="24"/>
          <w:vertAlign w:val="superscript"/>
        </w:rPr>
        <w:t>2</w:t>
      </w:r>
      <w:r>
        <w:rPr>
          <w:rFonts w:hint="eastAsia"/>
          <w:bCs/>
          <w:color w:val="auto"/>
          <w:sz w:val="24"/>
        </w:rPr>
        <w:t>，</w:t>
      </w:r>
      <w:r>
        <w:rPr>
          <w:bCs/>
          <w:color w:val="auto"/>
          <w:sz w:val="24"/>
        </w:rPr>
        <w:t>台阶高度约</w:t>
      </w:r>
      <w:r>
        <w:rPr>
          <w:rFonts w:hint="eastAsia"/>
          <w:bCs/>
          <w:color w:val="auto"/>
          <w:sz w:val="24"/>
        </w:rPr>
        <w:t>1</w:t>
      </w:r>
      <w:r>
        <w:rPr>
          <w:bCs/>
          <w:color w:val="auto"/>
          <w:sz w:val="24"/>
        </w:rPr>
        <w:t>~10m，坡角约30°，废石场堆积坡度较缓，</w:t>
      </w:r>
      <w:r>
        <w:rPr>
          <w:color w:val="auto"/>
          <w:sz w:val="24"/>
        </w:rPr>
        <w:t>堆体稳定，现状滑坡地质灾害不发育。</w:t>
      </w:r>
    </w:p>
    <w:p>
      <w:pPr>
        <w:keepNext w:val="0"/>
        <w:keepLines w:val="0"/>
        <w:pageBreakBefore w:val="0"/>
        <w:tabs>
          <w:tab w:val="left" w:pos="1300"/>
        </w:tabs>
        <w:kinsoku/>
        <w:wordWrap/>
        <w:overflowPunct/>
        <w:topLinePunct w:val="0"/>
        <w:bidi w:val="0"/>
        <w:spacing w:line="360" w:lineRule="auto"/>
        <w:ind w:firstLine="482" w:firstLineChars="200"/>
        <w:jc w:val="left"/>
        <w:textAlignment w:val="auto"/>
        <w:rPr>
          <w:b/>
          <w:bCs/>
          <w:color w:val="auto"/>
          <w:sz w:val="24"/>
        </w:rPr>
      </w:pPr>
      <w:r>
        <w:rPr>
          <w:b/>
          <w:bCs/>
          <w:color w:val="auto"/>
          <w:sz w:val="24"/>
        </w:rPr>
        <w:t>3、泥石流</w:t>
      </w:r>
    </w:p>
    <w:p>
      <w:pPr>
        <w:pStyle w:val="19"/>
        <w:keepNext w:val="0"/>
        <w:keepLines w:val="0"/>
        <w:pageBreakBefore w:val="0"/>
        <w:tabs>
          <w:tab w:val="left" w:pos="6120"/>
        </w:tabs>
        <w:kinsoku/>
        <w:wordWrap/>
        <w:overflowPunct/>
        <w:topLinePunct w:val="0"/>
        <w:bidi w:val="0"/>
        <w:spacing w:line="360" w:lineRule="auto"/>
        <w:ind w:firstLine="480"/>
        <w:jc w:val="left"/>
        <w:textAlignment w:val="auto"/>
        <w:rPr>
          <w:rFonts w:eastAsia="宋体"/>
          <w:color w:val="auto"/>
          <w:kern w:val="0"/>
          <w:sz w:val="24"/>
          <w:szCs w:val="22"/>
        </w:rPr>
      </w:pPr>
      <w:r>
        <w:rPr>
          <w:rFonts w:eastAsia="宋体"/>
          <w:color w:val="auto"/>
          <w:kern w:val="0"/>
          <w:sz w:val="24"/>
          <w:szCs w:val="22"/>
        </w:rPr>
        <w:t>评估区地处中低山区，内含有微地貌沟谷，</w:t>
      </w:r>
      <w:r>
        <w:rPr>
          <w:rFonts w:eastAsia="宋体"/>
          <w:color w:val="auto"/>
          <w:sz w:val="24"/>
        </w:rPr>
        <w:t>分布在矿区</w:t>
      </w:r>
      <w:r>
        <w:rPr>
          <w:rFonts w:hint="eastAsia" w:eastAsia="宋体"/>
          <w:color w:val="auto"/>
          <w:sz w:val="24"/>
        </w:rPr>
        <w:t>中部</w:t>
      </w:r>
      <w:r>
        <w:rPr>
          <w:rFonts w:eastAsia="宋体"/>
          <w:color w:val="auto"/>
          <w:sz w:val="24"/>
        </w:rPr>
        <w:t>，走向近东西，断面呈“U”字型，沟谷长1.5km，沟宽80－160m，纵坡6-10°。</w:t>
      </w:r>
      <w:r>
        <w:rPr>
          <w:rFonts w:eastAsia="宋体"/>
          <w:color w:val="auto"/>
          <w:kern w:val="0"/>
          <w:sz w:val="24"/>
          <w:szCs w:val="22"/>
        </w:rPr>
        <w:t>经野外调查，</w:t>
      </w:r>
      <w:r>
        <w:rPr>
          <w:rFonts w:eastAsia="宋体"/>
          <w:color w:val="auto"/>
          <w:sz w:val="24"/>
        </w:rPr>
        <w:t>沟谷两侧山体局部基岩裸露，岩体坚硬、稳固，沟谷上游松散堆积物不发育。</w:t>
      </w:r>
      <w:r>
        <w:rPr>
          <w:rFonts w:eastAsia="宋体"/>
          <w:color w:val="auto"/>
          <w:kern w:val="0"/>
          <w:sz w:val="24"/>
          <w:szCs w:val="22"/>
        </w:rPr>
        <w:t>评估区内不良地质现象轻微；山坡坡度10～30°；植被覆盖率约20%；据调查访问，历史上的洪水水位也未超过评估区。现状条件下未发现有形成泥石流的物源体，评估区内泥石流灾害不发育。</w:t>
      </w:r>
    </w:p>
    <w:p>
      <w:pPr>
        <w:keepNext w:val="0"/>
        <w:keepLines w:val="0"/>
        <w:pageBreakBefore w:val="0"/>
        <w:widowControl/>
        <w:tabs>
          <w:tab w:val="left" w:pos="1300"/>
        </w:tabs>
        <w:kinsoku/>
        <w:wordWrap/>
        <w:overflowPunct/>
        <w:topLinePunct w:val="0"/>
        <w:bidi w:val="0"/>
        <w:spacing w:line="360" w:lineRule="auto"/>
        <w:ind w:firstLine="482" w:firstLineChars="200"/>
        <w:jc w:val="left"/>
        <w:textAlignment w:val="auto"/>
        <w:rPr>
          <w:b/>
          <w:bCs/>
          <w:color w:val="auto"/>
          <w:sz w:val="24"/>
        </w:rPr>
      </w:pPr>
      <w:r>
        <w:rPr>
          <w:rFonts w:hint="eastAsia"/>
          <w:b/>
          <w:bCs/>
          <w:color w:val="auto"/>
          <w:sz w:val="24"/>
        </w:rPr>
        <w:t>4</w:t>
      </w:r>
      <w:r>
        <w:rPr>
          <w:b/>
          <w:bCs/>
          <w:color w:val="auto"/>
          <w:sz w:val="24"/>
        </w:rPr>
        <w:t>、地面塌陷</w:t>
      </w:r>
    </w:p>
    <w:p>
      <w:pPr>
        <w:pStyle w:val="19"/>
        <w:keepNext w:val="0"/>
        <w:keepLines w:val="0"/>
        <w:pageBreakBefore w:val="0"/>
        <w:tabs>
          <w:tab w:val="left" w:pos="6120"/>
        </w:tabs>
        <w:kinsoku/>
        <w:wordWrap/>
        <w:overflowPunct/>
        <w:topLinePunct w:val="0"/>
        <w:bidi w:val="0"/>
        <w:spacing w:line="360" w:lineRule="auto"/>
        <w:ind w:firstLine="480"/>
        <w:jc w:val="left"/>
        <w:textAlignment w:val="auto"/>
        <w:rPr>
          <w:rFonts w:hint="eastAsia" w:eastAsia="宋体"/>
          <w:color w:val="auto"/>
          <w:sz w:val="24"/>
        </w:rPr>
      </w:pPr>
      <w:r>
        <w:rPr>
          <w:rFonts w:hint="eastAsia" w:ascii="宋体" w:hAnsi="宋体" w:eastAsia="宋体" w:cs="宋体"/>
          <w:color w:val="auto"/>
          <w:sz w:val="24"/>
        </w:rPr>
        <w:t>经现场调查及查阅相关资料，评估区内基底无井坑、墓穴、人防地道，无地下采矿活动，现状条件下地面塌陷灾害不发育。</w:t>
      </w:r>
    </w:p>
    <w:p>
      <w:pPr>
        <w:keepNext w:val="0"/>
        <w:keepLines w:val="0"/>
        <w:pageBreakBefore w:val="0"/>
        <w:tabs>
          <w:tab w:val="left" w:pos="1300"/>
        </w:tabs>
        <w:kinsoku/>
        <w:wordWrap/>
        <w:overflowPunct/>
        <w:topLinePunct w:val="0"/>
        <w:bidi w:val="0"/>
        <w:spacing w:line="360" w:lineRule="auto"/>
        <w:ind w:firstLine="482" w:firstLineChars="200"/>
        <w:jc w:val="left"/>
        <w:textAlignment w:val="auto"/>
        <w:rPr>
          <w:b/>
          <w:bCs/>
          <w:color w:val="auto"/>
          <w:sz w:val="24"/>
        </w:rPr>
      </w:pPr>
      <w:r>
        <w:rPr>
          <w:rFonts w:hint="eastAsia"/>
          <w:b/>
          <w:bCs/>
          <w:color w:val="auto"/>
          <w:sz w:val="24"/>
        </w:rPr>
        <w:t>5</w:t>
      </w:r>
      <w:r>
        <w:rPr>
          <w:b/>
          <w:bCs/>
          <w:color w:val="auto"/>
          <w:sz w:val="24"/>
        </w:rPr>
        <w:t>、地面沉降与地裂缝</w:t>
      </w:r>
    </w:p>
    <w:p>
      <w:pPr>
        <w:keepNext w:val="0"/>
        <w:keepLines w:val="0"/>
        <w:pageBreakBefore w:val="0"/>
        <w:tabs>
          <w:tab w:val="left" w:pos="1300"/>
        </w:tabs>
        <w:kinsoku/>
        <w:wordWrap/>
        <w:overflowPunct/>
        <w:topLinePunct w:val="0"/>
        <w:bidi w:val="0"/>
        <w:spacing w:line="360" w:lineRule="auto"/>
        <w:ind w:firstLine="480" w:firstLineChars="200"/>
        <w:jc w:val="left"/>
        <w:textAlignment w:val="auto"/>
        <w:rPr>
          <w:color w:val="auto"/>
          <w:sz w:val="24"/>
        </w:rPr>
      </w:pPr>
      <w:r>
        <w:rPr>
          <w:rFonts w:hint="eastAsia" w:ascii="宋体" w:hAnsi="宋体" w:cs="宋体"/>
          <w:color w:val="auto"/>
          <w:sz w:val="24"/>
        </w:rPr>
        <w:t>矿区由于含水层薄，含水层的富水性弱，</w:t>
      </w:r>
      <w:r>
        <w:rPr>
          <w:rFonts w:ascii="宋体" w:hAnsi="宋体" w:cs="宋体"/>
          <w:color w:val="auto"/>
          <w:sz w:val="24"/>
        </w:rPr>
        <w:t>评估区内及附近无</w:t>
      </w:r>
      <w:r>
        <w:rPr>
          <w:rFonts w:hint="eastAsia" w:ascii="宋体" w:hAnsi="宋体"/>
          <w:color w:val="auto"/>
          <w:sz w:val="24"/>
        </w:rPr>
        <w:t>岩溶区、无</w:t>
      </w:r>
      <w:r>
        <w:rPr>
          <w:rFonts w:hint="eastAsia"/>
          <w:color w:val="auto"/>
          <w:sz w:val="24"/>
        </w:rPr>
        <w:t>松散破碎的盖层、</w:t>
      </w:r>
      <w:r>
        <w:rPr>
          <w:rFonts w:hint="eastAsia" w:ascii="宋体" w:hAnsi="宋体"/>
          <w:color w:val="auto"/>
          <w:sz w:val="24"/>
        </w:rPr>
        <w:t>无</w:t>
      </w:r>
      <w:r>
        <w:rPr>
          <w:rFonts w:ascii="宋体" w:hAnsi="宋体" w:cs="宋体"/>
          <w:color w:val="auto"/>
          <w:sz w:val="24"/>
        </w:rPr>
        <w:t>大型水源地和开采油气资源等活动，</w:t>
      </w:r>
      <w:r>
        <w:rPr>
          <w:rFonts w:hint="eastAsia"/>
          <w:color w:val="auto"/>
          <w:sz w:val="24"/>
        </w:rPr>
        <w:t>矿区生活需水量较小，</w:t>
      </w:r>
      <w:r>
        <w:rPr>
          <w:color w:val="auto"/>
          <w:sz w:val="24"/>
        </w:rPr>
        <w:t>现状条件下地面沉降与地裂缝灾害不发育。</w:t>
      </w:r>
    </w:p>
    <w:p>
      <w:pPr>
        <w:keepNext w:val="0"/>
        <w:keepLines w:val="0"/>
        <w:pageBreakBefore w:val="0"/>
        <w:tabs>
          <w:tab w:val="left" w:pos="1300"/>
        </w:tabs>
        <w:kinsoku/>
        <w:wordWrap/>
        <w:overflowPunct/>
        <w:topLinePunct w:val="0"/>
        <w:bidi w:val="0"/>
        <w:spacing w:line="360" w:lineRule="auto"/>
        <w:ind w:firstLine="482" w:firstLineChars="200"/>
        <w:jc w:val="left"/>
        <w:textAlignment w:val="auto"/>
        <w:rPr>
          <w:b/>
          <w:bCs/>
          <w:color w:val="auto"/>
          <w:sz w:val="24"/>
        </w:rPr>
      </w:pPr>
      <w:r>
        <w:rPr>
          <w:rFonts w:hint="eastAsia"/>
          <w:b/>
          <w:bCs/>
          <w:color w:val="auto"/>
          <w:sz w:val="24"/>
        </w:rPr>
        <w:t>6</w:t>
      </w:r>
      <w:r>
        <w:rPr>
          <w:b/>
          <w:bCs/>
          <w:color w:val="auto"/>
          <w:sz w:val="24"/>
        </w:rPr>
        <w:t>、风蚀沙埋</w:t>
      </w:r>
    </w:p>
    <w:p>
      <w:pPr>
        <w:keepNext w:val="0"/>
        <w:keepLines w:val="0"/>
        <w:pageBreakBefore w:val="0"/>
        <w:widowControl/>
        <w:tabs>
          <w:tab w:val="left" w:pos="1300"/>
        </w:tabs>
        <w:kinsoku/>
        <w:wordWrap/>
        <w:overflowPunct/>
        <w:topLinePunct w:val="0"/>
        <w:bidi w:val="0"/>
        <w:snapToGrid w:val="0"/>
        <w:spacing w:line="360" w:lineRule="auto"/>
        <w:ind w:firstLine="480" w:firstLineChars="200"/>
        <w:jc w:val="left"/>
        <w:textAlignment w:val="auto"/>
        <w:rPr>
          <w:color w:val="auto"/>
          <w:sz w:val="24"/>
        </w:rPr>
      </w:pPr>
      <w:r>
        <w:rPr>
          <w:color w:val="auto"/>
          <w:sz w:val="24"/>
        </w:rPr>
        <w:t>评估区地表岩性以</w:t>
      </w:r>
      <w:r>
        <w:rPr>
          <w:rFonts w:hint="eastAsia"/>
          <w:color w:val="auto"/>
          <w:sz w:val="24"/>
        </w:rPr>
        <w:t>亚砂</w:t>
      </w:r>
      <w:r>
        <w:rPr>
          <w:color w:val="auto"/>
          <w:sz w:val="24"/>
        </w:rPr>
        <w:t>土为主，评估区周围未见流动、半流动、固定沙垅或</w:t>
      </w:r>
    </w:p>
    <w:p>
      <w:pPr>
        <w:keepNext w:val="0"/>
        <w:keepLines w:val="0"/>
        <w:pageBreakBefore w:val="0"/>
        <w:widowControl/>
        <w:tabs>
          <w:tab w:val="left" w:pos="1300"/>
        </w:tabs>
        <w:kinsoku/>
        <w:wordWrap/>
        <w:overflowPunct/>
        <w:topLinePunct w:val="0"/>
        <w:bidi w:val="0"/>
        <w:snapToGrid w:val="0"/>
        <w:spacing w:line="360" w:lineRule="auto"/>
        <w:jc w:val="left"/>
        <w:textAlignment w:val="auto"/>
        <w:rPr>
          <w:color w:val="auto"/>
          <w:sz w:val="24"/>
        </w:rPr>
      </w:pPr>
      <w:r>
        <w:rPr>
          <w:color w:val="auto"/>
          <w:sz w:val="24"/>
        </w:rPr>
        <w:t>沙地。矿区植被发育一般，无裸露的干燥土壤，现状条件下评估区内风蚀沙埋灾</w:t>
      </w:r>
    </w:p>
    <w:p>
      <w:pPr>
        <w:keepNext w:val="0"/>
        <w:keepLines w:val="0"/>
        <w:pageBreakBefore w:val="0"/>
        <w:widowControl/>
        <w:tabs>
          <w:tab w:val="left" w:pos="1300"/>
        </w:tabs>
        <w:kinsoku/>
        <w:wordWrap/>
        <w:overflowPunct/>
        <w:topLinePunct w:val="0"/>
        <w:bidi w:val="0"/>
        <w:snapToGrid w:val="0"/>
        <w:spacing w:line="360" w:lineRule="auto"/>
        <w:jc w:val="left"/>
        <w:textAlignment w:val="auto"/>
        <w:rPr>
          <w:color w:val="auto"/>
          <w:sz w:val="24"/>
        </w:rPr>
      </w:pPr>
      <w:r>
        <w:rPr>
          <w:color w:val="auto"/>
          <w:sz w:val="24"/>
        </w:rPr>
        <w:t>害不发育。</w:t>
      </w:r>
    </w:p>
    <w:p>
      <w:pPr>
        <w:keepNext w:val="0"/>
        <w:keepLines w:val="0"/>
        <w:pageBreakBefore w:val="0"/>
        <w:widowControl/>
        <w:tabs>
          <w:tab w:val="left" w:pos="1300"/>
        </w:tabs>
        <w:kinsoku/>
        <w:wordWrap/>
        <w:overflowPunct/>
        <w:topLinePunct w:val="0"/>
        <w:bidi w:val="0"/>
        <w:snapToGrid w:val="0"/>
        <w:spacing w:line="360" w:lineRule="auto"/>
        <w:ind w:firstLine="482" w:firstLineChars="200"/>
        <w:jc w:val="left"/>
        <w:textAlignment w:val="auto"/>
        <w:rPr>
          <w:b/>
          <w:bCs/>
          <w:color w:val="auto"/>
          <w:sz w:val="24"/>
        </w:rPr>
      </w:pPr>
      <w:r>
        <w:rPr>
          <w:rFonts w:hint="eastAsia"/>
          <w:b/>
          <w:bCs/>
          <w:color w:val="auto"/>
          <w:sz w:val="24"/>
        </w:rPr>
        <w:t>7</w:t>
      </w:r>
      <w:r>
        <w:rPr>
          <w:b/>
          <w:bCs/>
          <w:color w:val="auto"/>
          <w:sz w:val="24"/>
        </w:rPr>
        <w:t>、冻胀融陷</w:t>
      </w:r>
    </w:p>
    <w:p>
      <w:pPr>
        <w:keepNext w:val="0"/>
        <w:keepLines w:val="0"/>
        <w:pageBreakBefore w:val="0"/>
        <w:tabs>
          <w:tab w:val="left" w:pos="1300"/>
        </w:tabs>
        <w:kinsoku/>
        <w:wordWrap/>
        <w:overflowPunct/>
        <w:topLinePunct w:val="0"/>
        <w:bidi w:val="0"/>
        <w:spacing w:line="360" w:lineRule="auto"/>
        <w:ind w:firstLine="480" w:firstLineChars="200"/>
        <w:jc w:val="left"/>
        <w:textAlignment w:val="auto"/>
        <w:rPr>
          <w:color w:val="auto"/>
          <w:sz w:val="24"/>
        </w:rPr>
      </w:pPr>
      <w:r>
        <w:rPr>
          <w:color w:val="auto"/>
          <w:sz w:val="24"/>
        </w:rPr>
        <w:t>评估区地下最大冻土深度</w:t>
      </w:r>
      <w:r>
        <w:rPr>
          <w:rFonts w:hint="eastAsia"/>
          <w:color w:val="auto"/>
          <w:sz w:val="24"/>
        </w:rPr>
        <w:t>1.45</w:t>
      </w:r>
      <w:r>
        <w:rPr>
          <w:color w:val="auto"/>
          <w:sz w:val="24"/>
        </w:rPr>
        <w:t>m，地下水水位</w:t>
      </w:r>
      <w:r>
        <w:rPr>
          <w:rFonts w:hint="eastAsia"/>
          <w:color w:val="auto"/>
          <w:sz w:val="24"/>
        </w:rPr>
        <w:t>埋深10~40m</w:t>
      </w:r>
      <w:r>
        <w:rPr>
          <w:color w:val="auto"/>
          <w:sz w:val="24"/>
        </w:rPr>
        <w:t>，地下水位埋深超过最大冻土深度，现状条件下评估区内冻胀融陷灾害不发育。</w:t>
      </w:r>
    </w:p>
    <w:p>
      <w:pPr>
        <w:keepNext w:val="0"/>
        <w:keepLines w:val="0"/>
        <w:pageBreakBefore w:val="0"/>
        <w:tabs>
          <w:tab w:val="left" w:pos="1300"/>
        </w:tabs>
        <w:kinsoku/>
        <w:wordWrap/>
        <w:overflowPunct/>
        <w:topLinePunct w:val="0"/>
        <w:bidi w:val="0"/>
        <w:spacing w:line="360" w:lineRule="auto"/>
        <w:ind w:firstLine="480" w:firstLineChars="200"/>
        <w:jc w:val="left"/>
        <w:textAlignment w:val="auto"/>
        <w:rPr>
          <w:color w:val="auto"/>
          <w:sz w:val="24"/>
        </w:rPr>
      </w:pPr>
      <w:r>
        <w:rPr>
          <w:rFonts w:hint="eastAsia"/>
          <w:color w:val="auto"/>
          <w:sz w:val="24"/>
        </w:rPr>
        <w:t>综上所述，</w:t>
      </w:r>
      <w:r>
        <w:rPr>
          <w:color w:val="auto"/>
          <w:sz w:val="24"/>
        </w:rPr>
        <w:t>现状条件下，评估区内地质灾害影响较轻。</w:t>
      </w:r>
    </w:p>
    <w:p>
      <w:pPr>
        <w:pStyle w:val="6"/>
        <w:keepNext w:val="0"/>
        <w:keepLines w:val="0"/>
        <w:pageBreakBefore w:val="0"/>
        <w:kinsoku/>
        <w:wordWrap/>
        <w:overflowPunct/>
        <w:topLinePunct w:val="0"/>
        <w:bidi w:val="0"/>
        <w:spacing w:after="0" w:line="360" w:lineRule="auto"/>
        <w:ind w:left="0" w:leftChars="0" w:firstLine="482" w:firstLineChars="200"/>
        <w:contextualSpacing/>
        <w:jc w:val="left"/>
        <w:textAlignment w:val="auto"/>
        <w:rPr>
          <w:rFonts w:hint="eastAsia" w:ascii="宋体" w:hAnsi="宋体" w:cs="宋体"/>
          <w:b/>
          <w:color w:val="auto"/>
          <w:sz w:val="24"/>
        </w:rPr>
      </w:pPr>
      <w:r>
        <w:rPr>
          <w:rFonts w:hint="eastAsia" w:ascii="宋体" w:hAnsi="宋体" w:cs="宋体"/>
          <w:b/>
          <w:color w:val="auto"/>
          <w:sz w:val="24"/>
        </w:rPr>
        <w:t>二、含水层的影响和破坏现状评估</w:t>
      </w:r>
    </w:p>
    <w:p>
      <w:pPr>
        <w:keepNext w:val="0"/>
        <w:keepLines w:val="0"/>
        <w:pageBreakBefore w:val="0"/>
        <w:kinsoku/>
        <w:wordWrap/>
        <w:overflowPunct/>
        <w:topLinePunct w:val="0"/>
        <w:bidi w:val="0"/>
        <w:spacing w:line="360" w:lineRule="auto"/>
        <w:ind w:firstLine="480" w:firstLineChars="200"/>
        <w:contextualSpacing/>
        <w:jc w:val="left"/>
        <w:textAlignment w:val="auto"/>
        <w:rPr>
          <w:rFonts w:hint="eastAsia" w:ascii="宋体" w:hAnsi="宋体" w:cs="宋体"/>
          <w:color w:val="auto"/>
          <w:sz w:val="24"/>
        </w:rPr>
      </w:pPr>
      <w:r>
        <w:rPr>
          <w:rFonts w:hint="eastAsia" w:ascii="宋体" w:hAnsi="宋体" w:cs="宋体"/>
          <w:color w:val="auto"/>
          <w:sz w:val="24"/>
        </w:rPr>
        <w:t>1、含水层结构破坏</w:t>
      </w:r>
    </w:p>
    <w:p>
      <w:pPr>
        <w:keepNext w:val="0"/>
        <w:keepLines w:val="0"/>
        <w:pageBreakBefore w:val="0"/>
        <w:kinsoku/>
        <w:wordWrap/>
        <w:overflowPunct/>
        <w:topLinePunct w:val="0"/>
        <w:bidi w:val="0"/>
        <w:spacing w:line="360" w:lineRule="auto"/>
        <w:ind w:firstLine="480" w:firstLineChars="200"/>
        <w:contextualSpacing/>
        <w:jc w:val="left"/>
        <w:textAlignment w:val="auto"/>
        <w:rPr>
          <w:color w:val="auto"/>
          <w:sz w:val="24"/>
        </w:rPr>
      </w:pPr>
      <w:r>
        <w:rPr>
          <w:color w:val="auto"/>
          <w:sz w:val="24"/>
        </w:rPr>
        <w:t>矿区内没有区域性重要含水层，矿区地下水类型为第四系松散岩类孔隙水和基岩裂隙水，与区域性重要含水层的联系不密切</w:t>
      </w:r>
      <w:r>
        <w:rPr>
          <w:rFonts w:hint="eastAsia"/>
          <w:color w:val="auto"/>
          <w:sz w:val="24"/>
        </w:rPr>
        <w:t>；</w:t>
      </w:r>
      <w:r>
        <w:rPr>
          <w:rFonts w:hint="eastAsia" w:ascii="宋体" w:hAnsi="宋体"/>
          <w:color w:val="auto"/>
          <w:sz w:val="24"/>
        </w:rPr>
        <w:t>现状</w:t>
      </w:r>
      <w:r>
        <w:rPr>
          <w:color w:val="auto"/>
          <w:sz w:val="24"/>
        </w:rPr>
        <w:t>露天采场</w:t>
      </w:r>
      <w:r>
        <w:rPr>
          <w:rFonts w:hint="eastAsia"/>
          <w:color w:val="auto"/>
          <w:sz w:val="24"/>
        </w:rPr>
        <w:t>（1、2）现状为山坡式开采，现状未破坏含水层；</w:t>
      </w:r>
      <w:r>
        <w:rPr>
          <w:color w:val="auto"/>
          <w:sz w:val="24"/>
        </w:rPr>
        <w:t>露天采场</w:t>
      </w:r>
      <w:r>
        <w:rPr>
          <w:rFonts w:hint="eastAsia"/>
          <w:color w:val="auto"/>
          <w:sz w:val="24"/>
        </w:rPr>
        <w:t>开采深度约10m</w:t>
      </w:r>
      <w:r>
        <w:rPr>
          <w:color w:val="auto"/>
          <w:sz w:val="24"/>
        </w:rPr>
        <w:t>，</w:t>
      </w:r>
      <w:r>
        <w:rPr>
          <w:rFonts w:hint="eastAsia"/>
          <w:color w:val="auto"/>
          <w:sz w:val="24"/>
        </w:rPr>
        <w:t>采场底标高591.12m，</w:t>
      </w:r>
      <w:r>
        <w:rPr>
          <w:color w:val="auto"/>
          <w:sz w:val="24"/>
        </w:rPr>
        <w:t>地下水水位</w:t>
      </w:r>
      <w:r>
        <w:rPr>
          <w:rFonts w:hint="eastAsia"/>
          <w:color w:val="auto"/>
          <w:sz w:val="24"/>
        </w:rPr>
        <w:t>标高591m</w:t>
      </w:r>
      <w:r>
        <w:rPr>
          <w:color w:val="auto"/>
          <w:sz w:val="24"/>
        </w:rPr>
        <w:t>，</w:t>
      </w:r>
      <w:r>
        <w:rPr>
          <w:rFonts w:hint="eastAsia"/>
          <w:color w:val="auto"/>
          <w:sz w:val="24"/>
        </w:rPr>
        <w:t>现状露天采场未破坏含水层结构。</w:t>
      </w:r>
    </w:p>
    <w:p>
      <w:pPr>
        <w:keepNext w:val="0"/>
        <w:keepLines w:val="0"/>
        <w:pageBreakBefore w:val="0"/>
        <w:kinsoku/>
        <w:wordWrap/>
        <w:overflowPunct/>
        <w:topLinePunct w:val="0"/>
        <w:bidi w:val="0"/>
        <w:spacing w:line="360" w:lineRule="auto"/>
        <w:ind w:firstLine="480" w:firstLineChars="200"/>
        <w:contextualSpacing/>
        <w:jc w:val="left"/>
        <w:textAlignment w:val="auto"/>
        <w:rPr>
          <w:rFonts w:hint="eastAsia" w:ascii="宋体" w:hAnsi="宋体" w:cs="宋体"/>
          <w:color w:val="auto"/>
          <w:sz w:val="24"/>
        </w:rPr>
      </w:pPr>
      <w:r>
        <w:rPr>
          <w:rFonts w:hint="eastAsia" w:ascii="宋体" w:hAnsi="宋体" w:cs="宋体"/>
          <w:color w:val="auto"/>
          <w:sz w:val="24"/>
        </w:rPr>
        <w:t>2、疏干对含水层的影响</w:t>
      </w:r>
    </w:p>
    <w:p>
      <w:pPr>
        <w:keepNext w:val="0"/>
        <w:keepLines w:val="0"/>
        <w:pageBreakBefore w:val="0"/>
        <w:kinsoku/>
        <w:wordWrap/>
        <w:overflowPunct/>
        <w:topLinePunct w:val="0"/>
        <w:bidi w:val="0"/>
        <w:spacing w:line="360" w:lineRule="auto"/>
        <w:ind w:firstLine="480" w:firstLineChars="200"/>
        <w:contextualSpacing/>
        <w:jc w:val="left"/>
        <w:textAlignment w:val="auto"/>
        <w:rPr>
          <w:rFonts w:hint="eastAsia" w:ascii="宋体" w:hAnsi="宋体" w:cs="宋体"/>
          <w:color w:val="auto"/>
          <w:sz w:val="24"/>
        </w:rPr>
      </w:pPr>
      <w:r>
        <w:rPr>
          <w:color w:val="auto"/>
          <w:sz w:val="24"/>
        </w:rPr>
        <w:t>矿山露天采场的开采未揭露含水层，不产生疏干水。</w:t>
      </w:r>
    </w:p>
    <w:p>
      <w:pPr>
        <w:keepNext w:val="0"/>
        <w:keepLines w:val="0"/>
        <w:pageBreakBefore w:val="0"/>
        <w:kinsoku/>
        <w:wordWrap/>
        <w:overflowPunct/>
        <w:topLinePunct w:val="0"/>
        <w:bidi w:val="0"/>
        <w:spacing w:line="360" w:lineRule="auto"/>
        <w:ind w:firstLine="480" w:firstLineChars="200"/>
        <w:contextualSpacing/>
        <w:jc w:val="left"/>
        <w:textAlignment w:val="auto"/>
        <w:rPr>
          <w:rFonts w:hint="eastAsia" w:ascii="宋体" w:hAnsi="宋体" w:cs="宋体"/>
          <w:color w:val="auto"/>
          <w:sz w:val="24"/>
        </w:rPr>
      </w:pPr>
      <w:r>
        <w:rPr>
          <w:rFonts w:hint="eastAsia" w:ascii="宋体" w:hAnsi="宋体" w:cs="宋体"/>
          <w:color w:val="auto"/>
          <w:sz w:val="24"/>
        </w:rPr>
        <w:t>3、对矿区及附近水源的影响</w:t>
      </w:r>
    </w:p>
    <w:p>
      <w:pPr>
        <w:keepNext w:val="0"/>
        <w:keepLines w:val="0"/>
        <w:pageBreakBefore w:val="0"/>
        <w:kinsoku/>
        <w:wordWrap/>
        <w:overflowPunct/>
        <w:topLinePunct w:val="0"/>
        <w:bidi w:val="0"/>
        <w:spacing w:line="360" w:lineRule="auto"/>
        <w:ind w:firstLine="480" w:firstLineChars="200"/>
        <w:contextualSpacing/>
        <w:jc w:val="left"/>
        <w:textAlignment w:val="auto"/>
        <w:rPr>
          <w:rFonts w:hint="eastAsia" w:ascii="宋体" w:hAnsi="宋体" w:cs="宋体"/>
          <w:color w:val="auto"/>
          <w:sz w:val="24"/>
        </w:rPr>
      </w:pPr>
      <w:r>
        <w:rPr>
          <w:rFonts w:hint="eastAsia" w:ascii="宋体" w:hAnsi="宋体" w:cs="宋体"/>
          <w:color w:val="auto"/>
          <w:sz w:val="24"/>
        </w:rPr>
        <w:t>矿区及周围无地表水体，据实地调查，在现状条件下，矿山活动对矿区及附近村庄居民生产生活用水无影响。</w:t>
      </w:r>
    </w:p>
    <w:p>
      <w:pPr>
        <w:keepNext w:val="0"/>
        <w:keepLines w:val="0"/>
        <w:pageBreakBefore w:val="0"/>
        <w:kinsoku/>
        <w:wordWrap/>
        <w:overflowPunct/>
        <w:topLinePunct w:val="0"/>
        <w:bidi w:val="0"/>
        <w:spacing w:line="360" w:lineRule="auto"/>
        <w:ind w:firstLine="480" w:firstLineChars="200"/>
        <w:contextualSpacing/>
        <w:jc w:val="left"/>
        <w:textAlignment w:val="auto"/>
        <w:rPr>
          <w:rFonts w:hint="eastAsia" w:ascii="宋体" w:hAnsi="宋体" w:cs="宋体"/>
          <w:color w:val="auto"/>
          <w:sz w:val="24"/>
        </w:rPr>
      </w:pPr>
      <w:r>
        <w:rPr>
          <w:rFonts w:hint="eastAsia" w:ascii="宋体" w:hAnsi="宋体" w:cs="宋体"/>
          <w:color w:val="auto"/>
          <w:sz w:val="24"/>
        </w:rPr>
        <w:t>4、对地下水水质影响</w:t>
      </w:r>
    </w:p>
    <w:p>
      <w:pPr>
        <w:keepNext w:val="0"/>
        <w:keepLines w:val="0"/>
        <w:pageBreakBefore w:val="0"/>
        <w:kinsoku/>
        <w:wordWrap/>
        <w:overflowPunct/>
        <w:topLinePunct w:val="0"/>
        <w:bidi w:val="0"/>
        <w:spacing w:line="360" w:lineRule="auto"/>
        <w:ind w:firstLine="480" w:firstLineChars="200"/>
        <w:contextualSpacing/>
        <w:jc w:val="left"/>
        <w:textAlignment w:val="auto"/>
        <w:rPr>
          <w:color w:val="auto"/>
          <w:sz w:val="24"/>
        </w:rPr>
      </w:pPr>
      <w:r>
        <w:rPr>
          <w:rFonts w:hint="eastAsia" w:ascii="宋体" w:hAnsi="宋体" w:cs="宋体"/>
          <w:color w:val="auto"/>
          <w:sz w:val="24"/>
        </w:rPr>
        <w:t>现状条件下，露天采场等无排水；生产生活污水集中排放，且排放量小，</w:t>
      </w:r>
      <w:r>
        <w:rPr>
          <w:color w:val="auto"/>
          <w:sz w:val="24"/>
        </w:rPr>
        <w:t>不含有害物质，不会影响到地下水水质。</w:t>
      </w:r>
    </w:p>
    <w:p>
      <w:pPr>
        <w:keepNext w:val="0"/>
        <w:keepLines w:val="0"/>
        <w:pageBreakBefore w:val="0"/>
        <w:kinsoku/>
        <w:wordWrap/>
        <w:overflowPunct/>
        <w:topLinePunct w:val="0"/>
        <w:bidi w:val="0"/>
        <w:spacing w:line="360" w:lineRule="auto"/>
        <w:ind w:firstLine="480" w:firstLineChars="200"/>
        <w:jc w:val="left"/>
        <w:textAlignment w:val="auto"/>
        <w:rPr>
          <w:rFonts w:hint="eastAsia"/>
          <w:color w:val="auto"/>
          <w:sz w:val="24"/>
        </w:rPr>
      </w:pPr>
      <w:r>
        <w:rPr>
          <w:rFonts w:hint="eastAsia" w:ascii="宋体" w:hAnsi="宋体" w:cs="宋体"/>
          <w:color w:val="auto"/>
          <w:sz w:val="24"/>
        </w:rPr>
        <w:t>综上所述，矿山现状条件下对含水层影响程度较轻。</w:t>
      </w:r>
    </w:p>
    <w:p>
      <w:pPr>
        <w:keepNext w:val="0"/>
        <w:keepLines w:val="0"/>
        <w:pageBreakBefore w:val="0"/>
        <w:kinsoku/>
        <w:wordWrap/>
        <w:overflowPunct/>
        <w:topLinePunct w:val="0"/>
        <w:bidi w:val="0"/>
        <w:spacing w:line="360" w:lineRule="auto"/>
        <w:ind w:firstLine="482" w:firstLineChars="200"/>
        <w:jc w:val="left"/>
        <w:textAlignment w:val="auto"/>
        <w:rPr>
          <w:color w:val="auto"/>
        </w:rPr>
      </w:pPr>
      <w:bookmarkStart w:id="13" w:name="_Toc43841287"/>
      <w:bookmarkStart w:id="14" w:name="_Toc18660122"/>
      <w:bookmarkStart w:id="15" w:name="_Toc37274683"/>
      <w:r>
        <w:rPr>
          <w:b/>
          <w:bCs/>
          <w:color w:val="auto"/>
          <w:sz w:val="24"/>
        </w:rPr>
        <w:t>三、地形地貌景观影响和破坏现状评估</w:t>
      </w:r>
      <w:bookmarkEnd w:id="13"/>
      <w:bookmarkEnd w:id="14"/>
      <w:bookmarkEnd w:id="15"/>
    </w:p>
    <w:p>
      <w:pPr>
        <w:keepNext w:val="0"/>
        <w:keepLines w:val="0"/>
        <w:pageBreakBefore w:val="0"/>
        <w:kinsoku/>
        <w:wordWrap/>
        <w:overflowPunct/>
        <w:topLinePunct w:val="0"/>
        <w:bidi w:val="0"/>
        <w:spacing w:line="360" w:lineRule="auto"/>
        <w:ind w:firstLine="482" w:firstLineChars="200"/>
        <w:contextualSpacing/>
        <w:jc w:val="left"/>
        <w:textAlignment w:val="auto"/>
        <w:rPr>
          <w:color w:val="auto"/>
          <w:sz w:val="24"/>
        </w:rPr>
      </w:pPr>
      <w:r>
        <w:rPr>
          <w:rFonts w:hint="eastAsia"/>
          <w:b/>
          <w:bCs/>
          <w:color w:val="auto"/>
          <w:sz w:val="24"/>
        </w:rPr>
        <w:t>（一）</w:t>
      </w:r>
      <w:r>
        <w:rPr>
          <w:b/>
          <w:bCs/>
          <w:color w:val="auto"/>
          <w:sz w:val="24"/>
        </w:rPr>
        <w:t>地形地貌景观影响现状评估</w:t>
      </w:r>
    </w:p>
    <w:p>
      <w:pPr>
        <w:keepNext w:val="0"/>
        <w:keepLines w:val="0"/>
        <w:pageBreakBefore w:val="0"/>
        <w:kinsoku/>
        <w:wordWrap/>
        <w:overflowPunct/>
        <w:topLinePunct w:val="0"/>
        <w:bidi w:val="0"/>
        <w:adjustRightInd/>
        <w:ind w:firstLine="480"/>
        <w:jc w:val="left"/>
        <w:textAlignment w:val="auto"/>
        <w:rPr>
          <w:rFonts w:hint="default" w:ascii="Times New Roman" w:hAnsi="Times New Roman" w:eastAsia="宋体" w:cs="Times New Roman"/>
          <w:bCs/>
          <w:color w:val="auto"/>
        </w:rPr>
      </w:pPr>
      <w:r>
        <w:rPr>
          <w:color w:val="auto"/>
          <w:sz w:val="24"/>
        </w:rPr>
        <w:t>评估区附近无各类地质遗迹、自然保护区、人文景观、风景旅游区，矿山对地形地貌景观影响主要为</w:t>
      </w:r>
      <w:r>
        <w:rPr>
          <w:rFonts w:hint="eastAsia"/>
          <w:color w:val="auto"/>
          <w:sz w:val="24"/>
        </w:rPr>
        <w:t>露天采场1</w:t>
      </w:r>
      <w:r>
        <w:rPr>
          <w:color w:val="auto"/>
          <w:sz w:val="24"/>
        </w:rPr>
        <w:t>、</w:t>
      </w:r>
      <w:r>
        <w:rPr>
          <w:rFonts w:hint="eastAsia"/>
          <w:color w:val="auto"/>
          <w:sz w:val="24"/>
        </w:rPr>
        <w:t>露天采场2、工业场地、矿石堆放场、办公生活区1、办公生活区2、民采坑、钻机平台（PT1-PT9）、零散废渣堆（ZD1-ZD6）及矿区道路</w:t>
      </w:r>
      <w:r>
        <w:rPr>
          <w:color w:val="auto"/>
          <w:sz w:val="24"/>
        </w:rPr>
        <w:t>等。</w:t>
      </w:r>
    </w:p>
    <w:p>
      <w:pPr>
        <w:adjustRightInd w:val="0"/>
        <w:snapToGrid w:val="0"/>
        <w:spacing w:line="360" w:lineRule="auto"/>
        <w:ind w:left="0" w:leftChars="0" w:firstLine="0" w:firstLineChars="0"/>
        <w:jc w:val="center"/>
        <w:rPr>
          <w:color w:val="auto"/>
        </w:rPr>
      </w:pPr>
      <w:r>
        <w:rPr>
          <w:color w:val="auto"/>
        </w:rPr>
        <w:drawing>
          <wp:inline distT="0" distB="0" distL="114300" distR="114300">
            <wp:extent cx="5534025" cy="5707380"/>
            <wp:effectExtent l="0" t="0" r="952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534025" cy="5707380"/>
                    </a:xfrm>
                    <a:prstGeom prst="rect">
                      <a:avLst/>
                    </a:prstGeom>
                    <a:noFill/>
                    <a:ln>
                      <a:noFill/>
                    </a:ln>
                  </pic:spPr>
                </pic:pic>
              </a:graphicData>
            </a:graphic>
          </wp:inline>
        </w:drawing>
      </w:r>
    </w:p>
    <w:p>
      <w:pPr>
        <w:pStyle w:val="18"/>
        <w:jc w:val="center"/>
        <w:rPr>
          <w:b/>
          <w:bCs/>
          <w:color w:val="auto"/>
        </w:rPr>
      </w:pPr>
      <w:r>
        <w:rPr>
          <w:rFonts w:hint="eastAsia"/>
          <w:b/>
          <w:bCs/>
          <w:color w:val="auto"/>
        </w:rPr>
        <w:t>图</w:t>
      </w:r>
      <w:r>
        <w:rPr>
          <w:rFonts w:hint="eastAsia"/>
          <w:b/>
          <w:bCs/>
          <w:color w:val="auto"/>
          <w:lang w:val="en-US" w:eastAsia="zh-CN"/>
        </w:rPr>
        <w:t>4</w:t>
      </w:r>
      <w:r>
        <w:rPr>
          <w:rFonts w:hint="eastAsia"/>
          <w:b/>
          <w:bCs/>
          <w:color w:val="auto"/>
        </w:rPr>
        <w:t>-1  矿区卫星图</w:t>
      </w:r>
    </w:p>
    <w:p>
      <w:pPr>
        <w:adjustRightInd w:val="0"/>
        <w:snapToGrid w:val="0"/>
        <w:spacing w:line="360" w:lineRule="auto"/>
        <w:ind w:firstLine="482" w:firstLineChars="200"/>
        <w:rPr>
          <w:b/>
          <w:bCs w:val="0"/>
          <w:color w:val="auto"/>
          <w:sz w:val="24"/>
        </w:rPr>
      </w:pPr>
      <w:r>
        <w:rPr>
          <w:b/>
          <w:bCs w:val="0"/>
          <w:color w:val="auto"/>
          <w:sz w:val="24"/>
        </w:rPr>
        <w:t>1、露天采场1</w:t>
      </w:r>
    </w:p>
    <w:p>
      <w:pPr>
        <w:adjustRightInd w:val="0"/>
        <w:snapToGrid w:val="0"/>
        <w:spacing w:line="360" w:lineRule="auto"/>
        <w:ind w:firstLine="480" w:firstLineChars="200"/>
        <w:rPr>
          <w:bCs/>
          <w:color w:val="auto"/>
          <w:sz w:val="24"/>
        </w:rPr>
      </w:pPr>
      <w:r>
        <w:rPr>
          <w:color w:val="auto"/>
          <w:sz w:val="24"/>
        </w:rPr>
        <w:t>露天采场1位于</w:t>
      </w:r>
      <w:r>
        <w:rPr>
          <w:rFonts w:hint="eastAsia"/>
          <w:color w:val="auto"/>
          <w:sz w:val="24"/>
        </w:rPr>
        <w:t>北采区北部</w:t>
      </w:r>
      <w:r>
        <w:rPr>
          <w:color w:val="auto"/>
          <w:sz w:val="24"/>
        </w:rPr>
        <w:t>，</w:t>
      </w:r>
      <w:r>
        <w:rPr>
          <w:rFonts w:hint="eastAsia"/>
          <w:color w:val="auto"/>
          <w:sz w:val="24"/>
        </w:rPr>
        <w:t>采场北侧部分一分期已进行治理，且已进行验收，</w:t>
      </w:r>
      <w:r>
        <w:rPr>
          <w:color w:val="auto"/>
          <w:sz w:val="24"/>
        </w:rPr>
        <w:t>采场呈不规则状展布，采场长轴约</w:t>
      </w:r>
      <w:r>
        <w:rPr>
          <w:rFonts w:hint="eastAsia"/>
          <w:color w:val="auto"/>
          <w:sz w:val="24"/>
        </w:rPr>
        <w:t>107</w:t>
      </w:r>
      <w:r>
        <w:rPr>
          <w:color w:val="auto"/>
          <w:sz w:val="24"/>
        </w:rPr>
        <w:t>m，宽轴约</w:t>
      </w:r>
      <w:r>
        <w:rPr>
          <w:rFonts w:hint="eastAsia"/>
          <w:color w:val="auto"/>
          <w:sz w:val="24"/>
        </w:rPr>
        <w:t>30</w:t>
      </w:r>
      <w:r>
        <w:rPr>
          <w:color w:val="auto"/>
          <w:sz w:val="24"/>
        </w:rPr>
        <w:t>m，边坡高度3-</w:t>
      </w:r>
      <w:r>
        <w:rPr>
          <w:rFonts w:hint="eastAsia"/>
          <w:color w:val="auto"/>
          <w:sz w:val="24"/>
        </w:rPr>
        <w:t>13</w:t>
      </w:r>
      <w:r>
        <w:rPr>
          <w:color w:val="auto"/>
          <w:sz w:val="24"/>
        </w:rPr>
        <w:t>m，总占地面积为</w:t>
      </w:r>
      <w:r>
        <w:rPr>
          <w:rFonts w:hint="eastAsia"/>
          <w:color w:val="auto"/>
          <w:sz w:val="24"/>
        </w:rPr>
        <w:t>2600</w:t>
      </w:r>
      <w:r>
        <w:rPr>
          <w:color w:val="auto"/>
          <w:sz w:val="24"/>
        </w:rPr>
        <w:t>m</w:t>
      </w:r>
      <w:r>
        <w:rPr>
          <w:color w:val="auto"/>
          <w:sz w:val="24"/>
          <w:vertAlign w:val="superscript"/>
        </w:rPr>
        <w:t>2</w:t>
      </w:r>
      <w:r>
        <w:rPr>
          <w:color w:val="auto"/>
          <w:sz w:val="24"/>
        </w:rPr>
        <w:t>，采场内最高标高为</w:t>
      </w:r>
      <w:r>
        <w:rPr>
          <w:rFonts w:hint="eastAsia"/>
          <w:color w:val="auto"/>
          <w:sz w:val="24"/>
        </w:rPr>
        <w:t>611.92</w:t>
      </w:r>
      <w:r>
        <w:rPr>
          <w:color w:val="auto"/>
          <w:sz w:val="24"/>
        </w:rPr>
        <w:t>m，采场底部标高为</w:t>
      </w:r>
      <w:r>
        <w:rPr>
          <w:rFonts w:hint="eastAsia"/>
          <w:color w:val="auto"/>
          <w:sz w:val="24"/>
        </w:rPr>
        <w:t>591.92</w:t>
      </w:r>
      <w:r>
        <w:rPr>
          <w:color w:val="auto"/>
          <w:sz w:val="24"/>
        </w:rPr>
        <w:t>m，</w:t>
      </w:r>
      <w:r>
        <w:rPr>
          <w:rFonts w:hint="eastAsia"/>
          <w:color w:val="auto"/>
          <w:sz w:val="24"/>
        </w:rPr>
        <w:t>露天采场回填量1762m</w:t>
      </w:r>
      <w:r>
        <w:rPr>
          <w:rFonts w:hint="eastAsia"/>
          <w:color w:val="auto"/>
          <w:sz w:val="24"/>
          <w:vertAlign w:val="superscript"/>
        </w:rPr>
        <w:t>3</w:t>
      </w:r>
      <w:r>
        <w:rPr>
          <w:rFonts w:hint="eastAsia"/>
          <w:color w:val="auto"/>
          <w:sz w:val="24"/>
        </w:rPr>
        <w:t>，</w:t>
      </w:r>
      <w:r>
        <w:rPr>
          <w:color w:val="auto"/>
          <w:sz w:val="24"/>
        </w:rPr>
        <w:t>露天采场</w:t>
      </w:r>
      <w:r>
        <w:rPr>
          <w:bCs/>
          <w:color w:val="auto"/>
          <w:sz w:val="24"/>
        </w:rPr>
        <w:t>直接挖损破坏地表形态与植被，边坡高度较大且坡面不规整，破坏了地形地貌景观（</w:t>
      </w:r>
      <w:r>
        <w:rPr>
          <w:color w:val="auto"/>
          <w:sz w:val="24"/>
        </w:rPr>
        <w:t>见照片</w:t>
      </w:r>
      <w:r>
        <w:rPr>
          <w:rFonts w:hint="eastAsia"/>
          <w:color w:val="auto"/>
          <w:sz w:val="24"/>
          <w:lang w:val="en-US" w:eastAsia="zh-CN"/>
        </w:rPr>
        <w:t>4</w:t>
      </w:r>
      <w:r>
        <w:rPr>
          <w:color w:val="auto"/>
          <w:sz w:val="24"/>
        </w:rPr>
        <w:t>-1</w:t>
      </w:r>
      <w:r>
        <w:rPr>
          <w:rFonts w:hint="eastAsia"/>
          <w:color w:val="auto"/>
          <w:sz w:val="24"/>
        </w:rPr>
        <w:t>、图</w:t>
      </w:r>
      <w:r>
        <w:rPr>
          <w:rFonts w:hint="eastAsia"/>
          <w:color w:val="auto"/>
          <w:sz w:val="24"/>
          <w:lang w:val="en-US" w:eastAsia="zh-CN"/>
        </w:rPr>
        <w:t>4</w:t>
      </w:r>
      <w:r>
        <w:rPr>
          <w:rFonts w:hint="eastAsia"/>
          <w:color w:val="auto"/>
          <w:sz w:val="24"/>
        </w:rPr>
        <w:t>-2</w:t>
      </w:r>
      <w:r>
        <w:rPr>
          <w:bCs/>
          <w:color w:val="auto"/>
          <w:sz w:val="24"/>
        </w:rPr>
        <w:t>）</w:t>
      </w:r>
      <w:r>
        <w:rPr>
          <w:color w:val="auto"/>
          <w:sz w:val="24"/>
        </w:rPr>
        <w:t>。</w:t>
      </w:r>
    </w:p>
    <w:p>
      <w:pPr>
        <w:jc w:val="center"/>
        <w:rPr>
          <w:rFonts w:hint="eastAsia"/>
          <w:bCs/>
          <w:color w:val="auto"/>
          <w:sz w:val="24"/>
        </w:rPr>
      </w:pPr>
      <w:r>
        <w:rPr>
          <w:color w:val="auto"/>
        </w:rPr>
        <w:drawing>
          <wp:inline distT="0" distB="0" distL="114300" distR="114300">
            <wp:extent cx="4695190" cy="2318385"/>
            <wp:effectExtent l="0" t="0" r="1016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rcRect l="7234" t="31004" r="50621" b="26082"/>
                    <a:stretch>
                      <a:fillRect/>
                    </a:stretch>
                  </pic:blipFill>
                  <pic:spPr>
                    <a:xfrm>
                      <a:off x="0" y="0"/>
                      <a:ext cx="4695190" cy="231838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-1  露天采场1</w:t>
      </w:r>
    </w:p>
    <w:p>
      <w:pPr>
        <w:pStyle w:val="18"/>
        <w:jc w:val="center"/>
        <w:rPr>
          <w:rFonts w:hint="eastAsia" w:ascii="Times New Roman" w:cs="Times New Roman"/>
          <w:color w:val="auto"/>
        </w:rPr>
      </w:pPr>
      <w:r>
        <w:rPr>
          <w:color w:val="auto"/>
        </w:rPr>
        <w:drawing>
          <wp:inline distT="0" distB="0" distL="114300" distR="114300">
            <wp:extent cx="1590675" cy="2431415"/>
            <wp:effectExtent l="0" t="0" r="952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1590675" cy="2431415"/>
                    </a:xfrm>
                    <a:prstGeom prst="rect">
                      <a:avLst/>
                    </a:prstGeom>
                    <a:noFill/>
                    <a:ln>
                      <a:noFill/>
                    </a:ln>
                  </pic:spPr>
                </pic:pic>
              </a:graphicData>
            </a:graphic>
          </wp:inline>
        </w:drawing>
      </w:r>
    </w:p>
    <w:p>
      <w:pPr>
        <w:pStyle w:val="18"/>
        <w:jc w:val="center"/>
        <w:rPr>
          <w:rFonts w:hint="eastAsia" w:ascii="黑体" w:hAnsi="黑体" w:eastAsia="黑体" w:cs="黑体"/>
          <w:color w:val="auto"/>
        </w:rPr>
      </w:pPr>
      <w:r>
        <w:rPr>
          <w:rFonts w:hint="eastAsia" w:ascii="黑体" w:hAnsi="黑体" w:eastAsia="黑体" w:cs="黑体"/>
          <w:color w:val="auto"/>
        </w:rPr>
        <w:t>图</w:t>
      </w:r>
      <w:r>
        <w:rPr>
          <w:rFonts w:hint="eastAsia" w:ascii="黑体" w:hAnsi="黑体" w:eastAsia="黑体" w:cs="黑体"/>
          <w:color w:val="auto"/>
          <w:lang w:val="en-US" w:eastAsia="zh-CN"/>
        </w:rPr>
        <w:t>4</w:t>
      </w:r>
      <w:r>
        <w:rPr>
          <w:rFonts w:hint="eastAsia" w:ascii="黑体" w:hAnsi="黑体" w:eastAsia="黑体" w:cs="黑体"/>
          <w:color w:val="auto"/>
        </w:rPr>
        <w:t>-2  露天采场1开挖方量三角网法计算成果图</w:t>
      </w:r>
    </w:p>
    <w:p>
      <w:pPr>
        <w:adjustRightInd w:val="0"/>
        <w:snapToGrid w:val="0"/>
        <w:spacing w:line="360" w:lineRule="auto"/>
        <w:ind w:firstLine="482" w:firstLineChars="200"/>
        <w:rPr>
          <w:b/>
          <w:bCs w:val="0"/>
          <w:color w:val="auto"/>
          <w:sz w:val="24"/>
        </w:rPr>
      </w:pPr>
      <w:r>
        <w:rPr>
          <w:b/>
          <w:bCs w:val="0"/>
          <w:color w:val="auto"/>
          <w:sz w:val="24"/>
        </w:rPr>
        <w:t>2、露天采场2</w:t>
      </w:r>
    </w:p>
    <w:p>
      <w:pPr>
        <w:adjustRightInd w:val="0"/>
        <w:snapToGrid w:val="0"/>
        <w:spacing w:line="360" w:lineRule="auto"/>
        <w:ind w:firstLine="480" w:firstLineChars="200"/>
        <w:rPr>
          <w:rFonts w:hint="eastAsia"/>
          <w:bCs/>
          <w:color w:val="auto"/>
          <w:sz w:val="24"/>
        </w:rPr>
      </w:pPr>
      <w:r>
        <w:rPr>
          <w:color w:val="auto"/>
          <w:sz w:val="24"/>
        </w:rPr>
        <w:t>露天采场2位于</w:t>
      </w:r>
      <w:r>
        <w:rPr>
          <w:rFonts w:hint="eastAsia"/>
          <w:color w:val="auto"/>
          <w:sz w:val="24"/>
        </w:rPr>
        <w:t>南采区南东侧</w:t>
      </w:r>
      <w:r>
        <w:rPr>
          <w:color w:val="auto"/>
          <w:sz w:val="24"/>
        </w:rPr>
        <w:t>，长约</w:t>
      </w:r>
      <w:r>
        <w:rPr>
          <w:rFonts w:hint="eastAsia"/>
          <w:color w:val="auto"/>
          <w:sz w:val="24"/>
        </w:rPr>
        <w:t>121</w:t>
      </w:r>
      <w:r>
        <w:rPr>
          <w:color w:val="auto"/>
          <w:sz w:val="24"/>
        </w:rPr>
        <w:t>m，宽约</w:t>
      </w:r>
      <w:r>
        <w:rPr>
          <w:rFonts w:hint="eastAsia"/>
          <w:color w:val="auto"/>
          <w:sz w:val="24"/>
        </w:rPr>
        <w:t>30</w:t>
      </w:r>
      <w:r>
        <w:rPr>
          <w:color w:val="auto"/>
          <w:sz w:val="24"/>
        </w:rPr>
        <w:t>m，面积约</w:t>
      </w:r>
      <w:r>
        <w:rPr>
          <w:rFonts w:hint="eastAsia"/>
          <w:color w:val="auto"/>
          <w:sz w:val="24"/>
        </w:rPr>
        <w:t>2389</w:t>
      </w:r>
      <w:r>
        <w:rPr>
          <w:color w:val="auto"/>
          <w:sz w:val="24"/>
        </w:rPr>
        <w:t>m</w:t>
      </w:r>
      <w:r>
        <w:rPr>
          <w:color w:val="auto"/>
          <w:sz w:val="24"/>
          <w:vertAlign w:val="superscript"/>
        </w:rPr>
        <w:t>2</w:t>
      </w:r>
      <w:r>
        <w:rPr>
          <w:color w:val="auto"/>
          <w:sz w:val="24"/>
        </w:rPr>
        <w:t>，开采深度</w:t>
      </w:r>
      <w:r>
        <w:rPr>
          <w:rFonts w:hint="eastAsia"/>
          <w:color w:val="auto"/>
          <w:sz w:val="24"/>
        </w:rPr>
        <w:t>约8</w:t>
      </w:r>
      <w:r>
        <w:rPr>
          <w:color w:val="auto"/>
          <w:sz w:val="24"/>
        </w:rPr>
        <w:t>m，</w:t>
      </w:r>
      <w:r>
        <w:rPr>
          <w:bCs/>
          <w:color w:val="auto"/>
          <w:sz w:val="24"/>
        </w:rPr>
        <w:t>边坡坡度35~65°</w:t>
      </w:r>
      <w:r>
        <w:rPr>
          <w:color w:val="auto"/>
          <w:sz w:val="24"/>
        </w:rPr>
        <w:t>，采场底标高</w:t>
      </w:r>
      <w:r>
        <w:rPr>
          <w:rFonts w:hint="eastAsia"/>
          <w:color w:val="auto"/>
          <w:sz w:val="24"/>
        </w:rPr>
        <w:t>596.19</w:t>
      </w:r>
      <w:r>
        <w:rPr>
          <w:color w:val="auto"/>
          <w:sz w:val="24"/>
        </w:rPr>
        <w:t>m，</w:t>
      </w:r>
      <w:r>
        <w:rPr>
          <w:rFonts w:hint="eastAsia"/>
          <w:color w:val="auto"/>
          <w:sz w:val="24"/>
        </w:rPr>
        <w:t>开采形成马道长约45m，露天采场2挖方量1395m</w:t>
      </w:r>
      <w:r>
        <w:rPr>
          <w:rFonts w:hint="eastAsia"/>
          <w:color w:val="auto"/>
          <w:sz w:val="24"/>
          <w:vertAlign w:val="superscript"/>
        </w:rPr>
        <w:t>3</w:t>
      </w:r>
      <w:r>
        <w:rPr>
          <w:rFonts w:hint="eastAsia"/>
          <w:color w:val="auto"/>
          <w:sz w:val="24"/>
        </w:rPr>
        <w:t>，</w:t>
      </w:r>
      <w:r>
        <w:rPr>
          <w:color w:val="auto"/>
          <w:sz w:val="24"/>
        </w:rPr>
        <w:t>露天采场</w:t>
      </w:r>
      <w:r>
        <w:rPr>
          <w:bCs/>
          <w:color w:val="auto"/>
          <w:sz w:val="24"/>
        </w:rPr>
        <w:t>直接挖损破坏地表形态与植被，破坏了地形地貌景观（</w:t>
      </w:r>
      <w:r>
        <w:rPr>
          <w:color w:val="auto"/>
          <w:sz w:val="24"/>
        </w:rPr>
        <w:t>见照片</w:t>
      </w:r>
      <w:r>
        <w:rPr>
          <w:rFonts w:hint="eastAsia"/>
          <w:color w:val="auto"/>
          <w:sz w:val="24"/>
          <w:lang w:val="en-US" w:eastAsia="zh-CN"/>
        </w:rPr>
        <w:t>4</w:t>
      </w:r>
      <w:r>
        <w:rPr>
          <w:color w:val="auto"/>
          <w:sz w:val="24"/>
        </w:rPr>
        <w:t>-</w:t>
      </w:r>
      <w:r>
        <w:rPr>
          <w:rFonts w:hint="eastAsia"/>
          <w:color w:val="auto"/>
          <w:sz w:val="24"/>
        </w:rPr>
        <w:t>2</w:t>
      </w:r>
      <w:r>
        <w:rPr>
          <w:bCs/>
          <w:color w:val="auto"/>
          <w:sz w:val="24"/>
        </w:rPr>
        <w:t>）</w:t>
      </w:r>
      <w:r>
        <w:rPr>
          <w:color w:val="auto"/>
          <w:sz w:val="24"/>
        </w:rPr>
        <w:t>。</w:t>
      </w:r>
    </w:p>
    <w:p>
      <w:pPr>
        <w:contextualSpacing/>
        <w:jc w:val="center"/>
        <w:rPr>
          <w:color w:val="auto"/>
          <w:sz w:val="24"/>
        </w:rPr>
      </w:pPr>
      <w:r>
        <w:rPr>
          <w:color w:val="auto"/>
        </w:rPr>
        <w:drawing>
          <wp:inline distT="0" distB="0" distL="114300" distR="114300">
            <wp:extent cx="3335020" cy="2654935"/>
            <wp:effectExtent l="0" t="0" r="1778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rcRect r="9024"/>
                    <a:stretch>
                      <a:fillRect/>
                    </a:stretch>
                  </pic:blipFill>
                  <pic:spPr>
                    <a:xfrm>
                      <a:off x="0" y="0"/>
                      <a:ext cx="3335020" cy="265493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-2  露天采场2</w:t>
      </w:r>
    </w:p>
    <w:p>
      <w:pPr>
        <w:spacing w:line="360" w:lineRule="auto"/>
        <w:ind w:firstLine="480" w:firstLineChars="200"/>
        <w:rPr>
          <w:color w:val="auto"/>
          <w:sz w:val="24"/>
        </w:rPr>
      </w:pPr>
      <w:r>
        <w:rPr>
          <w:rFonts w:hint="eastAsia"/>
          <w:color w:val="auto"/>
          <w:sz w:val="24"/>
        </w:rPr>
        <w:t>3</w:t>
      </w:r>
      <w:r>
        <w:rPr>
          <w:color w:val="auto"/>
          <w:sz w:val="24"/>
        </w:rPr>
        <w:t>、</w:t>
      </w:r>
      <w:r>
        <w:rPr>
          <w:rFonts w:hint="eastAsia"/>
          <w:color w:val="auto"/>
          <w:sz w:val="24"/>
        </w:rPr>
        <w:t>工业场地</w:t>
      </w:r>
    </w:p>
    <w:p>
      <w:pPr>
        <w:spacing w:line="360" w:lineRule="auto"/>
        <w:ind w:firstLine="480" w:firstLineChars="200"/>
        <w:rPr>
          <w:color w:val="auto"/>
          <w:sz w:val="24"/>
        </w:rPr>
      </w:pPr>
      <w:r>
        <w:rPr>
          <w:color w:val="auto"/>
          <w:sz w:val="24"/>
        </w:rPr>
        <w:t>工业场地位于</w:t>
      </w:r>
      <w:r>
        <w:rPr>
          <w:rFonts w:hint="eastAsia"/>
          <w:color w:val="auto"/>
          <w:sz w:val="24"/>
        </w:rPr>
        <w:t>露天采场1东</w:t>
      </w:r>
      <w:r>
        <w:rPr>
          <w:color w:val="auto"/>
          <w:sz w:val="24"/>
        </w:rPr>
        <w:t>部，为矿石加工场地，占地面积</w:t>
      </w:r>
      <w:r>
        <w:rPr>
          <w:rFonts w:hint="eastAsia"/>
          <w:color w:val="auto"/>
          <w:sz w:val="24"/>
        </w:rPr>
        <w:t>17450m</w:t>
      </w:r>
      <w:r>
        <w:rPr>
          <w:color w:val="auto"/>
          <w:sz w:val="24"/>
          <w:vertAlign w:val="superscript"/>
        </w:rPr>
        <w:t>2</w:t>
      </w:r>
      <w:r>
        <w:rPr>
          <w:rFonts w:hint="eastAsia"/>
          <w:color w:val="auto"/>
          <w:sz w:val="24"/>
        </w:rPr>
        <w:t>；场地底部用废石垫平进行地基加固，底部废石量约3960m</w:t>
      </w:r>
      <w:r>
        <w:rPr>
          <w:rFonts w:hint="eastAsia"/>
          <w:color w:val="auto"/>
          <w:sz w:val="24"/>
          <w:vertAlign w:val="superscript"/>
        </w:rPr>
        <w:t>3</w:t>
      </w:r>
      <w:r>
        <w:rPr>
          <w:rFonts w:hint="eastAsia"/>
          <w:color w:val="auto"/>
          <w:sz w:val="24"/>
        </w:rPr>
        <w:t>，场地内建筑物为钢结构建筑物，占地面积4742m</w:t>
      </w:r>
      <w:r>
        <w:rPr>
          <w:rFonts w:hint="eastAsia"/>
          <w:color w:val="auto"/>
          <w:sz w:val="24"/>
          <w:vertAlign w:val="superscript"/>
        </w:rPr>
        <w:t>2</w:t>
      </w:r>
      <w:r>
        <w:rPr>
          <w:rFonts w:hint="eastAsia"/>
          <w:color w:val="auto"/>
          <w:sz w:val="24"/>
        </w:rPr>
        <w:t>，平均高度约4m；场地建设产生切坡，切坡长约265m，平均高度约1m，场地建设时东侧产生堆坡，堆坡高度约1m，长度约94m，面积94m</w:t>
      </w:r>
      <w:r>
        <w:rPr>
          <w:rFonts w:hint="eastAsia"/>
          <w:color w:val="auto"/>
          <w:sz w:val="24"/>
          <w:vertAlign w:val="superscript"/>
        </w:rPr>
        <w:t>2</w:t>
      </w:r>
      <w:r>
        <w:rPr>
          <w:rFonts w:hint="eastAsia"/>
          <w:color w:val="auto"/>
          <w:sz w:val="24"/>
        </w:rPr>
        <w:t>，堆积废石120m</w:t>
      </w:r>
      <w:r>
        <w:rPr>
          <w:rFonts w:hint="eastAsia"/>
          <w:color w:val="auto"/>
          <w:sz w:val="24"/>
          <w:vertAlign w:val="superscript"/>
        </w:rPr>
        <w:t>3</w:t>
      </w:r>
      <w:r>
        <w:rPr>
          <w:rFonts w:hint="eastAsia"/>
          <w:color w:val="auto"/>
          <w:sz w:val="24"/>
        </w:rPr>
        <w:t>，</w:t>
      </w:r>
      <w:r>
        <w:rPr>
          <w:rFonts w:hint="eastAsia" w:ascii="宋体" w:hAnsi="宋体"/>
          <w:bCs/>
          <w:color w:val="auto"/>
          <w:spacing w:val="-2"/>
          <w:sz w:val="24"/>
        </w:rPr>
        <w:t>场地的建设直接破坏了原生的地形地貌景观和植被</w:t>
      </w:r>
      <w:r>
        <w:rPr>
          <w:color w:val="auto"/>
          <w:sz w:val="24"/>
        </w:rPr>
        <w:t>（见照片</w:t>
      </w:r>
      <w:r>
        <w:rPr>
          <w:rFonts w:hint="eastAsia"/>
          <w:color w:val="auto"/>
          <w:sz w:val="24"/>
          <w:lang w:val="en-US" w:eastAsia="zh-CN"/>
        </w:rPr>
        <w:t>4</w:t>
      </w:r>
      <w:r>
        <w:rPr>
          <w:color w:val="auto"/>
          <w:sz w:val="24"/>
        </w:rPr>
        <w:t>-</w:t>
      </w:r>
      <w:r>
        <w:rPr>
          <w:rFonts w:hint="eastAsia"/>
          <w:color w:val="auto"/>
          <w:sz w:val="24"/>
        </w:rPr>
        <w:t>3</w:t>
      </w:r>
      <w:r>
        <w:rPr>
          <w:color w:val="auto"/>
          <w:sz w:val="24"/>
        </w:rPr>
        <w:t>）</w:t>
      </w:r>
      <w:r>
        <w:rPr>
          <w:rFonts w:hint="eastAsia" w:ascii="宋体" w:hAnsi="宋体"/>
          <w:bCs/>
          <w:color w:val="auto"/>
          <w:spacing w:val="-2"/>
          <w:sz w:val="24"/>
        </w:rPr>
        <w:t>。</w:t>
      </w:r>
    </w:p>
    <w:p>
      <w:pPr>
        <w:jc w:val="center"/>
        <w:rPr>
          <w:color w:val="auto"/>
        </w:rPr>
      </w:pPr>
      <w:r>
        <w:rPr>
          <w:color w:val="auto"/>
        </w:rPr>
        <w:drawing>
          <wp:inline distT="0" distB="0" distL="114300" distR="114300">
            <wp:extent cx="4848860" cy="2379980"/>
            <wp:effectExtent l="0" t="0" r="889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7"/>
                    <a:stretch>
                      <a:fillRect/>
                    </a:stretch>
                  </pic:blipFill>
                  <pic:spPr>
                    <a:xfrm>
                      <a:off x="0" y="0"/>
                      <a:ext cx="4848860" cy="2379980"/>
                    </a:xfrm>
                    <a:prstGeom prst="rect">
                      <a:avLst/>
                    </a:prstGeom>
                    <a:noFill/>
                    <a:ln>
                      <a:noFill/>
                    </a:ln>
                  </pic:spPr>
                </pic:pic>
              </a:graphicData>
            </a:graphic>
          </wp:inline>
        </w:drawing>
      </w:r>
    </w:p>
    <w:p>
      <w:pPr>
        <w:spacing w:line="360" w:lineRule="auto"/>
        <w:contextualSpacing/>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-3  工业场地</w:t>
      </w:r>
    </w:p>
    <w:p>
      <w:pPr>
        <w:spacing w:line="360" w:lineRule="auto"/>
        <w:contextualSpacing/>
        <w:jc w:val="center"/>
        <w:rPr>
          <w:rFonts w:hint="eastAsia" w:ascii="黑体" w:hAnsi="黑体" w:eastAsia="黑体" w:cs="黑体"/>
          <w:color w:val="auto"/>
          <w:sz w:val="24"/>
          <w:szCs w:val="32"/>
        </w:rPr>
      </w:pPr>
    </w:p>
    <w:p>
      <w:pPr>
        <w:spacing w:line="360" w:lineRule="auto"/>
        <w:contextualSpacing/>
        <w:jc w:val="center"/>
        <w:rPr>
          <w:rFonts w:hint="eastAsia" w:ascii="黑体" w:hAnsi="黑体" w:eastAsia="黑体" w:cs="黑体"/>
          <w:color w:val="auto"/>
          <w:sz w:val="24"/>
          <w:szCs w:val="32"/>
          <w:lang w:eastAsia="zh-CN"/>
        </w:rPr>
      </w:pPr>
      <w:r>
        <w:rPr>
          <w:rFonts w:hint="eastAsia" w:ascii="黑体" w:hAnsi="黑体" w:eastAsia="黑体" w:cs="黑体"/>
          <w:color w:val="auto"/>
          <w:sz w:val="24"/>
          <w:szCs w:val="32"/>
          <w:lang w:eastAsia="zh-CN"/>
        </w:rPr>
        <w:drawing>
          <wp:inline distT="0" distB="0" distL="114300" distR="114300">
            <wp:extent cx="4909185" cy="3400425"/>
            <wp:effectExtent l="0" t="0" r="5715" b="952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8"/>
                  </pic:blipFill>
                  <pic:spPr>
                    <a:xfrm>
                      <a:off x="0" y="0"/>
                      <a:ext cx="4909185" cy="3400425"/>
                    </a:xfrm>
                    <a:prstGeom prst="rect">
                      <a:avLst/>
                    </a:prstGeom>
                  </pic:spPr>
                </pic:pic>
              </a:graphicData>
            </a:graphic>
          </wp:inline>
        </w:drawing>
      </w:r>
    </w:p>
    <w:p>
      <w:pPr>
        <w:spacing w:line="360" w:lineRule="auto"/>
        <w:contextualSpacing/>
        <w:jc w:val="center"/>
        <w:rPr>
          <w:rFonts w:hint="eastAsia" w:ascii="黑体" w:hAnsi="黑体" w:eastAsia="黑体" w:cs="黑体"/>
          <w:color w:val="auto"/>
          <w:sz w:val="24"/>
          <w:szCs w:val="32"/>
          <w:lang w:val="en-US" w:eastAsia="zh-CN"/>
        </w:rPr>
      </w:pPr>
      <w:r>
        <w:rPr>
          <w:rFonts w:hint="eastAsia" w:ascii="黑体" w:hAnsi="黑体" w:eastAsia="黑体" w:cs="黑体"/>
          <w:color w:val="auto"/>
          <w:sz w:val="24"/>
          <w:szCs w:val="32"/>
        </w:rPr>
        <w:t>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-3</w:t>
      </w:r>
      <w:r>
        <w:rPr>
          <w:rFonts w:hint="eastAsia" w:ascii="黑体" w:hAnsi="黑体" w:eastAsia="黑体" w:cs="黑体"/>
          <w:color w:val="auto"/>
          <w:sz w:val="24"/>
          <w:szCs w:val="32"/>
          <w:lang w:val="en-US" w:eastAsia="zh-CN"/>
        </w:rPr>
        <w:t>-1</w:t>
      </w:r>
      <w:r>
        <w:rPr>
          <w:rFonts w:hint="eastAsia" w:ascii="黑体" w:hAnsi="黑体" w:eastAsia="黑体" w:cs="黑体"/>
          <w:color w:val="auto"/>
          <w:sz w:val="24"/>
          <w:szCs w:val="32"/>
        </w:rPr>
        <w:t xml:space="preserve">  工业场地</w:t>
      </w:r>
      <w:r>
        <w:rPr>
          <w:rFonts w:hint="eastAsia" w:ascii="黑体" w:hAnsi="黑体" w:eastAsia="黑体" w:cs="黑体"/>
          <w:color w:val="auto"/>
          <w:sz w:val="24"/>
          <w:szCs w:val="32"/>
          <w:lang w:val="en-US" w:eastAsia="zh-CN"/>
        </w:rPr>
        <w:t>废弃渣堆</w:t>
      </w:r>
    </w:p>
    <w:p>
      <w:pPr>
        <w:spacing w:line="360" w:lineRule="auto"/>
        <w:contextualSpacing/>
        <w:jc w:val="center"/>
        <w:rPr>
          <w:rFonts w:hint="eastAsia" w:ascii="黑体" w:hAnsi="黑体" w:eastAsia="黑体" w:cs="黑体"/>
          <w:color w:val="auto"/>
          <w:sz w:val="24"/>
          <w:szCs w:val="32"/>
          <w:lang w:eastAsia="zh-CN"/>
        </w:rPr>
      </w:pPr>
    </w:p>
    <w:p>
      <w:pPr>
        <w:spacing w:line="360" w:lineRule="auto"/>
        <w:ind w:firstLine="480" w:firstLineChars="200"/>
        <w:rPr>
          <w:rFonts w:hint="eastAsia"/>
          <w:color w:val="auto"/>
          <w:sz w:val="24"/>
        </w:rPr>
      </w:pPr>
      <w:r>
        <w:rPr>
          <w:rFonts w:hint="eastAsia"/>
          <w:color w:val="auto"/>
          <w:sz w:val="24"/>
        </w:rPr>
        <w:t>4</w:t>
      </w:r>
      <w:r>
        <w:rPr>
          <w:color w:val="auto"/>
          <w:sz w:val="24"/>
        </w:rPr>
        <w:t>、</w:t>
      </w:r>
      <w:r>
        <w:rPr>
          <w:rFonts w:hint="eastAsia"/>
          <w:color w:val="auto"/>
          <w:sz w:val="24"/>
        </w:rPr>
        <w:t>矿石堆放场</w:t>
      </w:r>
    </w:p>
    <w:p>
      <w:pPr>
        <w:spacing w:line="360" w:lineRule="auto"/>
        <w:ind w:firstLine="480" w:firstLineChars="200"/>
        <w:rPr>
          <w:rFonts w:hint="eastAsia"/>
          <w:color w:val="auto"/>
          <w:sz w:val="24"/>
        </w:rPr>
      </w:pPr>
      <w:r>
        <w:rPr>
          <w:rFonts w:hint="eastAsia"/>
          <w:color w:val="auto"/>
          <w:sz w:val="24"/>
        </w:rPr>
        <w:t>矿石堆放场</w:t>
      </w:r>
      <w:r>
        <w:rPr>
          <w:color w:val="auto"/>
          <w:sz w:val="24"/>
        </w:rPr>
        <w:t>位于</w:t>
      </w:r>
      <w:r>
        <w:rPr>
          <w:rFonts w:hint="eastAsia"/>
          <w:color w:val="auto"/>
          <w:sz w:val="24"/>
        </w:rPr>
        <w:t>工业场地</w:t>
      </w:r>
      <w:r>
        <w:rPr>
          <w:color w:val="auto"/>
          <w:sz w:val="24"/>
        </w:rPr>
        <w:t>南部，为矿石</w:t>
      </w:r>
      <w:r>
        <w:rPr>
          <w:rFonts w:hint="eastAsia"/>
          <w:color w:val="auto"/>
          <w:sz w:val="24"/>
        </w:rPr>
        <w:t>临时堆放场地</w:t>
      </w:r>
      <w:r>
        <w:rPr>
          <w:color w:val="auto"/>
          <w:sz w:val="24"/>
        </w:rPr>
        <w:t>，占地面积</w:t>
      </w:r>
      <w:r>
        <w:rPr>
          <w:rFonts w:hint="eastAsia"/>
          <w:color w:val="auto"/>
          <w:sz w:val="24"/>
        </w:rPr>
        <w:t>7936</w:t>
      </w:r>
      <w:r>
        <w:rPr>
          <w:color w:val="auto"/>
          <w:sz w:val="24"/>
        </w:rPr>
        <w:t>m</w:t>
      </w:r>
      <w:r>
        <w:rPr>
          <w:color w:val="auto"/>
          <w:sz w:val="24"/>
          <w:vertAlign w:val="superscript"/>
        </w:rPr>
        <w:t>2</w:t>
      </w:r>
      <w:r>
        <w:rPr>
          <w:rFonts w:hint="eastAsia"/>
          <w:color w:val="auto"/>
          <w:sz w:val="24"/>
        </w:rPr>
        <w:t>；</w:t>
      </w:r>
      <w:r>
        <w:rPr>
          <w:color w:val="auto"/>
          <w:sz w:val="24"/>
        </w:rPr>
        <w:t>场地</w:t>
      </w:r>
      <w:r>
        <w:rPr>
          <w:rFonts w:hint="eastAsia"/>
          <w:color w:val="auto"/>
          <w:sz w:val="24"/>
        </w:rPr>
        <w:t>南</w:t>
      </w:r>
      <w:r>
        <w:rPr>
          <w:color w:val="auto"/>
          <w:sz w:val="24"/>
        </w:rPr>
        <w:t>侧存在切坡，切坡长度</w:t>
      </w:r>
      <w:r>
        <w:rPr>
          <w:rFonts w:hint="eastAsia"/>
          <w:color w:val="auto"/>
          <w:sz w:val="24"/>
        </w:rPr>
        <w:t>150</w:t>
      </w:r>
      <w:r>
        <w:rPr>
          <w:color w:val="auto"/>
          <w:sz w:val="24"/>
        </w:rPr>
        <w:t>m，高度</w:t>
      </w:r>
      <w:r>
        <w:rPr>
          <w:rFonts w:hint="eastAsia"/>
          <w:color w:val="auto"/>
          <w:sz w:val="24"/>
        </w:rPr>
        <w:t>2</w:t>
      </w:r>
      <w:r>
        <w:rPr>
          <w:color w:val="auto"/>
          <w:sz w:val="24"/>
        </w:rPr>
        <w:t>~</w:t>
      </w:r>
      <w:r>
        <w:rPr>
          <w:rFonts w:hint="eastAsia"/>
          <w:color w:val="auto"/>
          <w:sz w:val="24"/>
        </w:rPr>
        <w:t>8</w:t>
      </w:r>
      <w:r>
        <w:rPr>
          <w:color w:val="auto"/>
          <w:sz w:val="24"/>
        </w:rPr>
        <w:t>m，边坡</w:t>
      </w:r>
      <w:r>
        <w:rPr>
          <w:bCs/>
          <w:color w:val="auto"/>
          <w:sz w:val="24"/>
        </w:rPr>
        <w:t>坡角约</w:t>
      </w:r>
      <w:r>
        <w:rPr>
          <w:rFonts w:hint="eastAsia"/>
          <w:bCs/>
          <w:color w:val="auto"/>
          <w:sz w:val="24"/>
        </w:rPr>
        <w:t>75</w:t>
      </w:r>
      <w:r>
        <w:rPr>
          <w:bCs/>
          <w:color w:val="auto"/>
          <w:sz w:val="24"/>
        </w:rPr>
        <w:t>°</w:t>
      </w:r>
      <w:r>
        <w:rPr>
          <w:rFonts w:hint="eastAsia"/>
          <w:bCs/>
          <w:color w:val="auto"/>
          <w:sz w:val="24"/>
        </w:rPr>
        <w:t>-90</w:t>
      </w:r>
      <w:r>
        <w:rPr>
          <w:bCs/>
          <w:color w:val="auto"/>
          <w:sz w:val="24"/>
        </w:rPr>
        <w:t>°，</w:t>
      </w:r>
      <w:r>
        <w:rPr>
          <w:rFonts w:hint="eastAsia"/>
          <w:bCs/>
          <w:color w:val="auto"/>
          <w:sz w:val="24"/>
        </w:rPr>
        <w:t>场地堆存矿石约17900m</w:t>
      </w:r>
      <w:r>
        <w:rPr>
          <w:rFonts w:hint="eastAsia"/>
          <w:bCs/>
          <w:color w:val="auto"/>
          <w:sz w:val="24"/>
          <w:vertAlign w:val="superscript"/>
        </w:rPr>
        <w:t>3</w:t>
      </w:r>
      <w:r>
        <w:rPr>
          <w:rFonts w:hint="eastAsia"/>
          <w:bCs/>
          <w:color w:val="auto"/>
          <w:sz w:val="24"/>
        </w:rPr>
        <w:t>，</w:t>
      </w:r>
      <w:r>
        <w:rPr>
          <w:rFonts w:hint="eastAsia" w:ascii="宋体" w:hAnsi="宋体"/>
          <w:bCs/>
          <w:color w:val="auto"/>
          <w:spacing w:val="-2"/>
          <w:sz w:val="24"/>
        </w:rPr>
        <w:t>场地的建设直接破坏了原生的地形地貌景观和植被</w:t>
      </w:r>
      <w:r>
        <w:rPr>
          <w:color w:val="auto"/>
          <w:sz w:val="24"/>
        </w:rPr>
        <w:t>（见照片</w:t>
      </w:r>
      <w:r>
        <w:rPr>
          <w:rFonts w:hint="eastAsia"/>
          <w:color w:val="auto"/>
          <w:sz w:val="24"/>
          <w:lang w:val="en-US" w:eastAsia="zh-CN"/>
        </w:rPr>
        <w:t>4</w:t>
      </w:r>
      <w:r>
        <w:rPr>
          <w:color w:val="auto"/>
          <w:sz w:val="24"/>
        </w:rPr>
        <w:t>-</w:t>
      </w:r>
      <w:r>
        <w:rPr>
          <w:rFonts w:hint="eastAsia"/>
          <w:color w:val="auto"/>
          <w:sz w:val="24"/>
        </w:rPr>
        <w:t>4、图</w:t>
      </w:r>
      <w:r>
        <w:rPr>
          <w:rFonts w:hint="eastAsia"/>
          <w:color w:val="auto"/>
          <w:sz w:val="24"/>
          <w:lang w:val="en-US" w:eastAsia="zh-CN"/>
        </w:rPr>
        <w:t>4</w:t>
      </w:r>
      <w:r>
        <w:rPr>
          <w:rFonts w:hint="eastAsia"/>
          <w:color w:val="auto"/>
          <w:sz w:val="24"/>
        </w:rPr>
        <w:t>-4</w:t>
      </w:r>
      <w:r>
        <w:rPr>
          <w:color w:val="auto"/>
          <w:sz w:val="24"/>
        </w:rPr>
        <w:t>）</w:t>
      </w:r>
      <w:r>
        <w:rPr>
          <w:rFonts w:hint="eastAsia" w:ascii="宋体" w:hAnsi="宋体"/>
          <w:bCs/>
          <w:color w:val="auto"/>
          <w:spacing w:val="-2"/>
          <w:sz w:val="24"/>
        </w:rPr>
        <w:t>。</w:t>
      </w:r>
    </w:p>
    <w:p>
      <w:pPr>
        <w:jc w:val="center"/>
        <w:rPr>
          <w:rFonts w:hint="eastAsia"/>
          <w:color w:val="auto"/>
        </w:rPr>
      </w:pPr>
      <w:r>
        <w:rPr>
          <w:color w:val="auto"/>
        </w:rPr>
        <w:drawing>
          <wp:inline distT="0" distB="0" distL="114300" distR="114300">
            <wp:extent cx="5361305" cy="2600960"/>
            <wp:effectExtent l="0" t="0" r="10795"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9"/>
                    <a:srcRect l="22984" b="22961"/>
                    <a:stretch>
                      <a:fillRect/>
                    </a:stretch>
                  </pic:blipFill>
                  <pic:spPr>
                    <a:xfrm>
                      <a:off x="0" y="0"/>
                      <a:ext cx="5361305" cy="2600960"/>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-4  矿石堆放场</w:t>
      </w:r>
    </w:p>
    <w:p>
      <w:pPr>
        <w:pStyle w:val="18"/>
        <w:jc w:val="center"/>
        <w:rPr>
          <w:rFonts w:hint="eastAsia" w:ascii="Times New Roman" w:cs="Times New Roman"/>
          <w:color w:val="auto"/>
        </w:rPr>
      </w:pPr>
      <w:r>
        <w:rPr>
          <w:color w:val="auto"/>
        </w:rPr>
        <w:drawing>
          <wp:inline distT="0" distB="0" distL="114300" distR="114300">
            <wp:extent cx="3237230" cy="2533650"/>
            <wp:effectExtent l="0" t="0" r="127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30"/>
                    <a:stretch>
                      <a:fillRect/>
                    </a:stretch>
                  </pic:blipFill>
                  <pic:spPr>
                    <a:xfrm>
                      <a:off x="0" y="0"/>
                      <a:ext cx="3237230" cy="2533650"/>
                    </a:xfrm>
                    <a:prstGeom prst="rect">
                      <a:avLst/>
                    </a:prstGeom>
                    <a:noFill/>
                    <a:ln>
                      <a:noFill/>
                    </a:ln>
                  </pic:spPr>
                </pic:pic>
              </a:graphicData>
            </a:graphic>
          </wp:inline>
        </w:drawing>
      </w:r>
    </w:p>
    <w:p>
      <w:pPr>
        <w:spacing w:line="360" w:lineRule="auto"/>
        <w:ind w:firstLine="480" w:firstLineChars="200"/>
        <w:jc w:val="center"/>
        <w:rPr>
          <w:rFonts w:hint="eastAsia"/>
          <w:color w:val="auto"/>
          <w:sz w:val="24"/>
        </w:rPr>
      </w:pPr>
      <w:r>
        <w:rPr>
          <w:rFonts w:hint="eastAsia" w:ascii="黑体" w:hAnsi="黑体" w:eastAsia="黑体" w:cs="黑体"/>
          <w:color w:val="auto"/>
          <w:sz w:val="24"/>
        </w:rPr>
        <w:t>图</w:t>
      </w:r>
      <w:r>
        <w:rPr>
          <w:rFonts w:hint="eastAsia" w:ascii="黑体" w:hAnsi="黑体" w:eastAsia="黑体" w:cs="黑体"/>
          <w:color w:val="auto"/>
          <w:sz w:val="24"/>
          <w:lang w:val="en-US" w:eastAsia="zh-CN"/>
        </w:rPr>
        <w:t>4</w:t>
      </w:r>
      <w:r>
        <w:rPr>
          <w:rFonts w:hint="eastAsia" w:ascii="黑体" w:hAnsi="黑体" w:eastAsia="黑体" w:cs="黑体"/>
          <w:color w:val="auto"/>
          <w:sz w:val="24"/>
        </w:rPr>
        <w:t>-4  矿石方量三角网法计算成果图</w:t>
      </w:r>
    </w:p>
    <w:p>
      <w:pPr>
        <w:spacing w:line="360" w:lineRule="auto"/>
        <w:ind w:firstLine="480" w:firstLineChars="200"/>
        <w:rPr>
          <w:color w:val="auto"/>
          <w:sz w:val="24"/>
        </w:rPr>
      </w:pPr>
      <w:r>
        <w:rPr>
          <w:rFonts w:hint="eastAsia"/>
          <w:color w:val="auto"/>
          <w:sz w:val="24"/>
        </w:rPr>
        <w:t>5</w:t>
      </w:r>
      <w:r>
        <w:rPr>
          <w:color w:val="auto"/>
          <w:sz w:val="24"/>
        </w:rPr>
        <w:t>、</w:t>
      </w:r>
      <w:r>
        <w:rPr>
          <w:rFonts w:hint="eastAsia"/>
          <w:color w:val="auto"/>
          <w:sz w:val="24"/>
        </w:rPr>
        <w:t>办公生活区1</w:t>
      </w:r>
    </w:p>
    <w:p>
      <w:pPr>
        <w:spacing w:line="360" w:lineRule="auto"/>
        <w:ind w:firstLine="480" w:firstLineChars="200"/>
        <w:contextualSpacing/>
        <w:rPr>
          <w:color w:val="auto"/>
          <w:sz w:val="24"/>
        </w:rPr>
      </w:pPr>
      <w:r>
        <w:rPr>
          <w:rFonts w:hint="eastAsia"/>
          <w:color w:val="auto"/>
          <w:sz w:val="24"/>
        </w:rPr>
        <w:t>办公生活区1位于矿区西北部，占地约1630m</w:t>
      </w:r>
      <w:r>
        <w:rPr>
          <w:rFonts w:hint="eastAsia"/>
          <w:color w:val="auto"/>
          <w:sz w:val="24"/>
          <w:vertAlign w:val="superscript"/>
        </w:rPr>
        <w:t>2</w:t>
      </w:r>
      <w:r>
        <w:rPr>
          <w:rFonts w:hint="eastAsia"/>
          <w:color w:val="auto"/>
          <w:sz w:val="24"/>
        </w:rPr>
        <w:t>，建有1栋砖混结构房屋，建筑面积351m</w:t>
      </w:r>
      <w:r>
        <w:rPr>
          <w:rFonts w:hint="eastAsia"/>
          <w:color w:val="auto"/>
          <w:sz w:val="24"/>
          <w:vertAlign w:val="superscript"/>
        </w:rPr>
        <w:t>2</w:t>
      </w:r>
      <w:r>
        <w:rPr>
          <w:rFonts w:hint="eastAsia"/>
          <w:color w:val="auto"/>
          <w:sz w:val="24"/>
        </w:rPr>
        <w:t>，高度约3m；场地建设时北侧形成堆坡，堆坡高度0.5m，长度30m，面积25m</w:t>
      </w:r>
      <w:r>
        <w:rPr>
          <w:rFonts w:hint="eastAsia"/>
          <w:color w:val="auto"/>
          <w:sz w:val="24"/>
          <w:vertAlign w:val="superscript"/>
        </w:rPr>
        <w:t>2</w:t>
      </w:r>
      <w:r>
        <w:rPr>
          <w:rFonts w:hint="eastAsia"/>
          <w:color w:val="auto"/>
          <w:sz w:val="24"/>
        </w:rPr>
        <w:t>，堆坡坡度约50°，堆积废石量约20m</w:t>
      </w:r>
      <w:r>
        <w:rPr>
          <w:rFonts w:hint="eastAsia"/>
          <w:color w:val="auto"/>
          <w:sz w:val="24"/>
          <w:vertAlign w:val="superscript"/>
        </w:rPr>
        <w:t>3</w:t>
      </w:r>
      <w:r>
        <w:rPr>
          <w:rFonts w:hint="eastAsia"/>
          <w:color w:val="auto"/>
          <w:sz w:val="24"/>
        </w:rPr>
        <w:t>，办公生活区南侧边坡2020年度已进行治理，底部栽植松树。</w:t>
      </w:r>
      <w:r>
        <w:rPr>
          <w:color w:val="auto"/>
          <w:sz w:val="24"/>
        </w:rPr>
        <w:t>场地建设直接破坏了原生地形地貌景观和植被（见照片</w:t>
      </w:r>
      <w:r>
        <w:rPr>
          <w:rFonts w:hint="eastAsia"/>
          <w:color w:val="auto"/>
          <w:sz w:val="24"/>
          <w:lang w:val="en-US" w:eastAsia="zh-CN"/>
        </w:rPr>
        <w:t>4</w:t>
      </w:r>
      <w:r>
        <w:rPr>
          <w:color w:val="auto"/>
          <w:sz w:val="24"/>
        </w:rPr>
        <w:t>-</w:t>
      </w:r>
      <w:r>
        <w:rPr>
          <w:rFonts w:hint="eastAsia"/>
          <w:color w:val="auto"/>
          <w:sz w:val="24"/>
        </w:rPr>
        <w:t>6</w:t>
      </w:r>
      <w:r>
        <w:rPr>
          <w:color w:val="auto"/>
          <w:sz w:val="24"/>
        </w:rPr>
        <w:t>）。</w:t>
      </w:r>
    </w:p>
    <w:p>
      <w:pPr>
        <w:jc w:val="center"/>
        <w:rPr>
          <w:color w:val="auto"/>
          <w:sz w:val="24"/>
        </w:rPr>
      </w:pPr>
      <w:r>
        <w:rPr>
          <w:color w:val="auto"/>
        </w:rPr>
        <w:drawing>
          <wp:inline distT="0" distB="0" distL="114300" distR="114300">
            <wp:extent cx="3917950" cy="2348230"/>
            <wp:effectExtent l="0" t="0" r="6350"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1"/>
                    <a:srcRect t="23145"/>
                    <a:stretch>
                      <a:fillRect/>
                    </a:stretch>
                  </pic:blipFill>
                  <pic:spPr>
                    <a:xfrm>
                      <a:off x="0" y="0"/>
                      <a:ext cx="3917950" cy="2348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color w:val="auto"/>
          <w:sz w:val="24"/>
          <w:szCs w:val="32"/>
        </w:rPr>
      </w:pPr>
      <w:r>
        <w:rPr>
          <w:rFonts w:hint="eastAsia" w:ascii="黑体" w:hAnsi="黑体" w:eastAsia="黑体" w:cs="黑体"/>
          <w:color w:val="auto"/>
          <w:sz w:val="24"/>
          <w:szCs w:val="32"/>
        </w:rPr>
        <w:t>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w:t>
      </w:r>
      <w:r>
        <w:rPr>
          <w:rFonts w:hint="eastAsia" w:ascii="黑体" w:hAnsi="黑体" w:eastAsia="黑体" w:cs="黑体"/>
          <w:color w:val="auto"/>
          <w:sz w:val="24"/>
          <w:szCs w:val="32"/>
          <w:lang w:val="en-US" w:eastAsia="zh-CN"/>
        </w:rPr>
        <w:t>5</w:t>
      </w:r>
      <w:r>
        <w:rPr>
          <w:rFonts w:hint="eastAsia" w:ascii="黑体" w:hAnsi="黑体" w:eastAsia="黑体" w:cs="黑体"/>
          <w:color w:val="auto"/>
          <w:sz w:val="24"/>
          <w:szCs w:val="32"/>
        </w:rPr>
        <w:t xml:space="preserve">  办公生活区1</w:t>
      </w:r>
    </w:p>
    <w:p>
      <w:pPr>
        <w:spacing w:line="360" w:lineRule="auto"/>
        <w:ind w:firstLine="480" w:firstLineChars="200"/>
        <w:contextualSpacing/>
        <w:rPr>
          <w:color w:val="auto"/>
          <w:sz w:val="24"/>
        </w:rPr>
      </w:pPr>
      <w:r>
        <w:rPr>
          <w:rFonts w:hint="eastAsia"/>
          <w:color w:val="auto"/>
          <w:sz w:val="24"/>
        </w:rPr>
        <w:t>6、办公生活区2</w:t>
      </w:r>
    </w:p>
    <w:p>
      <w:pPr>
        <w:spacing w:line="360" w:lineRule="auto"/>
        <w:ind w:firstLine="480" w:firstLineChars="200"/>
        <w:contextualSpacing/>
        <w:rPr>
          <w:color w:val="auto"/>
          <w:sz w:val="24"/>
        </w:rPr>
      </w:pPr>
      <w:r>
        <w:rPr>
          <w:rFonts w:hint="eastAsia"/>
          <w:color w:val="auto"/>
          <w:sz w:val="24"/>
        </w:rPr>
        <w:t>办公生活区2位于露天采场1西北侧，占地面积1933m</w:t>
      </w:r>
      <w:r>
        <w:rPr>
          <w:rFonts w:hint="eastAsia"/>
          <w:color w:val="auto"/>
          <w:sz w:val="24"/>
          <w:vertAlign w:val="superscript"/>
        </w:rPr>
        <w:t>2</w:t>
      </w:r>
      <w:r>
        <w:rPr>
          <w:rFonts w:hint="eastAsia"/>
          <w:color w:val="auto"/>
          <w:sz w:val="24"/>
        </w:rPr>
        <w:t>，场地内建设有2栋砖砌结构平房；建筑面积402m</w:t>
      </w:r>
      <w:r>
        <w:rPr>
          <w:rFonts w:hint="eastAsia"/>
          <w:color w:val="auto"/>
          <w:sz w:val="24"/>
          <w:vertAlign w:val="superscript"/>
        </w:rPr>
        <w:t>2</w:t>
      </w:r>
      <w:r>
        <w:rPr>
          <w:rFonts w:hint="eastAsia"/>
          <w:color w:val="auto"/>
          <w:sz w:val="24"/>
        </w:rPr>
        <w:t>，高度约3m；场地边坡高度2-3m，边坡长度60m，</w:t>
      </w:r>
      <w:r>
        <w:rPr>
          <w:bCs/>
          <w:color w:val="auto"/>
          <w:sz w:val="24"/>
        </w:rPr>
        <w:t>坡角约</w:t>
      </w:r>
      <w:r>
        <w:rPr>
          <w:rFonts w:hint="eastAsia"/>
          <w:bCs/>
          <w:color w:val="auto"/>
          <w:sz w:val="24"/>
        </w:rPr>
        <w:t>85</w:t>
      </w:r>
      <w:r>
        <w:rPr>
          <w:bCs/>
          <w:color w:val="auto"/>
          <w:sz w:val="24"/>
        </w:rPr>
        <w:t>°</w:t>
      </w:r>
      <w:r>
        <w:rPr>
          <w:rFonts w:hint="eastAsia"/>
          <w:bCs/>
          <w:color w:val="auto"/>
          <w:sz w:val="24"/>
        </w:rPr>
        <w:t>；</w:t>
      </w:r>
      <w:r>
        <w:rPr>
          <w:rFonts w:hint="eastAsia"/>
          <w:color w:val="auto"/>
          <w:sz w:val="24"/>
        </w:rPr>
        <w:t>场地建设时南侧形成堆坡，堆坡高度2m，长度40m，堆坡坡度约60°，堆坡面积80m</w:t>
      </w:r>
      <w:r>
        <w:rPr>
          <w:rFonts w:hint="eastAsia"/>
          <w:color w:val="auto"/>
          <w:sz w:val="24"/>
          <w:vertAlign w:val="superscript"/>
        </w:rPr>
        <w:t>2</w:t>
      </w:r>
      <w:r>
        <w:rPr>
          <w:rFonts w:hint="eastAsia"/>
          <w:color w:val="auto"/>
          <w:sz w:val="24"/>
        </w:rPr>
        <w:t>，</w:t>
      </w:r>
      <w:r>
        <w:rPr>
          <w:color w:val="auto"/>
          <w:sz w:val="24"/>
        </w:rPr>
        <w:t>场地建设直接破坏了原生地形地貌景观和植被（见照片</w:t>
      </w:r>
      <w:r>
        <w:rPr>
          <w:rFonts w:hint="eastAsia"/>
          <w:color w:val="auto"/>
          <w:sz w:val="24"/>
          <w:lang w:val="en-US" w:eastAsia="zh-CN"/>
        </w:rPr>
        <w:t>4</w:t>
      </w:r>
      <w:r>
        <w:rPr>
          <w:color w:val="auto"/>
          <w:sz w:val="24"/>
        </w:rPr>
        <w:t>-</w:t>
      </w:r>
      <w:r>
        <w:rPr>
          <w:rFonts w:hint="eastAsia"/>
          <w:color w:val="auto"/>
          <w:sz w:val="24"/>
          <w:lang w:val="en-US" w:eastAsia="zh-CN"/>
        </w:rPr>
        <w:t>6</w:t>
      </w:r>
      <w:r>
        <w:rPr>
          <w:color w:val="auto"/>
          <w:sz w:val="24"/>
        </w:rPr>
        <w:t>）。</w:t>
      </w:r>
    </w:p>
    <w:p>
      <w:pPr>
        <w:contextualSpacing/>
        <w:jc w:val="center"/>
        <w:rPr>
          <w:color w:val="auto"/>
          <w:sz w:val="24"/>
        </w:rPr>
      </w:pPr>
      <w:r>
        <w:rPr>
          <w:color w:val="auto"/>
        </w:rPr>
        <w:drawing>
          <wp:inline distT="0" distB="0" distL="114300" distR="114300">
            <wp:extent cx="4203700" cy="2804160"/>
            <wp:effectExtent l="0" t="0" r="6350" b="152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2"/>
                    <a:stretch>
                      <a:fillRect/>
                    </a:stretch>
                  </pic:blipFill>
                  <pic:spPr>
                    <a:xfrm>
                      <a:off x="0" y="0"/>
                      <a:ext cx="4203700" cy="2804160"/>
                    </a:xfrm>
                    <a:prstGeom prst="rect">
                      <a:avLst/>
                    </a:prstGeom>
                    <a:noFill/>
                    <a:ln>
                      <a:noFill/>
                    </a:ln>
                  </pic:spPr>
                </pic:pic>
              </a:graphicData>
            </a:graphic>
          </wp:inline>
        </w:drawing>
      </w:r>
    </w:p>
    <w:p>
      <w:pPr>
        <w:spacing w:line="360" w:lineRule="auto"/>
        <w:contextualSpacing/>
        <w:jc w:val="center"/>
        <w:rPr>
          <w:rFonts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6</w:t>
      </w:r>
      <w:r>
        <w:rPr>
          <w:rFonts w:hint="eastAsia" w:ascii="黑体" w:hAnsi="黑体" w:eastAsia="黑体" w:cs="黑体"/>
          <w:color w:val="auto"/>
          <w:sz w:val="24"/>
        </w:rPr>
        <w:t xml:space="preserve">  办公生活区2</w:t>
      </w:r>
    </w:p>
    <w:p>
      <w:pPr>
        <w:spacing w:line="360" w:lineRule="auto"/>
        <w:ind w:firstLine="480" w:firstLineChars="200"/>
        <w:contextualSpacing/>
        <w:rPr>
          <w:rFonts w:hint="eastAsia"/>
          <w:color w:val="auto"/>
          <w:sz w:val="24"/>
        </w:rPr>
      </w:pPr>
      <w:r>
        <w:rPr>
          <w:rFonts w:hint="eastAsia"/>
          <w:color w:val="auto"/>
          <w:sz w:val="24"/>
        </w:rPr>
        <w:t>7、民采坑</w:t>
      </w:r>
    </w:p>
    <w:p>
      <w:pPr>
        <w:spacing w:line="360" w:lineRule="auto"/>
        <w:ind w:firstLine="480" w:firstLineChars="200"/>
        <w:contextualSpacing/>
        <w:rPr>
          <w:color w:val="auto"/>
          <w:sz w:val="24"/>
        </w:rPr>
      </w:pPr>
      <w:r>
        <w:rPr>
          <w:rFonts w:hint="eastAsia"/>
          <w:color w:val="auto"/>
          <w:sz w:val="24"/>
        </w:rPr>
        <w:t>民采坑位于北采区北部，占地约2776m</w:t>
      </w:r>
      <w:r>
        <w:rPr>
          <w:rFonts w:hint="eastAsia"/>
          <w:color w:val="auto"/>
          <w:sz w:val="24"/>
          <w:vertAlign w:val="superscript"/>
        </w:rPr>
        <w:t>2</w:t>
      </w:r>
      <w:r>
        <w:rPr>
          <w:rFonts w:hint="eastAsia"/>
          <w:color w:val="auto"/>
          <w:sz w:val="24"/>
        </w:rPr>
        <w:t>，为前期民采形成，民采坑现状形成613m平台，长93m，宽约4m，边坡坡度约75°，民采坑回填量为3790m</w:t>
      </w:r>
      <w:r>
        <w:rPr>
          <w:rFonts w:hint="eastAsia"/>
          <w:color w:val="auto"/>
          <w:sz w:val="24"/>
          <w:vertAlign w:val="superscript"/>
        </w:rPr>
        <w:t>3</w:t>
      </w:r>
      <w:r>
        <w:rPr>
          <w:rFonts w:hint="eastAsia"/>
          <w:color w:val="auto"/>
          <w:sz w:val="24"/>
        </w:rPr>
        <w:t>。钻机平台4位于民采坑内，钻机平台4面积66m</w:t>
      </w:r>
      <w:r>
        <w:rPr>
          <w:rFonts w:hint="eastAsia"/>
          <w:color w:val="auto"/>
          <w:sz w:val="24"/>
          <w:vertAlign w:val="superscript"/>
        </w:rPr>
        <w:t>2</w:t>
      </w:r>
      <w:r>
        <w:rPr>
          <w:rFonts w:hint="eastAsia"/>
          <w:color w:val="auto"/>
          <w:sz w:val="24"/>
        </w:rPr>
        <w:t>，钻孔已封堵，钻机平台较平整。</w:t>
      </w:r>
      <w:r>
        <w:rPr>
          <w:color w:val="auto"/>
          <w:sz w:val="24"/>
        </w:rPr>
        <w:t>场地建设直接破坏了原生地形地貌景观和植被（见照片</w:t>
      </w:r>
      <w:r>
        <w:rPr>
          <w:rFonts w:hint="eastAsia"/>
          <w:color w:val="auto"/>
          <w:sz w:val="24"/>
          <w:lang w:val="en-US" w:eastAsia="zh-CN"/>
        </w:rPr>
        <w:t>4</w:t>
      </w:r>
      <w:r>
        <w:rPr>
          <w:color w:val="auto"/>
          <w:sz w:val="24"/>
        </w:rPr>
        <w:t>-</w:t>
      </w:r>
      <w:r>
        <w:rPr>
          <w:rFonts w:hint="eastAsia"/>
          <w:color w:val="auto"/>
          <w:sz w:val="24"/>
          <w:lang w:val="en-US" w:eastAsia="zh-CN"/>
        </w:rPr>
        <w:t>7</w:t>
      </w:r>
      <w:r>
        <w:rPr>
          <w:color w:val="auto"/>
          <w:sz w:val="24"/>
        </w:rPr>
        <w:t>）。</w:t>
      </w:r>
    </w:p>
    <w:p>
      <w:pPr>
        <w:contextualSpacing/>
        <w:jc w:val="center"/>
        <w:rPr>
          <w:color w:val="auto"/>
          <w:sz w:val="24"/>
        </w:rPr>
      </w:pPr>
      <w:r>
        <w:rPr>
          <w:color w:val="auto"/>
        </w:rPr>
        <w:drawing>
          <wp:inline distT="0" distB="0" distL="114300" distR="114300">
            <wp:extent cx="4627880" cy="2404745"/>
            <wp:effectExtent l="0" t="0" r="1270" b="146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3"/>
                    <a:stretch>
                      <a:fillRect/>
                    </a:stretch>
                  </pic:blipFill>
                  <pic:spPr>
                    <a:xfrm>
                      <a:off x="0" y="0"/>
                      <a:ext cx="4627880" cy="240474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w:t>
      </w:r>
      <w:r>
        <w:rPr>
          <w:rFonts w:hint="eastAsia" w:ascii="黑体" w:hAnsi="黑体" w:eastAsia="黑体" w:cs="黑体"/>
          <w:color w:val="auto"/>
          <w:sz w:val="24"/>
          <w:szCs w:val="32"/>
          <w:lang w:val="en-US" w:eastAsia="zh-CN"/>
        </w:rPr>
        <w:t>7</w:t>
      </w:r>
      <w:r>
        <w:rPr>
          <w:rFonts w:hint="eastAsia" w:ascii="黑体" w:hAnsi="黑体" w:eastAsia="黑体" w:cs="黑体"/>
          <w:color w:val="auto"/>
          <w:sz w:val="24"/>
          <w:szCs w:val="32"/>
        </w:rPr>
        <w:t xml:space="preserve">  民采坑</w:t>
      </w:r>
    </w:p>
    <w:p>
      <w:pPr>
        <w:ind w:firstLine="480" w:firstLineChars="200"/>
        <w:contextualSpacing/>
        <w:jc w:val="center"/>
        <w:rPr>
          <w:rFonts w:hint="eastAsia"/>
          <w:color w:val="auto"/>
          <w:sz w:val="24"/>
        </w:rPr>
      </w:pPr>
      <w:r>
        <w:rPr>
          <w:color w:val="auto"/>
        </w:rPr>
        <w:drawing>
          <wp:inline distT="0" distB="0" distL="114300" distR="114300">
            <wp:extent cx="2801620" cy="2782570"/>
            <wp:effectExtent l="0" t="0" r="17780" b="1778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4"/>
                    <a:stretch>
                      <a:fillRect/>
                    </a:stretch>
                  </pic:blipFill>
                  <pic:spPr>
                    <a:xfrm>
                      <a:off x="0" y="0"/>
                      <a:ext cx="2801620" cy="2782570"/>
                    </a:xfrm>
                    <a:prstGeom prst="rect">
                      <a:avLst/>
                    </a:prstGeom>
                    <a:noFill/>
                    <a:ln>
                      <a:noFill/>
                    </a:ln>
                  </pic:spPr>
                </pic:pic>
              </a:graphicData>
            </a:graphic>
          </wp:inline>
        </w:drawing>
      </w:r>
    </w:p>
    <w:p>
      <w:pPr>
        <w:spacing w:line="360" w:lineRule="auto"/>
        <w:ind w:firstLine="480" w:firstLineChars="200"/>
        <w:contextualSpacing/>
        <w:jc w:val="center"/>
        <w:rPr>
          <w:rFonts w:hint="eastAsia"/>
          <w:color w:val="auto"/>
          <w:sz w:val="24"/>
        </w:rPr>
      </w:pPr>
      <w:r>
        <w:rPr>
          <w:rFonts w:hint="eastAsia" w:ascii="黑体" w:hAnsi="黑体" w:eastAsia="黑体" w:cs="黑体"/>
          <w:color w:val="auto"/>
          <w:sz w:val="24"/>
        </w:rPr>
        <w:t>图</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5</w:t>
      </w:r>
      <w:r>
        <w:rPr>
          <w:rFonts w:hint="eastAsia" w:ascii="黑体" w:hAnsi="黑体" w:eastAsia="黑体" w:cs="黑体"/>
          <w:color w:val="auto"/>
          <w:sz w:val="24"/>
        </w:rPr>
        <w:t xml:space="preserve">  民采坑方量三角网法计算成果图</w:t>
      </w:r>
    </w:p>
    <w:p>
      <w:pPr>
        <w:spacing w:line="360" w:lineRule="auto"/>
        <w:ind w:firstLine="480" w:firstLineChars="200"/>
        <w:contextualSpacing/>
        <w:rPr>
          <w:color w:val="auto"/>
          <w:sz w:val="24"/>
        </w:rPr>
      </w:pPr>
      <w:r>
        <w:rPr>
          <w:rFonts w:hint="eastAsia"/>
          <w:color w:val="auto"/>
          <w:sz w:val="24"/>
        </w:rPr>
        <w:t>9、钻机平台（PT1-PT9）</w:t>
      </w:r>
    </w:p>
    <w:p>
      <w:pPr>
        <w:spacing w:line="360" w:lineRule="auto"/>
        <w:ind w:firstLine="480" w:firstLineChars="200"/>
        <w:rPr>
          <w:rFonts w:hint="eastAsia"/>
          <w:color w:val="auto"/>
          <w:sz w:val="24"/>
        </w:rPr>
      </w:pPr>
      <w:r>
        <w:rPr>
          <w:rFonts w:hint="eastAsia"/>
          <w:color w:val="auto"/>
          <w:sz w:val="24"/>
        </w:rPr>
        <w:t>钻机平台（PT1-PT9）</w:t>
      </w:r>
      <w:r>
        <w:rPr>
          <w:color w:val="auto"/>
          <w:sz w:val="24"/>
        </w:rPr>
        <w:t>集中分布于</w:t>
      </w:r>
      <w:r>
        <w:rPr>
          <w:rFonts w:hint="eastAsia"/>
          <w:color w:val="auto"/>
          <w:sz w:val="24"/>
        </w:rPr>
        <w:t>南、北采区，场地较平整，其中钻机平台5切坡长约12m，高约0.5m，钻机平台7切坡长约19m，高约1m。钻机平台</w:t>
      </w:r>
      <w:r>
        <w:rPr>
          <w:color w:val="auto"/>
          <w:sz w:val="24"/>
        </w:rPr>
        <w:t>占地面积</w:t>
      </w:r>
      <w:r>
        <w:rPr>
          <w:rFonts w:hint="eastAsia"/>
          <w:color w:val="auto"/>
          <w:sz w:val="24"/>
        </w:rPr>
        <w:t>741</w:t>
      </w:r>
      <w:r>
        <w:rPr>
          <w:color w:val="auto"/>
          <w:sz w:val="24"/>
        </w:rPr>
        <w:t>m</w:t>
      </w:r>
      <w:r>
        <w:rPr>
          <w:color w:val="auto"/>
          <w:sz w:val="24"/>
          <w:vertAlign w:val="superscript"/>
        </w:rPr>
        <w:t>2</w:t>
      </w:r>
      <w:r>
        <w:rPr>
          <w:rFonts w:hint="eastAsia"/>
          <w:color w:val="auto"/>
          <w:sz w:val="24"/>
        </w:rPr>
        <w:t>。</w:t>
      </w:r>
      <w:r>
        <w:rPr>
          <w:color w:val="auto"/>
          <w:sz w:val="24"/>
        </w:rPr>
        <w:t>场地的建设破坏了地形地貌景观和植被（见照片</w:t>
      </w:r>
      <w:r>
        <w:rPr>
          <w:rFonts w:hint="eastAsia"/>
          <w:color w:val="auto"/>
          <w:sz w:val="24"/>
          <w:lang w:val="en-US" w:eastAsia="zh-CN"/>
        </w:rPr>
        <w:t>4</w:t>
      </w:r>
      <w:r>
        <w:rPr>
          <w:color w:val="auto"/>
          <w:sz w:val="24"/>
        </w:rPr>
        <w:t>-</w:t>
      </w:r>
      <w:r>
        <w:rPr>
          <w:rFonts w:hint="eastAsia"/>
          <w:color w:val="auto"/>
          <w:sz w:val="24"/>
          <w:lang w:val="en-US" w:eastAsia="zh-CN"/>
        </w:rPr>
        <w:t>8</w:t>
      </w:r>
      <w:r>
        <w:rPr>
          <w:rFonts w:hint="eastAsia"/>
          <w:color w:val="auto"/>
          <w:sz w:val="24"/>
        </w:rPr>
        <w:t>至</w:t>
      </w:r>
      <w:r>
        <w:rPr>
          <w:rFonts w:hint="eastAsia"/>
          <w:color w:val="auto"/>
          <w:sz w:val="24"/>
          <w:lang w:val="en-US" w:eastAsia="zh-CN"/>
        </w:rPr>
        <w:t>4</w:t>
      </w:r>
      <w:r>
        <w:rPr>
          <w:rFonts w:hint="eastAsia"/>
          <w:color w:val="auto"/>
          <w:sz w:val="24"/>
        </w:rPr>
        <w:t>-1</w:t>
      </w:r>
      <w:r>
        <w:rPr>
          <w:rFonts w:hint="eastAsia"/>
          <w:color w:val="auto"/>
          <w:sz w:val="24"/>
          <w:lang w:val="en-US" w:eastAsia="zh-CN"/>
        </w:rPr>
        <w:t>6</w:t>
      </w:r>
      <w:r>
        <w:rPr>
          <w:color w:val="auto"/>
          <w:sz w:val="24"/>
        </w:rPr>
        <w:t>）。</w:t>
      </w:r>
    </w:p>
    <w:p>
      <w:pPr>
        <w:contextualSpacing/>
        <w:jc w:val="center"/>
        <w:rPr>
          <w:color w:val="auto"/>
        </w:rPr>
      </w:pPr>
      <w:r>
        <w:rPr>
          <w:color w:val="auto"/>
        </w:rPr>
        <w:drawing>
          <wp:inline distT="0" distB="0" distL="114300" distR="114300">
            <wp:extent cx="2457450" cy="1658620"/>
            <wp:effectExtent l="0" t="0" r="0" b="1778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5"/>
                    <a:stretch>
                      <a:fillRect/>
                    </a:stretch>
                  </pic:blipFill>
                  <pic:spPr>
                    <a:xfrm>
                      <a:off x="0" y="0"/>
                      <a:ext cx="2457450" cy="165862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363470" cy="1626235"/>
            <wp:effectExtent l="0" t="0" r="17780" b="1206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6"/>
                    <a:stretch>
                      <a:fillRect/>
                    </a:stretch>
                  </pic:blipFill>
                  <pic:spPr>
                    <a:xfrm>
                      <a:off x="0" y="0"/>
                      <a:ext cx="2363470" cy="1626235"/>
                    </a:xfrm>
                    <a:prstGeom prst="rect">
                      <a:avLst/>
                    </a:prstGeom>
                    <a:noFill/>
                    <a:ln>
                      <a:noFill/>
                    </a:ln>
                  </pic:spPr>
                </pic:pic>
              </a:graphicData>
            </a:graphic>
          </wp:inline>
        </w:drawing>
      </w:r>
    </w:p>
    <w:p>
      <w:pPr>
        <w:contextualSpacing/>
        <w:jc w:val="center"/>
        <w:rPr>
          <w:rFonts w:hint="eastAsia" w:ascii="黑体" w:hAnsi="黑体" w:eastAsia="黑体" w:cs="黑体"/>
          <w:color w:val="auto"/>
          <w:sz w:val="24"/>
          <w:szCs w:val="32"/>
        </w:rPr>
      </w:pPr>
      <w:r>
        <w:rPr>
          <w:rFonts w:hint="eastAsia" w:ascii="黑体" w:hAnsi="黑体" w:eastAsia="黑体" w:cs="黑体"/>
          <w:color w:val="auto"/>
          <w:sz w:val="24"/>
          <w:szCs w:val="32"/>
        </w:rPr>
        <w:t>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w:t>
      </w:r>
      <w:r>
        <w:rPr>
          <w:rFonts w:hint="eastAsia" w:ascii="黑体" w:hAnsi="黑体" w:eastAsia="黑体" w:cs="黑体"/>
          <w:color w:val="auto"/>
          <w:sz w:val="24"/>
          <w:szCs w:val="32"/>
          <w:lang w:val="en-US" w:eastAsia="zh-CN"/>
        </w:rPr>
        <w:t>8</w:t>
      </w:r>
      <w:r>
        <w:rPr>
          <w:rFonts w:hint="eastAsia" w:ascii="黑体" w:hAnsi="黑体" w:eastAsia="黑体" w:cs="黑体"/>
          <w:color w:val="auto"/>
          <w:sz w:val="24"/>
          <w:szCs w:val="32"/>
        </w:rPr>
        <w:t xml:space="preserve">  PT1                   照片</w:t>
      </w:r>
      <w:r>
        <w:rPr>
          <w:rFonts w:hint="eastAsia" w:ascii="黑体" w:hAnsi="黑体" w:eastAsia="黑体" w:cs="黑体"/>
          <w:color w:val="auto"/>
          <w:sz w:val="24"/>
          <w:szCs w:val="32"/>
          <w:lang w:val="en-US" w:eastAsia="zh-CN"/>
        </w:rPr>
        <w:t>4</w:t>
      </w:r>
      <w:r>
        <w:rPr>
          <w:rFonts w:hint="eastAsia" w:ascii="黑体" w:hAnsi="黑体" w:eastAsia="黑体" w:cs="黑体"/>
          <w:color w:val="auto"/>
          <w:sz w:val="24"/>
          <w:szCs w:val="32"/>
        </w:rPr>
        <w:t>-</w:t>
      </w:r>
      <w:r>
        <w:rPr>
          <w:rFonts w:hint="eastAsia" w:ascii="黑体" w:hAnsi="黑体" w:eastAsia="黑体" w:cs="黑体"/>
          <w:color w:val="auto"/>
          <w:sz w:val="24"/>
          <w:szCs w:val="32"/>
          <w:lang w:val="en-US" w:eastAsia="zh-CN"/>
        </w:rPr>
        <w:t>9</w:t>
      </w:r>
      <w:r>
        <w:rPr>
          <w:rFonts w:hint="eastAsia" w:ascii="黑体" w:hAnsi="黑体" w:eastAsia="黑体" w:cs="黑体"/>
          <w:color w:val="auto"/>
          <w:sz w:val="24"/>
          <w:szCs w:val="32"/>
        </w:rPr>
        <w:t xml:space="preserve">  PT2</w:t>
      </w:r>
    </w:p>
    <w:p>
      <w:pPr>
        <w:pStyle w:val="18"/>
        <w:jc w:val="center"/>
        <w:rPr>
          <w:rFonts w:hint="eastAsia"/>
          <w:color w:val="auto"/>
        </w:rPr>
      </w:pPr>
      <w:r>
        <w:rPr>
          <w:color w:val="auto"/>
        </w:rPr>
        <w:drawing>
          <wp:inline distT="0" distB="0" distL="114300" distR="114300">
            <wp:extent cx="2465705" cy="1739265"/>
            <wp:effectExtent l="0" t="0" r="10795" b="1333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7"/>
                    <a:stretch>
                      <a:fillRect/>
                    </a:stretch>
                  </pic:blipFill>
                  <pic:spPr>
                    <a:xfrm>
                      <a:off x="0" y="0"/>
                      <a:ext cx="2465705" cy="1739265"/>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339975" cy="1727835"/>
            <wp:effectExtent l="0" t="0" r="3175" b="571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8"/>
                    <a:srcRect r="13948"/>
                    <a:stretch>
                      <a:fillRect/>
                    </a:stretch>
                  </pic:blipFill>
                  <pic:spPr>
                    <a:xfrm>
                      <a:off x="0" y="0"/>
                      <a:ext cx="2339975" cy="1727835"/>
                    </a:xfrm>
                    <a:prstGeom prst="rect">
                      <a:avLst/>
                    </a:prstGeom>
                    <a:noFill/>
                    <a:ln>
                      <a:noFill/>
                    </a:ln>
                  </pic:spPr>
                </pic:pic>
              </a:graphicData>
            </a:graphic>
          </wp:inline>
        </w:drawing>
      </w:r>
    </w:p>
    <w:p>
      <w:pPr>
        <w:pStyle w:val="18"/>
        <w:jc w:val="center"/>
        <w:rPr>
          <w:rFonts w:hint="eastAsia" w:ascii="黑体" w:hAnsi="黑体" w:eastAsia="黑体" w:cs="黑体"/>
          <w:color w:val="auto"/>
        </w:rPr>
      </w:pPr>
      <w:r>
        <w:rPr>
          <w:rFonts w:hint="eastAsia" w:ascii="黑体" w:hAnsi="黑体" w:eastAsia="黑体" w:cs="黑体"/>
          <w:color w:val="auto"/>
        </w:rPr>
        <w:t>照片</w:t>
      </w:r>
      <w:r>
        <w:rPr>
          <w:rFonts w:hint="eastAsia" w:ascii="黑体" w:hAnsi="黑体" w:eastAsia="黑体" w:cs="黑体"/>
          <w:color w:val="auto"/>
          <w:lang w:val="en-US" w:eastAsia="zh-CN"/>
        </w:rPr>
        <w:t>4</w:t>
      </w:r>
      <w:r>
        <w:rPr>
          <w:rFonts w:hint="eastAsia" w:ascii="黑体" w:hAnsi="黑体" w:eastAsia="黑体" w:cs="黑体"/>
          <w:color w:val="auto"/>
        </w:rPr>
        <w:t>-1</w:t>
      </w:r>
      <w:r>
        <w:rPr>
          <w:rFonts w:hint="eastAsia" w:ascii="黑体" w:hAnsi="黑体" w:eastAsia="黑体" w:cs="黑体"/>
          <w:color w:val="auto"/>
          <w:lang w:val="en-US" w:eastAsia="zh-CN"/>
        </w:rPr>
        <w:t>0</w:t>
      </w:r>
      <w:r>
        <w:rPr>
          <w:rFonts w:hint="eastAsia" w:ascii="黑体" w:hAnsi="黑体" w:eastAsia="黑体" w:cs="黑体"/>
          <w:color w:val="auto"/>
        </w:rPr>
        <w:t xml:space="preserve">  PT3                照片</w:t>
      </w:r>
      <w:r>
        <w:rPr>
          <w:rFonts w:hint="eastAsia" w:ascii="黑体" w:hAnsi="黑体" w:eastAsia="黑体" w:cs="黑体"/>
          <w:color w:val="auto"/>
          <w:lang w:val="en-US" w:eastAsia="zh-CN"/>
        </w:rPr>
        <w:t>4</w:t>
      </w:r>
      <w:r>
        <w:rPr>
          <w:rFonts w:hint="eastAsia" w:ascii="黑体" w:hAnsi="黑体" w:eastAsia="黑体" w:cs="黑体"/>
          <w:color w:val="auto"/>
        </w:rPr>
        <w:t>-1</w:t>
      </w:r>
      <w:r>
        <w:rPr>
          <w:rFonts w:hint="eastAsia" w:ascii="黑体" w:hAnsi="黑体" w:eastAsia="黑体" w:cs="黑体"/>
          <w:color w:val="auto"/>
          <w:lang w:val="en-US" w:eastAsia="zh-CN"/>
        </w:rPr>
        <w:t>1</w:t>
      </w:r>
      <w:r>
        <w:rPr>
          <w:rFonts w:hint="eastAsia" w:ascii="黑体" w:hAnsi="黑体" w:eastAsia="黑体" w:cs="黑体"/>
          <w:color w:val="auto"/>
        </w:rPr>
        <w:t xml:space="preserve">  PT4</w:t>
      </w:r>
    </w:p>
    <w:p>
      <w:pPr>
        <w:pStyle w:val="18"/>
        <w:jc w:val="center"/>
        <w:rPr>
          <w:rFonts w:hint="eastAsia"/>
          <w:color w:val="auto"/>
        </w:rPr>
      </w:pPr>
      <w:r>
        <w:rPr>
          <w:color w:val="auto"/>
        </w:rPr>
        <w:drawing>
          <wp:inline distT="0" distB="0" distL="114300" distR="114300">
            <wp:extent cx="2421890" cy="2009140"/>
            <wp:effectExtent l="0" t="0" r="16510" b="1016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9"/>
                    <a:stretch>
                      <a:fillRect/>
                    </a:stretch>
                  </pic:blipFill>
                  <pic:spPr>
                    <a:xfrm>
                      <a:off x="0" y="0"/>
                      <a:ext cx="2421890" cy="200914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348230" cy="1991995"/>
            <wp:effectExtent l="0" t="0" r="13970" b="8255"/>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40"/>
                    <a:stretch>
                      <a:fillRect/>
                    </a:stretch>
                  </pic:blipFill>
                  <pic:spPr>
                    <a:xfrm>
                      <a:off x="0" y="0"/>
                      <a:ext cx="2348230" cy="1991995"/>
                    </a:xfrm>
                    <a:prstGeom prst="rect">
                      <a:avLst/>
                    </a:prstGeom>
                    <a:noFill/>
                    <a:ln>
                      <a:noFill/>
                    </a:ln>
                  </pic:spPr>
                </pic:pic>
              </a:graphicData>
            </a:graphic>
          </wp:inline>
        </w:drawing>
      </w:r>
    </w:p>
    <w:p>
      <w:pPr>
        <w:pStyle w:val="18"/>
        <w:jc w:val="center"/>
        <w:rPr>
          <w:rFonts w:hint="eastAsia" w:ascii="黑体" w:hAnsi="黑体" w:eastAsia="黑体" w:cs="黑体"/>
          <w:color w:val="auto"/>
        </w:rPr>
      </w:pPr>
      <w:r>
        <w:rPr>
          <w:rFonts w:hint="eastAsia" w:ascii="黑体" w:hAnsi="黑体" w:eastAsia="黑体" w:cs="黑体"/>
          <w:color w:val="auto"/>
        </w:rPr>
        <w:t>照片</w:t>
      </w:r>
      <w:r>
        <w:rPr>
          <w:rFonts w:hint="eastAsia" w:ascii="黑体" w:hAnsi="黑体" w:eastAsia="黑体" w:cs="黑体"/>
          <w:color w:val="auto"/>
          <w:lang w:val="en-US" w:eastAsia="zh-CN"/>
        </w:rPr>
        <w:t>4</w:t>
      </w:r>
      <w:r>
        <w:rPr>
          <w:rFonts w:hint="eastAsia" w:ascii="黑体" w:hAnsi="黑体" w:eastAsia="黑体" w:cs="黑体"/>
          <w:color w:val="auto"/>
        </w:rPr>
        <w:t>-1</w:t>
      </w:r>
      <w:r>
        <w:rPr>
          <w:rFonts w:hint="eastAsia" w:ascii="黑体" w:hAnsi="黑体" w:eastAsia="黑体" w:cs="黑体"/>
          <w:color w:val="auto"/>
          <w:lang w:val="en-US" w:eastAsia="zh-CN"/>
        </w:rPr>
        <w:t>2</w:t>
      </w:r>
      <w:r>
        <w:rPr>
          <w:rFonts w:hint="eastAsia" w:ascii="黑体" w:hAnsi="黑体" w:eastAsia="黑体" w:cs="黑体"/>
          <w:color w:val="auto"/>
        </w:rPr>
        <w:t xml:space="preserve">  PT5               照片</w:t>
      </w:r>
      <w:r>
        <w:rPr>
          <w:rFonts w:hint="eastAsia" w:ascii="黑体" w:hAnsi="黑体" w:eastAsia="黑体" w:cs="黑体"/>
          <w:color w:val="auto"/>
          <w:lang w:val="en-US" w:eastAsia="zh-CN"/>
        </w:rPr>
        <w:t>4</w:t>
      </w:r>
      <w:r>
        <w:rPr>
          <w:rFonts w:hint="eastAsia" w:ascii="黑体" w:hAnsi="黑体" w:eastAsia="黑体" w:cs="黑体"/>
          <w:color w:val="auto"/>
        </w:rPr>
        <w:t>-1</w:t>
      </w:r>
      <w:r>
        <w:rPr>
          <w:rFonts w:hint="eastAsia" w:ascii="黑体" w:hAnsi="黑体" w:eastAsia="黑体" w:cs="黑体"/>
          <w:color w:val="auto"/>
          <w:lang w:val="en-US" w:eastAsia="zh-CN"/>
        </w:rPr>
        <w:t>3</w:t>
      </w:r>
      <w:r>
        <w:rPr>
          <w:rFonts w:hint="eastAsia" w:ascii="黑体" w:hAnsi="黑体" w:eastAsia="黑体" w:cs="黑体"/>
          <w:color w:val="auto"/>
        </w:rPr>
        <w:t xml:space="preserve">  PT6</w:t>
      </w:r>
    </w:p>
    <w:p>
      <w:pPr>
        <w:ind w:left="0" w:leftChars="0" w:firstLine="0" w:firstLineChars="0"/>
        <w:contextualSpacing/>
        <w:jc w:val="center"/>
        <w:rPr>
          <w:color w:val="auto"/>
          <w:sz w:val="24"/>
        </w:rPr>
      </w:pPr>
      <w:r>
        <w:rPr>
          <w:color w:val="auto"/>
        </w:rPr>
        <w:drawing>
          <wp:inline distT="0" distB="0" distL="114300" distR="114300">
            <wp:extent cx="2400300" cy="1830070"/>
            <wp:effectExtent l="0" t="0" r="0" b="1778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41"/>
                    <a:stretch>
                      <a:fillRect/>
                    </a:stretch>
                  </pic:blipFill>
                  <pic:spPr>
                    <a:xfrm>
                      <a:off x="0" y="0"/>
                      <a:ext cx="2400300" cy="183007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534920" cy="1840230"/>
            <wp:effectExtent l="0" t="0" r="17780" b="762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42"/>
                    <a:stretch>
                      <a:fillRect/>
                    </a:stretch>
                  </pic:blipFill>
                  <pic:spPr>
                    <a:xfrm>
                      <a:off x="0" y="0"/>
                      <a:ext cx="2534920" cy="1840230"/>
                    </a:xfrm>
                    <a:prstGeom prst="rect">
                      <a:avLst/>
                    </a:prstGeom>
                    <a:noFill/>
                    <a:ln>
                      <a:noFill/>
                    </a:ln>
                  </pic:spPr>
                </pic:pic>
              </a:graphicData>
            </a:graphic>
          </wp:inline>
        </w:drawing>
      </w:r>
    </w:p>
    <w:p>
      <w:pPr>
        <w:spacing w:line="360" w:lineRule="auto"/>
        <w:contextualSpacing/>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-1</w:t>
      </w:r>
      <w:r>
        <w:rPr>
          <w:rFonts w:hint="eastAsia" w:ascii="黑体" w:hAnsi="黑体" w:eastAsia="黑体" w:cs="黑体"/>
          <w:color w:val="auto"/>
          <w:sz w:val="24"/>
          <w:lang w:val="en-US" w:eastAsia="zh-CN"/>
        </w:rPr>
        <w:t>4</w:t>
      </w:r>
      <w:r>
        <w:rPr>
          <w:rFonts w:hint="eastAsia" w:ascii="黑体" w:hAnsi="黑体" w:eastAsia="黑体" w:cs="黑体"/>
          <w:color w:val="auto"/>
          <w:sz w:val="24"/>
        </w:rPr>
        <w:t xml:space="preserve">  PT7                    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-1</w:t>
      </w:r>
      <w:r>
        <w:rPr>
          <w:rFonts w:hint="eastAsia" w:ascii="黑体" w:hAnsi="黑体" w:eastAsia="黑体" w:cs="黑体"/>
          <w:color w:val="auto"/>
          <w:sz w:val="24"/>
          <w:lang w:val="en-US" w:eastAsia="zh-CN"/>
        </w:rPr>
        <w:t>5</w:t>
      </w:r>
      <w:r>
        <w:rPr>
          <w:rFonts w:hint="eastAsia" w:ascii="黑体" w:hAnsi="黑体" w:eastAsia="黑体" w:cs="黑体"/>
          <w:color w:val="auto"/>
          <w:sz w:val="24"/>
        </w:rPr>
        <w:t xml:space="preserve">  PT8</w:t>
      </w:r>
    </w:p>
    <w:p>
      <w:pPr>
        <w:ind w:left="0" w:leftChars="0" w:firstLine="0" w:firstLineChars="0"/>
        <w:contextualSpacing/>
        <w:jc w:val="center"/>
        <w:rPr>
          <w:rFonts w:hint="eastAsia" w:ascii="黑体" w:hAnsi="黑体" w:eastAsia="黑体" w:cs="黑体"/>
          <w:color w:val="auto"/>
          <w:sz w:val="24"/>
        </w:rPr>
      </w:pPr>
      <w:r>
        <w:rPr>
          <w:color w:val="auto"/>
        </w:rPr>
        <w:drawing>
          <wp:inline distT="0" distB="0" distL="114300" distR="114300">
            <wp:extent cx="4770755" cy="3087370"/>
            <wp:effectExtent l="0" t="0" r="10795" b="1778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43"/>
                    <a:stretch>
                      <a:fillRect/>
                    </a:stretch>
                  </pic:blipFill>
                  <pic:spPr>
                    <a:xfrm>
                      <a:off x="0" y="0"/>
                      <a:ext cx="4770755" cy="3087370"/>
                    </a:xfrm>
                    <a:prstGeom prst="rect">
                      <a:avLst/>
                    </a:prstGeom>
                    <a:noFill/>
                    <a:ln>
                      <a:noFill/>
                    </a:ln>
                  </pic:spPr>
                </pic:pic>
              </a:graphicData>
            </a:graphic>
          </wp:inline>
        </w:drawing>
      </w:r>
    </w:p>
    <w:p>
      <w:pPr>
        <w:spacing w:line="360" w:lineRule="auto"/>
        <w:ind w:firstLine="480" w:firstLineChars="200"/>
        <w:contextualSpacing/>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-1</w:t>
      </w:r>
      <w:r>
        <w:rPr>
          <w:rFonts w:hint="eastAsia" w:ascii="黑体" w:hAnsi="黑体" w:eastAsia="黑体" w:cs="黑体"/>
          <w:color w:val="auto"/>
          <w:sz w:val="24"/>
          <w:lang w:val="en-US" w:eastAsia="zh-CN"/>
        </w:rPr>
        <w:t>6</w:t>
      </w:r>
      <w:r>
        <w:rPr>
          <w:rFonts w:hint="eastAsia" w:ascii="黑体" w:hAnsi="黑体" w:eastAsia="黑体" w:cs="黑体"/>
          <w:color w:val="auto"/>
          <w:sz w:val="24"/>
        </w:rPr>
        <w:t xml:space="preserve">  PT9</w:t>
      </w:r>
    </w:p>
    <w:p>
      <w:pPr>
        <w:spacing w:line="360" w:lineRule="auto"/>
        <w:ind w:firstLine="480" w:firstLineChars="200"/>
        <w:contextualSpacing/>
        <w:jc w:val="center"/>
        <w:rPr>
          <w:rFonts w:hint="eastAsia" w:ascii="黑体" w:hAnsi="黑体" w:eastAsia="黑体" w:cs="黑体"/>
          <w:color w:val="auto"/>
          <w:sz w:val="24"/>
        </w:rPr>
      </w:pPr>
      <w:r>
        <w:rPr>
          <w:rFonts w:hint="eastAsia" w:ascii="黑体" w:hAnsi="黑体" w:eastAsia="黑体" w:cs="黑体"/>
          <w:color w:val="auto"/>
          <w:sz w:val="24"/>
        </w:rPr>
        <w:br w:type="page"/>
      </w:r>
      <w:r>
        <w:rPr>
          <w:rFonts w:hint="eastAsia" w:ascii="黑体" w:hAnsi="黑体" w:eastAsia="黑体" w:cs="黑体"/>
          <w:color w:val="auto"/>
          <w:sz w:val="24"/>
        </w:rPr>
        <w:t>表</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1</w:t>
      </w:r>
      <w:r>
        <w:rPr>
          <w:rFonts w:hint="eastAsia" w:ascii="黑体" w:hAnsi="黑体" w:eastAsia="黑体" w:cs="黑体"/>
          <w:color w:val="auto"/>
          <w:sz w:val="24"/>
        </w:rPr>
        <w:t xml:space="preserve">  钻机平台（PT1-PT9）详情一览表</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1706"/>
        <w:gridCol w:w="1707"/>
        <w:gridCol w:w="1707"/>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单元名称</w:t>
            </w:r>
          </w:p>
        </w:tc>
        <w:tc>
          <w:tcPr>
            <w:tcW w:w="1000" w:type="pct"/>
            <w:noWrap w:val="0"/>
            <w:vAlign w:val="center"/>
          </w:tcPr>
          <w:p>
            <w:pPr>
              <w:contextualSpacing/>
              <w:jc w:val="center"/>
              <w:rPr>
                <w:color w:val="auto"/>
                <w:szCs w:val="21"/>
              </w:rPr>
            </w:pPr>
            <w:r>
              <w:rPr>
                <w:color w:val="auto"/>
                <w:szCs w:val="21"/>
              </w:rPr>
              <w:t>长轴（m）</w:t>
            </w:r>
          </w:p>
        </w:tc>
        <w:tc>
          <w:tcPr>
            <w:tcW w:w="1000" w:type="pct"/>
            <w:noWrap w:val="0"/>
            <w:vAlign w:val="center"/>
          </w:tcPr>
          <w:p>
            <w:pPr>
              <w:contextualSpacing/>
              <w:jc w:val="center"/>
              <w:rPr>
                <w:color w:val="auto"/>
                <w:szCs w:val="21"/>
              </w:rPr>
            </w:pPr>
            <w:r>
              <w:rPr>
                <w:color w:val="auto"/>
                <w:szCs w:val="21"/>
              </w:rPr>
              <w:t>宽轴（m）</w:t>
            </w:r>
          </w:p>
        </w:tc>
        <w:tc>
          <w:tcPr>
            <w:tcW w:w="1000" w:type="pct"/>
            <w:noWrap w:val="0"/>
            <w:vAlign w:val="center"/>
          </w:tcPr>
          <w:p>
            <w:pPr>
              <w:contextualSpacing/>
              <w:jc w:val="center"/>
              <w:rPr>
                <w:color w:val="auto"/>
                <w:szCs w:val="21"/>
              </w:rPr>
            </w:pPr>
            <w:r>
              <w:rPr>
                <w:color w:val="auto"/>
                <w:szCs w:val="21"/>
              </w:rPr>
              <w:t>深度（m）</w:t>
            </w:r>
          </w:p>
        </w:tc>
        <w:tc>
          <w:tcPr>
            <w:tcW w:w="1000" w:type="pct"/>
            <w:noWrap w:val="0"/>
            <w:vAlign w:val="center"/>
          </w:tcPr>
          <w:p>
            <w:pPr>
              <w:contextualSpacing/>
              <w:jc w:val="center"/>
              <w:rPr>
                <w:color w:val="auto"/>
                <w:szCs w:val="21"/>
              </w:rPr>
            </w:pPr>
            <w:r>
              <w:rPr>
                <w:color w:val="auto"/>
                <w:szCs w:val="21"/>
              </w:rPr>
              <w:t>面积（m</w:t>
            </w:r>
            <w:r>
              <w:rPr>
                <w:color w:val="auto"/>
                <w:szCs w:val="21"/>
                <w:vertAlign w:val="superscript"/>
              </w:rPr>
              <w:t>2</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PT1</w:t>
            </w:r>
          </w:p>
        </w:tc>
        <w:tc>
          <w:tcPr>
            <w:tcW w:w="1000" w:type="pct"/>
            <w:noWrap w:val="0"/>
            <w:vAlign w:val="center"/>
          </w:tcPr>
          <w:p>
            <w:pPr>
              <w:contextualSpacing/>
              <w:jc w:val="center"/>
              <w:rPr>
                <w:color w:val="auto"/>
                <w:szCs w:val="21"/>
              </w:rPr>
            </w:pPr>
            <w:r>
              <w:rPr>
                <w:rFonts w:hint="eastAsia"/>
                <w:color w:val="auto"/>
                <w:szCs w:val="21"/>
              </w:rPr>
              <w:t>12</w:t>
            </w:r>
          </w:p>
        </w:tc>
        <w:tc>
          <w:tcPr>
            <w:tcW w:w="1000" w:type="pct"/>
            <w:noWrap w:val="0"/>
            <w:vAlign w:val="center"/>
          </w:tcPr>
          <w:p>
            <w:pPr>
              <w:contextualSpacing/>
              <w:jc w:val="center"/>
              <w:rPr>
                <w:rFonts w:hint="eastAsia"/>
                <w:color w:val="auto"/>
                <w:szCs w:val="21"/>
              </w:rPr>
            </w:pPr>
            <w:r>
              <w:rPr>
                <w:rFonts w:hint="eastAsia"/>
                <w:color w:val="auto"/>
                <w:szCs w:val="21"/>
              </w:rPr>
              <w:t>8</w:t>
            </w:r>
          </w:p>
        </w:tc>
        <w:tc>
          <w:tcPr>
            <w:tcW w:w="1000" w:type="pct"/>
            <w:noWrap w:val="0"/>
            <w:vAlign w:val="center"/>
          </w:tcPr>
          <w:p>
            <w:pPr>
              <w:contextualSpacing/>
              <w:jc w:val="center"/>
              <w:rPr>
                <w:color w:val="auto"/>
                <w:szCs w:val="21"/>
              </w:rPr>
            </w:pPr>
            <w:r>
              <w:rPr>
                <w:color w:val="auto"/>
                <w:szCs w:val="21"/>
              </w:rPr>
              <w:t>0.5</w:t>
            </w:r>
          </w:p>
        </w:tc>
        <w:tc>
          <w:tcPr>
            <w:tcW w:w="1000" w:type="pct"/>
            <w:noWrap w:val="0"/>
            <w:vAlign w:val="center"/>
          </w:tcPr>
          <w:p>
            <w:pPr>
              <w:contextualSpacing/>
              <w:jc w:val="center"/>
              <w:rPr>
                <w:color w:val="auto"/>
                <w:szCs w:val="21"/>
              </w:rPr>
            </w:pPr>
            <w:r>
              <w:rPr>
                <w:rFonts w:hint="eastAsia"/>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PT2</w:t>
            </w:r>
          </w:p>
        </w:tc>
        <w:tc>
          <w:tcPr>
            <w:tcW w:w="1000" w:type="pct"/>
            <w:noWrap w:val="0"/>
            <w:vAlign w:val="center"/>
          </w:tcPr>
          <w:p>
            <w:pPr>
              <w:contextualSpacing/>
              <w:jc w:val="center"/>
              <w:rPr>
                <w:rFonts w:hint="eastAsia"/>
                <w:color w:val="auto"/>
                <w:szCs w:val="21"/>
              </w:rPr>
            </w:pPr>
            <w:r>
              <w:rPr>
                <w:rFonts w:hint="eastAsia"/>
                <w:color w:val="auto"/>
                <w:szCs w:val="21"/>
              </w:rPr>
              <w:t>8</w:t>
            </w:r>
          </w:p>
        </w:tc>
        <w:tc>
          <w:tcPr>
            <w:tcW w:w="1000" w:type="pct"/>
            <w:noWrap w:val="0"/>
            <w:vAlign w:val="center"/>
          </w:tcPr>
          <w:p>
            <w:pPr>
              <w:contextualSpacing/>
              <w:jc w:val="center"/>
              <w:rPr>
                <w:rFonts w:hint="eastAsia"/>
                <w:color w:val="auto"/>
                <w:szCs w:val="21"/>
              </w:rPr>
            </w:pPr>
            <w:r>
              <w:rPr>
                <w:rFonts w:hint="eastAsia"/>
                <w:color w:val="auto"/>
                <w:szCs w:val="21"/>
              </w:rPr>
              <w:t>6</w:t>
            </w:r>
          </w:p>
        </w:tc>
        <w:tc>
          <w:tcPr>
            <w:tcW w:w="1000" w:type="pct"/>
            <w:noWrap w:val="0"/>
            <w:vAlign w:val="center"/>
          </w:tcPr>
          <w:p>
            <w:pPr>
              <w:contextualSpacing/>
              <w:jc w:val="center"/>
              <w:rPr>
                <w:color w:val="auto"/>
                <w:szCs w:val="21"/>
              </w:rPr>
            </w:pPr>
            <w:r>
              <w:rPr>
                <w:color w:val="auto"/>
                <w:szCs w:val="21"/>
              </w:rPr>
              <w:t>0.5</w:t>
            </w:r>
          </w:p>
        </w:tc>
        <w:tc>
          <w:tcPr>
            <w:tcW w:w="1000" w:type="pct"/>
            <w:noWrap w:val="0"/>
            <w:vAlign w:val="center"/>
          </w:tcPr>
          <w:p>
            <w:pPr>
              <w:contextualSpacing/>
              <w:jc w:val="center"/>
              <w:rPr>
                <w:color w:val="auto"/>
                <w:szCs w:val="21"/>
              </w:rPr>
            </w:pPr>
            <w:r>
              <w:rPr>
                <w:rFonts w:hint="eastAsia"/>
                <w:color w:val="auto"/>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PT3</w:t>
            </w:r>
          </w:p>
        </w:tc>
        <w:tc>
          <w:tcPr>
            <w:tcW w:w="1000" w:type="pct"/>
            <w:noWrap w:val="0"/>
            <w:vAlign w:val="center"/>
          </w:tcPr>
          <w:p>
            <w:pPr>
              <w:contextualSpacing/>
              <w:jc w:val="center"/>
              <w:rPr>
                <w:color w:val="auto"/>
                <w:szCs w:val="21"/>
              </w:rPr>
            </w:pPr>
            <w:r>
              <w:rPr>
                <w:rFonts w:hint="eastAsia"/>
                <w:color w:val="auto"/>
                <w:szCs w:val="21"/>
              </w:rPr>
              <w:t>10</w:t>
            </w:r>
          </w:p>
        </w:tc>
        <w:tc>
          <w:tcPr>
            <w:tcW w:w="1000" w:type="pct"/>
            <w:noWrap w:val="0"/>
            <w:vAlign w:val="center"/>
          </w:tcPr>
          <w:p>
            <w:pPr>
              <w:contextualSpacing/>
              <w:jc w:val="center"/>
              <w:rPr>
                <w:rFonts w:hint="eastAsia"/>
                <w:color w:val="auto"/>
                <w:szCs w:val="21"/>
              </w:rPr>
            </w:pPr>
            <w:r>
              <w:rPr>
                <w:rFonts w:hint="eastAsia"/>
                <w:color w:val="auto"/>
                <w:szCs w:val="21"/>
              </w:rPr>
              <w:t>7</w:t>
            </w:r>
          </w:p>
        </w:tc>
        <w:tc>
          <w:tcPr>
            <w:tcW w:w="1000" w:type="pct"/>
            <w:noWrap w:val="0"/>
            <w:vAlign w:val="center"/>
          </w:tcPr>
          <w:p>
            <w:pPr>
              <w:contextualSpacing/>
              <w:jc w:val="center"/>
              <w:rPr>
                <w:color w:val="auto"/>
                <w:szCs w:val="21"/>
              </w:rPr>
            </w:pPr>
            <w:r>
              <w:rPr>
                <w:rFonts w:hint="eastAsia"/>
                <w:color w:val="auto"/>
                <w:szCs w:val="21"/>
              </w:rPr>
              <w:t>0.5</w:t>
            </w:r>
          </w:p>
        </w:tc>
        <w:tc>
          <w:tcPr>
            <w:tcW w:w="1000" w:type="pct"/>
            <w:noWrap w:val="0"/>
            <w:vAlign w:val="center"/>
          </w:tcPr>
          <w:p>
            <w:pPr>
              <w:contextualSpacing/>
              <w:jc w:val="center"/>
              <w:rPr>
                <w:color w:val="auto"/>
                <w:szCs w:val="21"/>
              </w:rPr>
            </w:pPr>
            <w:r>
              <w:rPr>
                <w:rFonts w:hint="eastAsia"/>
                <w:color w:val="auto"/>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PT4</w:t>
            </w:r>
          </w:p>
        </w:tc>
        <w:tc>
          <w:tcPr>
            <w:tcW w:w="1000" w:type="pct"/>
            <w:noWrap w:val="0"/>
            <w:vAlign w:val="center"/>
          </w:tcPr>
          <w:p>
            <w:pPr>
              <w:contextualSpacing/>
              <w:jc w:val="center"/>
              <w:rPr>
                <w:color w:val="auto"/>
                <w:szCs w:val="21"/>
              </w:rPr>
            </w:pPr>
            <w:r>
              <w:rPr>
                <w:rFonts w:hint="eastAsia"/>
                <w:color w:val="auto"/>
                <w:szCs w:val="21"/>
              </w:rPr>
              <w:t>11</w:t>
            </w:r>
          </w:p>
        </w:tc>
        <w:tc>
          <w:tcPr>
            <w:tcW w:w="1000" w:type="pct"/>
            <w:noWrap w:val="0"/>
            <w:vAlign w:val="center"/>
          </w:tcPr>
          <w:p>
            <w:pPr>
              <w:contextualSpacing/>
              <w:jc w:val="center"/>
              <w:rPr>
                <w:rFonts w:hint="eastAsia"/>
                <w:color w:val="auto"/>
                <w:szCs w:val="21"/>
              </w:rPr>
            </w:pPr>
            <w:r>
              <w:rPr>
                <w:rFonts w:hint="eastAsia"/>
                <w:color w:val="auto"/>
                <w:szCs w:val="21"/>
              </w:rPr>
              <w:t>8</w:t>
            </w:r>
          </w:p>
        </w:tc>
        <w:tc>
          <w:tcPr>
            <w:tcW w:w="1000" w:type="pct"/>
            <w:noWrap w:val="0"/>
            <w:vAlign w:val="center"/>
          </w:tcPr>
          <w:p>
            <w:pPr>
              <w:contextualSpacing/>
              <w:jc w:val="center"/>
              <w:rPr>
                <w:color w:val="auto"/>
                <w:szCs w:val="21"/>
              </w:rPr>
            </w:pPr>
            <w:r>
              <w:rPr>
                <w:color w:val="auto"/>
                <w:szCs w:val="21"/>
              </w:rPr>
              <w:t>0.5</w:t>
            </w:r>
          </w:p>
        </w:tc>
        <w:tc>
          <w:tcPr>
            <w:tcW w:w="1000" w:type="pct"/>
            <w:noWrap w:val="0"/>
            <w:vAlign w:val="center"/>
          </w:tcPr>
          <w:p>
            <w:pPr>
              <w:contextualSpacing/>
              <w:jc w:val="center"/>
              <w:rPr>
                <w:color w:val="auto"/>
                <w:szCs w:val="21"/>
              </w:rPr>
            </w:pPr>
            <w:r>
              <w:rPr>
                <w:rFonts w:hint="eastAsia"/>
                <w:color w:val="auto"/>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PT5</w:t>
            </w:r>
          </w:p>
        </w:tc>
        <w:tc>
          <w:tcPr>
            <w:tcW w:w="1000" w:type="pct"/>
            <w:noWrap w:val="0"/>
            <w:vAlign w:val="center"/>
          </w:tcPr>
          <w:p>
            <w:pPr>
              <w:contextualSpacing/>
              <w:jc w:val="center"/>
              <w:rPr>
                <w:color w:val="auto"/>
                <w:szCs w:val="21"/>
              </w:rPr>
            </w:pPr>
            <w:r>
              <w:rPr>
                <w:rFonts w:hint="eastAsia"/>
                <w:color w:val="auto"/>
                <w:szCs w:val="21"/>
              </w:rPr>
              <w:t>18</w:t>
            </w:r>
          </w:p>
        </w:tc>
        <w:tc>
          <w:tcPr>
            <w:tcW w:w="1000" w:type="pct"/>
            <w:noWrap w:val="0"/>
            <w:vAlign w:val="center"/>
          </w:tcPr>
          <w:p>
            <w:pPr>
              <w:contextualSpacing/>
              <w:jc w:val="center"/>
              <w:rPr>
                <w:rFonts w:hint="eastAsia"/>
                <w:color w:val="auto"/>
                <w:szCs w:val="21"/>
              </w:rPr>
            </w:pPr>
            <w:r>
              <w:rPr>
                <w:rFonts w:hint="eastAsia"/>
                <w:color w:val="auto"/>
                <w:szCs w:val="21"/>
              </w:rPr>
              <w:t>8</w:t>
            </w:r>
          </w:p>
        </w:tc>
        <w:tc>
          <w:tcPr>
            <w:tcW w:w="1000" w:type="pct"/>
            <w:noWrap w:val="0"/>
            <w:vAlign w:val="center"/>
          </w:tcPr>
          <w:p>
            <w:pPr>
              <w:contextualSpacing/>
              <w:jc w:val="center"/>
              <w:rPr>
                <w:color w:val="auto"/>
                <w:szCs w:val="21"/>
              </w:rPr>
            </w:pPr>
            <w:r>
              <w:rPr>
                <w:color w:val="auto"/>
                <w:szCs w:val="21"/>
              </w:rPr>
              <w:t>0.8</w:t>
            </w:r>
          </w:p>
        </w:tc>
        <w:tc>
          <w:tcPr>
            <w:tcW w:w="1000" w:type="pct"/>
            <w:noWrap w:val="0"/>
            <w:vAlign w:val="center"/>
          </w:tcPr>
          <w:p>
            <w:pPr>
              <w:contextualSpacing/>
              <w:jc w:val="center"/>
              <w:rPr>
                <w:color w:val="auto"/>
                <w:szCs w:val="21"/>
              </w:rPr>
            </w:pPr>
            <w:r>
              <w:rPr>
                <w:rFonts w:hint="eastAsia"/>
                <w:color w:val="auto"/>
                <w:szCs w:val="21"/>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PT6</w:t>
            </w:r>
          </w:p>
        </w:tc>
        <w:tc>
          <w:tcPr>
            <w:tcW w:w="1000" w:type="pct"/>
            <w:noWrap w:val="0"/>
            <w:vAlign w:val="center"/>
          </w:tcPr>
          <w:p>
            <w:pPr>
              <w:contextualSpacing/>
              <w:jc w:val="center"/>
              <w:rPr>
                <w:rFonts w:hint="eastAsia"/>
                <w:color w:val="auto"/>
                <w:szCs w:val="21"/>
              </w:rPr>
            </w:pPr>
            <w:r>
              <w:rPr>
                <w:rFonts w:hint="eastAsia"/>
                <w:color w:val="auto"/>
                <w:szCs w:val="21"/>
              </w:rPr>
              <w:t>7</w:t>
            </w:r>
          </w:p>
        </w:tc>
        <w:tc>
          <w:tcPr>
            <w:tcW w:w="1000" w:type="pct"/>
            <w:noWrap w:val="0"/>
            <w:vAlign w:val="center"/>
          </w:tcPr>
          <w:p>
            <w:pPr>
              <w:contextualSpacing/>
              <w:jc w:val="center"/>
              <w:rPr>
                <w:rFonts w:hint="eastAsia"/>
                <w:color w:val="auto"/>
                <w:szCs w:val="21"/>
              </w:rPr>
            </w:pPr>
            <w:r>
              <w:rPr>
                <w:rFonts w:hint="eastAsia"/>
                <w:color w:val="auto"/>
                <w:szCs w:val="21"/>
              </w:rPr>
              <w:t>5</w:t>
            </w:r>
          </w:p>
        </w:tc>
        <w:tc>
          <w:tcPr>
            <w:tcW w:w="1000" w:type="pct"/>
            <w:noWrap w:val="0"/>
            <w:vAlign w:val="center"/>
          </w:tcPr>
          <w:p>
            <w:pPr>
              <w:contextualSpacing/>
              <w:jc w:val="center"/>
              <w:rPr>
                <w:color w:val="auto"/>
                <w:szCs w:val="21"/>
              </w:rPr>
            </w:pPr>
            <w:r>
              <w:rPr>
                <w:color w:val="auto"/>
                <w:szCs w:val="21"/>
              </w:rPr>
              <w:t>1.0</w:t>
            </w:r>
          </w:p>
        </w:tc>
        <w:tc>
          <w:tcPr>
            <w:tcW w:w="1000" w:type="pct"/>
            <w:noWrap w:val="0"/>
            <w:vAlign w:val="center"/>
          </w:tcPr>
          <w:p>
            <w:pPr>
              <w:contextualSpacing/>
              <w:jc w:val="center"/>
              <w:rPr>
                <w:color w:val="auto"/>
                <w:szCs w:val="21"/>
              </w:rPr>
            </w:pPr>
            <w:r>
              <w:rPr>
                <w:rFonts w:hint="eastAsia"/>
                <w:color w:val="auto"/>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PT7</w:t>
            </w:r>
          </w:p>
        </w:tc>
        <w:tc>
          <w:tcPr>
            <w:tcW w:w="1000" w:type="pct"/>
            <w:noWrap w:val="0"/>
            <w:vAlign w:val="center"/>
          </w:tcPr>
          <w:p>
            <w:pPr>
              <w:contextualSpacing/>
              <w:jc w:val="center"/>
              <w:rPr>
                <w:color w:val="auto"/>
                <w:szCs w:val="21"/>
              </w:rPr>
            </w:pPr>
            <w:r>
              <w:rPr>
                <w:color w:val="auto"/>
                <w:szCs w:val="21"/>
              </w:rPr>
              <w:t>17</w:t>
            </w:r>
          </w:p>
        </w:tc>
        <w:tc>
          <w:tcPr>
            <w:tcW w:w="1000" w:type="pct"/>
            <w:noWrap w:val="0"/>
            <w:vAlign w:val="center"/>
          </w:tcPr>
          <w:p>
            <w:pPr>
              <w:contextualSpacing/>
              <w:jc w:val="center"/>
              <w:rPr>
                <w:rFonts w:hint="eastAsia"/>
                <w:color w:val="auto"/>
                <w:szCs w:val="21"/>
              </w:rPr>
            </w:pPr>
            <w:r>
              <w:rPr>
                <w:rFonts w:hint="eastAsia"/>
                <w:color w:val="auto"/>
                <w:szCs w:val="21"/>
              </w:rPr>
              <w:t>5</w:t>
            </w:r>
          </w:p>
        </w:tc>
        <w:tc>
          <w:tcPr>
            <w:tcW w:w="1000" w:type="pct"/>
            <w:noWrap w:val="0"/>
            <w:vAlign w:val="center"/>
          </w:tcPr>
          <w:p>
            <w:pPr>
              <w:contextualSpacing/>
              <w:jc w:val="center"/>
              <w:rPr>
                <w:color w:val="auto"/>
                <w:szCs w:val="21"/>
              </w:rPr>
            </w:pPr>
            <w:r>
              <w:rPr>
                <w:color w:val="auto"/>
                <w:szCs w:val="21"/>
              </w:rPr>
              <w:t>1.0</w:t>
            </w:r>
          </w:p>
        </w:tc>
        <w:tc>
          <w:tcPr>
            <w:tcW w:w="1000" w:type="pct"/>
            <w:noWrap w:val="0"/>
            <w:vAlign w:val="center"/>
          </w:tcPr>
          <w:p>
            <w:pPr>
              <w:contextualSpacing/>
              <w:jc w:val="center"/>
              <w:rPr>
                <w:color w:val="auto"/>
                <w:szCs w:val="21"/>
              </w:rPr>
            </w:pPr>
            <w:r>
              <w:rPr>
                <w:rFonts w:hint="eastAsia"/>
                <w:color w:val="auto"/>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color w:val="auto"/>
                <w:szCs w:val="21"/>
              </w:rPr>
            </w:pPr>
            <w:r>
              <w:rPr>
                <w:color w:val="auto"/>
                <w:szCs w:val="21"/>
              </w:rPr>
              <w:t>PT8</w:t>
            </w:r>
          </w:p>
        </w:tc>
        <w:tc>
          <w:tcPr>
            <w:tcW w:w="1000" w:type="pct"/>
            <w:noWrap w:val="0"/>
            <w:vAlign w:val="center"/>
          </w:tcPr>
          <w:p>
            <w:pPr>
              <w:contextualSpacing/>
              <w:jc w:val="center"/>
              <w:rPr>
                <w:color w:val="auto"/>
                <w:szCs w:val="21"/>
              </w:rPr>
            </w:pPr>
            <w:r>
              <w:rPr>
                <w:rFonts w:hint="eastAsia"/>
                <w:color w:val="auto"/>
                <w:szCs w:val="21"/>
              </w:rPr>
              <w:t>19</w:t>
            </w:r>
          </w:p>
        </w:tc>
        <w:tc>
          <w:tcPr>
            <w:tcW w:w="1000" w:type="pct"/>
            <w:noWrap w:val="0"/>
            <w:vAlign w:val="center"/>
          </w:tcPr>
          <w:p>
            <w:pPr>
              <w:contextualSpacing/>
              <w:jc w:val="center"/>
              <w:rPr>
                <w:color w:val="auto"/>
                <w:szCs w:val="21"/>
              </w:rPr>
            </w:pPr>
            <w:r>
              <w:rPr>
                <w:rFonts w:hint="eastAsia"/>
                <w:color w:val="auto"/>
                <w:szCs w:val="21"/>
              </w:rPr>
              <w:t>10</w:t>
            </w:r>
          </w:p>
        </w:tc>
        <w:tc>
          <w:tcPr>
            <w:tcW w:w="1000" w:type="pct"/>
            <w:noWrap w:val="0"/>
            <w:vAlign w:val="center"/>
          </w:tcPr>
          <w:p>
            <w:pPr>
              <w:contextualSpacing/>
              <w:jc w:val="center"/>
              <w:rPr>
                <w:color w:val="auto"/>
                <w:szCs w:val="21"/>
              </w:rPr>
            </w:pPr>
            <w:r>
              <w:rPr>
                <w:rFonts w:hint="eastAsia"/>
                <w:color w:val="auto"/>
                <w:szCs w:val="21"/>
              </w:rPr>
              <w:t>0.5</w:t>
            </w:r>
          </w:p>
        </w:tc>
        <w:tc>
          <w:tcPr>
            <w:tcW w:w="1000" w:type="pct"/>
            <w:noWrap w:val="0"/>
            <w:vAlign w:val="center"/>
          </w:tcPr>
          <w:p>
            <w:pPr>
              <w:contextualSpacing/>
              <w:jc w:val="center"/>
              <w:rPr>
                <w:color w:val="auto"/>
                <w:szCs w:val="21"/>
              </w:rPr>
            </w:pPr>
            <w:r>
              <w:rPr>
                <w:rFonts w:hint="eastAsia"/>
                <w:color w:val="auto"/>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rFonts w:hint="eastAsia"/>
                <w:color w:val="auto"/>
                <w:szCs w:val="21"/>
              </w:rPr>
            </w:pPr>
            <w:r>
              <w:rPr>
                <w:color w:val="auto"/>
                <w:szCs w:val="21"/>
              </w:rPr>
              <w:t>PT</w:t>
            </w:r>
            <w:r>
              <w:rPr>
                <w:rFonts w:hint="eastAsia"/>
                <w:color w:val="auto"/>
                <w:szCs w:val="21"/>
              </w:rPr>
              <w:t>9</w:t>
            </w:r>
          </w:p>
        </w:tc>
        <w:tc>
          <w:tcPr>
            <w:tcW w:w="1000" w:type="pct"/>
            <w:noWrap w:val="0"/>
            <w:vAlign w:val="center"/>
          </w:tcPr>
          <w:p>
            <w:pPr>
              <w:contextualSpacing/>
              <w:jc w:val="center"/>
              <w:rPr>
                <w:color w:val="auto"/>
                <w:szCs w:val="21"/>
              </w:rPr>
            </w:pPr>
            <w:r>
              <w:rPr>
                <w:rFonts w:hint="eastAsia"/>
                <w:color w:val="auto"/>
                <w:szCs w:val="21"/>
              </w:rPr>
              <w:t>12</w:t>
            </w:r>
          </w:p>
        </w:tc>
        <w:tc>
          <w:tcPr>
            <w:tcW w:w="1000" w:type="pct"/>
            <w:noWrap w:val="0"/>
            <w:vAlign w:val="center"/>
          </w:tcPr>
          <w:p>
            <w:pPr>
              <w:contextualSpacing/>
              <w:jc w:val="center"/>
              <w:rPr>
                <w:rFonts w:hint="eastAsia"/>
                <w:color w:val="auto"/>
                <w:szCs w:val="21"/>
              </w:rPr>
            </w:pPr>
            <w:r>
              <w:rPr>
                <w:rFonts w:hint="eastAsia"/>
                <w:color w:val="auto"/>
                <w:szCs w:val="21"/>
              </w:rPr>
              <w:t>9</w:t>
            </w:r>
          </w:p>
        </w:tc>
        <w:tc>
          <w:tcPr>
            <w:tcW w:w="1000" w:type="pct"/>
            <w:noWrap w:val="0"/>
            <w:vAlign w:val="center"/>
          </w:tcPr>
          <w:p>
            <w:pPr>
              <w:contextualSpacing/>
              <w:jc w:val="center"/>
              <w:rPr>
                <w:color w:val="auto"/>
                <w:szCs w:val="21"/>
              </w:rPr>
            </w:pPr>
            <w:r>
              <w:rPr>
                <w:rFonts w:hint="eastAsia"/>
                <w:color w:val="auto"/>
                <w:szCs w:val="21"/>
              </w:rPr>
              <w:t>0.5</w:t>
            </w:r>
          </w:p>
        </w:tc>
        <w:tc>
          <w:tcPr>
            <w:tcW w:w="1000" w:type="pct"/>
            <w:noWrap w:val="0"/>
            <w:vAlign w:val="center"/>
          </w:tcPr>
          <w:p>
            <w:pPr>
              <w:contextualSpacing/>
              <w:jc w:val="center"/>
              <w:rPr>
                <w:color w:val="auto"/>
                <w:szCs w:val="21"/>
              </w:rPr>
            </w:pPr>
            <w:r>
              <w:rPr>
                <w:rFonts w:hint="eastAsia"/>
                <w:color w:val="auto"/>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996" w:type="pct"/>
            <w:noWrap w:val="0"/>
            <w:vAlign w:val="center"/>
          </w:tcPr>
          <w:p>
            <w:pPr>
              <w:contextualSpacing/>
              <w:jc w:val="center"/>
              <w:rPr>
                <w:b/>
                <w:bCs/>
                <w:color w:val="auto"/>
                <w:szCs w:val="21"/>
              </w:rPr>
            </w:pPr>
            <w:r>
              <w:rPr>
                <w:b/>
                <w:bCs/>
                <w:color w:val="auto"/>
                <w:szCs w:val="21"/>
              </w:rPr>
              <w:t>合计</w:t>
            </w:r>
          </w:p>
        </w:tc>
        <w:tc>
          <w:tcPr>
            <w:tcW w:w="1000" w:type="pct"/>
            <w:noWrap w:val="0"/>
            <w:vAlign w:val="center"/>
          </w:tcPr>
          <w:p>
            <w:pPr>
              <w:contextualSpacing/>
              <w:jc w:val="center"/>
              <w:rPr>
                <w:b/>
                <w:bCs/>
                <w:color w:val="auto"/>
                <w:szCs w:val="21"/>
              </w:rPr>
            </w:pPr>
          </w:p>
        </w:tc>
        <w:tc>
          <w:tcPr>
            <w:tcW w:w="1000" w:type="pct"/>
            <w:noWrap w:val="0"/>
            <w:vAlign w:val="center"/>
          </w:tcPr>
          <w:p>
            <w:pPr>
              <w:contextualSpacing/>
              <w:jc w:val="center"/>
              <w:rPr>
                <w:b/>
                <w:bCs/>
                <w:color w:val="auto"/>
                <w:szCs w:val="21"/>
              </w:rPr>
            </w:pPr>
          </w:p>
        </w:tc>
        <w:tc>
          <w:tcPr>
            <w:tcW w:w="1000" w:type="pct"/>
            <w:noWrap w:val="0"/>
            <w:vAlign w:val="center"/>
          </w:tcPr>
          <w:p>
            <w:pPr>
              <w:contextualSpacing/>
              <w:jc w:val="center"/>
              <w:rPr>
                <w:b/>
                <w:bCs/>
                <w:color w:val="auto"/>
                <w:szCs w:val="21"/>
              </w:rPr>
            </w:pPr>
          </w:p>
        </w:tc>
        <w:tc>
          <w:tcPr>
            <w:tcW w:w="1000" w:type="pct"/>
            <w:noWrap w:val="0"/>
            <w:vAlign w:val="center"/>
          </w:tcPr>
          <w:p>
            <w:pPr>
              <w:contextualSpacing/>
              <w:jc w:val="center"/>
              <w:rPr>
                <w:b/>
                <w:bCs/>
                <w:color w:val="auto"/>
                <w:szCs w:val="21"/>
              </w:rPr>
            </w:pPr>
            <w:r>
              <w:rPr>
                <w:rFonts w:hint="eastAsia"/>
                <w:b/>
                <w:bCs/>
                <w:color w:val="auto"/>
                <w:szCs w:val="21"/>
              </w:rPr>
              <w:t>741</w:t>
            </w:r>
          </w:p>
        </w:tc>
      </w:tr>
    </w:tbl>
    <w:p>
      <w:pPr>
        <w:spacing w:line="360" w:lineRule="auto"/>
        <w:ind w:firstLine="480" w:firstLineChars="200"/>
        <w:contextualSpacing/>
        <w:rPr>
          <w:color w:val="auto"/>
          <w:sz w:val="24"/>
        </w:rPr>
      </w:pPr>
      <w:r>
        <w:rPr>
          <w:rFonts w:hint="eastAsia"/>
          <w:color w:val="auto"/>
          <w:sz w:val="24"/>
        </w:rPr>
        <w:t>10、零散废渣堆（ZD1-ZD6）</w:t>
      </w:r>
    </w:p>
    <w:p>
      <w:pPr>
        <w:spacing w:line="360" w:lineRule="auto"/>
        <w:ind w:firstLine="480" w:firstLineChars="200"/>
        <w:contextualSpacing/>
        <w:rPr>
          <w:color w:val="auto"/>
          <w:sz w:val="24"/>
        </w:rPr>
      </w:pPr>
      <w:r>
        <w:rPr>
          <w:rFonts w:hint="eastAsia"/>
          <w:color w:val="auto"/>
          <w:sz w:val="24"/>
        </w:rPr>
        <w:t>零散废渣堆（ZD1-ZD6）</w:t>
      </w:r>
      <w:r>
        <w:rPr>
          <w:color w:val="auto"/>
          <w:sz w:val="24"/>
        </w:rPr>
        <w:t>分布于矿区内</w:t>
      </w:r>
      <w:r>
        <w:rPr>
          <w:rFonts w:hint="eastAsia"/>
          <w:color w:val="auto"/>
          <w:sz w:val="24"/>
        </w:rPr>
        <w:t>外</w:t>
      </w:r>
      <w:r>
        <w:rPr>
          <w:color w:val="auto"/>
          <w:sz w:val="24"/>
        </w:rPr>
        <w:t>，占地面积</w:t>
      </w:r>
      <w:r>
        <w:rPr>
          <w:rFonts w:hint="eastAsia"/>
          <w:color w:val="auto"/>
          <w:sz w:val="24"/>
        </w:rPr>
        <w:t>3790</w:t>
      </w:r>
      <w:r>
        <w:rPr>
          <w:color w:val="auto"/>
          <w:sz w:val="24"/>
        </w:rPr>
        <w:t>m</w:t>
      </w:r>
      <w:r>
        <w:rPr>
          <w:color w:val="auto"/>
          <w:sz w:val="24"/>
          <w:vertAlign w:val="superscript"/>
        </w:rPr>
        <w:t>2</w:t>
      </w:r>
      <w:r>
        <w:rPr>
          <w:color w:val="auto"/>
          <w:sz w:val="24"/>
        </w:rPr>
        <w:t>，主要为零散的废石土，平均堆放高度1-2m，堆放坡角</w:t>
      </w:r>
      <w:r>
        <w:rPr>
          <w:rFonts w:hint="eastAsia"/>
          <w:color w:val="auto"/>
          <w:sz w:val="24"/>
        </w:rPr>
        <w:t>15-35</w:t>
      </w:r>
      <w:r>
        <w:rPr>
          <w:color w:val="auto"/>
          <w:sz w:val="24"/>
        </w:rPr>
        <w:t>°，总堆方量约</w:t>
      </w:r>
      <w:r>
        <w:rPr>
          <w:rFonts w:hint="eastAsia"/>
          <w:color w:val="auto"/>
          <w:sz w:val="24"/>
        </w:rPr>
        <w:t>3294</w:t>
      </w:r>
      <w:r>
        <w:rPr>
          <w:color w:val="auto"/>
          <w:sz w:val="24"/>
        </w:rPr>
        <w:t>m</w:t>
      </w:r>
      <w:r>
        <w:rPr>
          <w:color w:val="auto"/>
          <w:sz w:val="24"/>
          <w:vertAlign w:val="superscript"/>
        </w:rPr>
        <w:t>3</w:t>
      </w:r>
      <w:r>
        <w:rPr>
          <w:color w:val="auto"/>
          <w:sz w:val="24"/>
        </w:rPr>
        <w:t>，场地的建设破坏了地形地貌景观和植被（见照片</w:t>
      </w:r>
      <w:r>
        <w:rPr>
          <w:rFonts w:hint="eastAsia"/>
          <w:color w:val="auto"/>
          <w:sz w:val="24"/>
          <w:lang w:val="en-US" w:eastAsia="zh-CN"/>
        </w:rPr>
        <w:t>4</w:t>
      </w:r>
      <w:r>
        <w:rPr>
          <w:color w:val="auto"/>
          <w:sz w:val="24"/>
        </w:rPr>
        <w:t>-</w:t>
      </w:r>
      <w:r>
        <w:rPr>
          <w:rFonts w:hint="eastAsia"/>
          <w:color w:val="auto"/>
          <w:sz w:val="24"/>
        </w:rPr>
        <w:t>1</w:t>
      </w:r>
      <w:r>
        <w:rPr>
          <w:rFonts w:hint="eastAsia"/>
          <w:color w:val="auto"/>
          <w:sz w:val="24"/>
          <w:lang w:val="en-US" w:eastAsia="zh-CN"/>
        </w:rPr>
        <w:t>7</w:t>
      </w:r>
      <w:r>
        <w:rPr>
          <w:rFonts w:hint="eastAsia"/>
          <w:color w:val="auto"/>
          <w:sz w:val="24"/>
        </w:rPr>
        <w:t>至</w:t>
      </w:r>
      <w:r>
        <w:rPr>
          <w:rFonts w:hint="eastAsia"/>
          <w:color w:val="auto"/>
          <w:sz w:val="24"/>
          <w:lang w:val="en-US" w:eastAsia="zh-CN"/>
        </w:rPr>
        <w:t>4</w:t>
      </w:r>
      <w:r>
        <w:rPr>
          <w:rFonts w:hint="eastAsia"/>
          <w:color w:val="auto"/>
          <w:sz w:val="24"/>
        </w:rPr>
        <w:t>-2</w:t>
      </w:r>
      <w:r>
        <w:rPr>
          <w:rFonts w:hint="eastAsia"/>
          <w:color w:val="auto"/>
          <w:sz w:val="24"/>
          <w:lang w:val="en-US" w:eastAsia="zh-CN"/>
        </w:rPr>
        <w:t>22</w:t>
      </w:r>
      <w:r>
        <w:rPr>
          <w:color w:val="auto"/>
          <w:sz w:val="24"/>
        </w:rPr>
        <w:t>）。</w:t>
      </w:r>
    </w:p>
    <w:p>
      <w:pPr>
        <w:spacing w:line="360" w:lineRule="auto"/>
        <w:ind w:firstLine="480" w:firstLineChars="200"/>
        <w:contextualSpacing/>
        <w:jc w:val="center"/>
        <w:rPr>
          <w:rFonts w:hint="eastAsia" w:ascii="黑体" w:hAnsi="黑体" w:eastAsia="黑体" w:cs="黑体"/>
          <w:color w:val="auto"/>
          <w:sz w:val="24"/>
        </w:rPr>
      </w:pPr>
      <w:r>
        <w:rPr>
          <w:rFonts w:hint="eastAsia" w:ascii="黑体" w:hAnsi="黑体" w:eastAsia="黑体" w:cs="黑体"/>
          <w:color w:val="auto"/>
          <w:sz w:val="24"/>
        </w:rPr>
        <w:t>表</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2</w:t>
      </w:r>
      <w:r>
        <w:rPr>
          <w:rFonts w:hint="eastAsia" w:ascii="黑体" w:hAnsi="黑体" w:eastAsia="黑体" w:cs="黑体"/>
          <w:color w:val="auto"/>
          <w:sz w:val="24"/>
        </w:rPr>
        <w:t xml:space="preserve">  零散废渣堆（ZD1-ZD6）详情一览表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2756"/>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color w:val="auto"/>
                <w:szCs w:val="21"/>
              </w:rPr>
            </w:pPr>
            <w:r>
              <w:rPr>
                <w:color w:val="auto"/>
                <w:szCs w:val="21"/>
              </w:rPr>
              <w:t>单元名称</w:t>
            </w:r>
          </w:p>
        </w:tc>
        <w:tc>
          <w:tcPr>
            <w:tcW w:w="1616" w:type="pct"/>
            <w:noWrap w:val="0"/>
            <w:vAlign w:val="center"/>
          </w:tcPr>
          <w:p>
            <w:pPr>
              <w:contextualSpacing/>
              <w:jc w:val="center"/>
              <w:rPr>
                <w:color w:val="auto"/>
                <w:szCs w:val="21"/>
              </w:rPr>
            </w:pPr>
            <w:r>
              <w:rPr>
                <w:color w:val="auto"/>
                <w:szCs w:val="21"/>
              </w:rPr>
              <w:t>面积（m</w:t>
            </w:r>
            <w:r>
              <w:rPr>
                <w:color w:val="auto"/>
                <w:szCs w:val="21"/>
                <w:vertAlign w:val="superscript"/>
              </w:rPr>
              <w:t>2</w:t>
            </w:r>
            <w:r>
              <w:rPr>
                <w:color w:val="auto"/>
                <w:szCs w:val="21"/>
              </w:rPr>
              <w:t>）</w:t>
            </w:r>
          </w:p>
        </w:tc>
        <w:tc>
          <w:tcPr>
            <w:tcW w:w="1775" w:type="pct"/>
            <w:noWrap w:val="0"/>
            <w:vAlign w:val="center"/>
          </w:tcPr>
          <w:p>
            <w:pPr>
              <w:contextualSpacing/>
              <w:jc w:val="center"/>
              <w:rPr>
                <w:color w:val="auto"/>
                <w:szCs w:val="21"/>
              </w:rPr>
            </w:pPr>
            <w:r>
              <w:rPr>
                <w:rFonts w:hint="eastAsia"/>
                <w:color w:val="auto"/>
                <w:szCs w:val="21"/>
              </w:rPr>
              <w:t>堆方</w:t>
            </w:r>
            <w:r>
              <w:rPr>
                <w:color w:val="auto"/>
                <w:szCs w:val="21"/>
              </w:rPr>
              <w:t>量（m</w:t>
            </w:r>
            <w:r>
              <w:rPr>
                <w:color w:val="auto"/>
                <w:szCs w:val="21"/>
                <w:vertAlign w:val="superscript"/>
              </w:rPr>
              <w:t>3</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color w:val="auto"/>
                <w:szCs w:val="21"/>
              </w:rPr>
            </w:pPr>
            <w:r>
              <w:rPr>
                <w:rFonts w:hint="eastAsia"/>
                <w:color w:val="auto"/>
                <w:szCs w:val="21"/>
              </w:rPr>
              <w:t>ZD</w:t>
            </w:r>
            <w:r>
              <w:rPr>
                <w:color w:val="auto"/>
                <w:szCs w:val="21"/>
              </w:rPr>
              <w:t>1</w:t>
            </w:r>
          </w:p>
        </w:tc>
        <w:tc>
          <w:tcPr>
            <w:tcW w:w="1616" w:type="pct"/>
            <w:noWrap w:val="0"/>
            <w:vAlign w:val="center"/>
          </w:tcPr>
          <w:p>
            <w:pPr>
              <w:contextualSpacing/>
              <w:jc w:val="center"/>
              <w:rPr>
                <w:color w:val="auto"/>
                <w:szCs w:val="21"/>
              </w:rPr>
            </w:pPr>
            <w:r>
              <w:rPr>
                <w:rFonts w:hint="eastAsia"/>
                <w:color w:val="auto"/>
                <w:szCs w:val="21"/>
              </w:rPr>
              <w:t>169</w:t>
            </w:r>
          </w:p>
        </w:tc>
        <w:tc>
          <w:tcPr>
            <w:tcW w:w="1775" w:type="pct"/>
            <w:noWrap w:val="0"/>
            <w:vAlign w:val="center"/>
          </w:tcPr>
          <w:p>
            <w:pPr>
              <w:contextualSpacing/>
              <w:jc w:val="center"/>
              <w:rPr>
                <w:color w:val="auto"/>
                <w:szCs w:val="21"/>
              </w:rPr>
            </w:pPr>
            <w:r>
              <w:rPr>
                <w:rFonts w:hint="eastAsia"/>
                <w:color w:val="auto"/>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color w:val="auto"/>
                <w:szCs w:val="21"/>
              </w:rPr>
            </w:pPr>
            <w:r>
              <w:rPr>
                <w:rFonts w:hint="eastAsia"/>
                <w:color w:val="auto"/>
                <w:szCs w:val="21"/>
              </w:rPr>
              <w:t>ZD</w:t>
            </w:r>
            <w:r>
              <w:rPr>
                <w:color w:val="auto"/>
                <w:szCs w:val="21"/>
              </w:rPr>
              <w:t>2</w:t>
            </w:r>
          </w:p>
        </w:tc>
        <w:tc>
          <w:tcPr>
            <w:tcW w:w="1616" w:type="pct"/>
            <w:noWrap w:val="0"/>
            <w:vAlign w:val="center"/>
          </w:tcPr>
          <w:p>
            <w:pPr>
              <w:contextualSpacing/>
              <w:jc w:val="center"/>
              <w:rPr>
                <w:color w:val="auto"/>
                <w:szCs w:val="21"/>
              </w:rPr>
            </w:pPr>
            <w:r>
              <w:rPr>
                <w:rFonts w:hint="eastAsia"/>
                <w:color w:val="auto"/>
                <w:szCs w:val="21"/>
              </w:rPr>
              <w:t>323</w:t>
            </w:r>
          </w:p>
        </w:tc>
        <w:tc>
          <w:tcPr>
            <w:tcW w:w="1775" w:type="pct"/>
            <w:noWrap w:val="0"/>
            <w:vAlign w:val="center"/>
          </w:tcPr>
          <w:p>
            <w:pPr>
              <w:contextualSpacing/>
              <w:jc w:val="center"/>
              <w:rPr>
                <w:color w:val="auto"/>
                <w:szCs w:val="21"/>
              </w:rPr>
            </w:pPr>
            <w:r>
              <w:rPr>
                <w:rFonts w:hint="eastAsia"/>
                <w:color w:val="auto"/>
                <w:szCs w:val="21"/>
              </w:rPr>
              <w:t>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rFonts w:hint="eastAsia"/>
                <w:color w:val="auto"/>
                <w:szCs w:val="21"/>
              </w:rPr>
            </w:pPr>
            <w:r>
              <w:rPr>
                <w:rFonts w:hint="eastAsia"/>
                <w:color w:val="auto"/>
                <w:szCs w:val="21"/>
              </w:rPr>
              <w:t>ZD3</w:t>
            </w:r>
          </w:p>
        </w:tc>
        <w:tc>
          <w:tcPr>
            <w:tcW w:w="1616" w:type="pct"/>
            <w:noWrap w:val="0"/>
            <w:vAlign w:val="center"/>
          </w:tcPr>
          <w:p>
            <w:pPr>
              <w:contextualSpacing/>
              <w:jc w:val="center"/>
              <w:rPr>
                <w:color w:val="auto"/>
                <w:szCs w:val="21"/>
              </w:rPr>
            </w:pPr>
            <w:r>
              <w:rPr>
                <w:rFonts w:hint="eastAsia"/>
                <w:color w:val="auto"/>
                <w:szCs w:val="21"/>
              </w:rPr>
              <w:t>633</w:t>
            </w:r>
          </w:p>
        </w:tc>
        <w:tc>
          <w:tcPr>
            <w:tcW w:w="1775" w:type="pct"/>
            <w:noWrap w:val="0"/>
            <w:vAlign w:val="center"/>
          </w:tcPr>
          <w:p>
            <w:pPr>
              <w:contextualSpacing/>
              <w:jc w:val="center"/>
              <w:rPr>
                <w:color w:val="auto"/>
                <w:szCs w:val="21"/>
              </w:rPr>
            </w:pPr>
            <w:r>
              <w:rPr>
                <w:rFonts w:hint="eastAsia"/>
                <w:color w:val="auto"/>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rFonts w:hint="eastAsia"/>
                <w:color w:val="auto"/>
                <w:szCs w:val="21"/>
              </w:rPr>
            </w:pPr>
            <w:r>
              <w:rPr>
                <w:rFonts w:hint="eastAsia"/>
                <w:color w:val="auto"/>
                <w:szCs w:val="21"/>
              </w:rPr>
              <w:t>ZD4</w:t>
            </w:r>
          </w:p>
        </w:tc>
        <w:tc>
          <w:tcPr>
            <w:tcW w:w="1616" w:type="pct"/>
            <w:noWrap w:val="0"/>
            <w:vAlign w:val="center"/>
          </w:tcPr>
          <w:p>
            <w:pPr>
              <w:contextualSpacing/>
              <w:jc w:val="center"/>
              <w:rPr>
                <w:color w:val="auto"/>
                <w:szCs w:val="21"/>
              </w:rPr>
            </w:pPr>
            <w:r>
              <w:rPr>
                <w:rFonts w:hint="eastAsia"/>
                <w:color w:val="auto"/>
                <w:szCs w:val="21"/>
              </w:rPr>
              <w:t>52</w:t>
            </w:r>
          </w:p>
        </w:tc>
        <w:tc>
          <w:tcPr>
            <w:tcW w:w="1775" w:type="pct"/>
            <w:noWrap w:val="0"/>
            <w:vAlign w:val="center"/>
          </w:tcPr>
          <w:p>
            <w:pPr>
              <w:contextualSpacing/>
              <w:jc w:val="center"/>
              <w:rPr>
                <w:color w:val="auto"/>
                <w:szCs w:val="21"/>
              </w:rPr>
            </w:pPr>
            <w:r>
              <w:rPr>
                <w:rFonts w:hint="eastAsia"/>
                <w:color w:val="auto"/>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rFonts w:hint="eastAsia"/>
                <w:color w:val="auto"/>
                <w:szCs w:val="21"/>
              </w:rPr>
            </w:pPr>
            <w:r>
              <w:rPr>
                <w:rFonts w:hint="eastAsia"/>
                <w:color w:val="auto"/>
                <w:szCs w:val="21"/>
              </w:rPr>
              <w:t>ZD5</w:t>
            </w:r>
          </w:p>
        </w:tc>
        <w:tc>
          <w:tcPr>
            <w:tcW w:w="1616" w:type="pct"/>
            <w:noWrap w:val="0"/>
            <w:vAlign w:val="center"/>
          </w:tcPr>
          <w:p>
            <w:pPr>
              <w:contextualSpacing/>
              <w:jc w:val="center"/>
              <w:rPr>
                <w:color w:val="auto"/>
                <w:szCs w:val="21"/>
              </w:rPr>
            </w:pPr>
            <w:r>
              <w:rPr>
                <w:rFonts w:hint="eastAsia"/>
                <w:color w:val="auto"/>
                <w:szCs w:val="21"/>
              </w:rPr>
              <w:t>506</w:t>
            </w:r>
          </w:p>
        </w:tc>
        <w:tc>
          <w:tcPr>
            <w:tcW w:w="1775" w:type="pct"/>
            <w:noWrap w:val="0"/>
            <w:vAlign w:val="center"/>
          </w:tcPr>
          <w:p>
            <w:pPr>
              <w:contextualSpacing/>
              <w:jc w:val="center"/>
              <w:rPr>
                <w:color w:val="auto"/>
                <w:szCs w:val="21"/>
              </w:rPr>
            </w:pPr>
            <w:r>
              <w:rPr>
                <w:rFonts w:hint="eastAsia"/>
                <w:color w:val="auto"/>
                <w:szCs w:val="21"/>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rFonts w:hint="eastAsia"/>
                <w:color w:val="auto"/>
                <w:szCs w:val="21"/>
              </w:rPr>
            </w:pPr>
            <w:r>
              <w:rPr>
                <w:rFonts w:hint="eastAsia"/>
                <w:color w:val="auto"/>
                <w:szCs w:val="21"/>
              </w:rPr>
              <w:t>ZD6</w:t>
            </w:r>
          </w:p>
        </w:tc>
        <w:tc>
          <w:tcPr>
            <w:tcW w:w="1616" w:type="pct"/>
            <w:noWrap w:val="0"/>
            <w:vAlign w:val="center"/>
          </w:tcPr>
          <w:p>
            <w:pPr>
              <w:contextualSpacing/>
              <w:jc w:val="center"/>
              <w:rPr>
                <w:color w:val="auto"/>
                <w:szCs w:val="21"/>
              </w:rPr>
            </w:pPr>
            <w:r>
              <w:rPr>
                <w:rFonts w:hint="eastAsia"/>
                <w:color w:val="auto"/>
                <w:szCs w:val="21"/>
              </w:rPr>
              <w:t>2107</w:t>
            </w:r>
          </w:p>
        </w:tc>
        <w:tc>
          <w:tcPr>
            <w:tcW w:w="1775" w:type="pct"/>
            <w:noWrap w:val="0"/>
            <w:vAlign w:val="center"/>
          </w:tcPr>
          <w:p>
            <w:pPr>
              <w:contextualSpacing/>
              <w:jc w:val="center"/>
              <w:rPr>
                <w:color w:val="auto"/>
                <w:szCs w:val="21"/>
              </w:rPr>
            </w:pPr>
            <w:r>
              <w:rPr>
                <w:rFonts w:hint="eastAsia"/>
                <w:color w:val="auto"/>
                <w:szCs w:val="21"/>
              </w:rPr>
              <w:t>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608" w:type="pct"/>
            <w:noWrap w:val="0"/>
            <w:vAlign w:val="center"/>
          </w:tcPr>
          <w:p>
            <w:pPr>
              <w:contextualSpacing/>
              <w:jc w:val="center"/>
              <w:rPr>
                <w:b/>
                <w:bCs/>
                <w:color w:val="auto"/>
                <w:szCs w:val="21"/>
              </w:rPr>
            </w:pPr>
            <w:r>
              <w:rPr>
                <w:b/>
                <w:bCs/>
                <w:color w:val="auto"/>
                <w:szCs w:val="21"/>
              </w:rPr>
              <w:t>合计</w:t>
            </w:r>
          </w:p>
        </w:tc>
        <w:tc>
          <w:tcPr>
            <w:tcW w:w="1616" w:type="pct"/>
            <w:noWrap w:val="0"/>
            <w:vAlign w:val="center"/>
          </w:tcPr>
          <w:p>
            <w:pPr>
              <w:contextualSpacing/>
              <w:jc w:val="center"/>
              <w:rPr>
                <w:b/>
                <w:bCs/>
                <w:color w:val="auto"/>
                <w:szCs w:val="21"/>
              </w:rPr>
            </w:pPr>
            <w:r>
              <w:rPr>
                <w:rFonts w:hint="eastAsia"/>
                <w:b/>
                <w:bCs/>
                <w:color w:val="auto"/>
                <w:szCs w:val="21"/>
              </w:rPr>
              <w:t>3790</w:t>
            </w:r>
          </w:p>
        </w:tc>
        <w:tc>
          <w:tcPr>
            <w:tcW w:w="1775" w:type="pct"/>
            <w:noWrap w:val="0"/>
            <w:vAlign w:val="center"/>
          </w:tcPr>
          <w:p>
            <w:pPr>
              <w:contextualSpacing/>
              <w:jc w:val="center"/>
              <w:rPr>
                <w:b/>
                <w:bCs/>
                <w:color w:val="auto"/>
                <w:szCs w:val="21"/>
              </w:rPr>
            </w:pPr>
            <w:r>
              <w:rPr>
                <w:rFonts w:hint="eastAsia"/>
                <w:b/>
                <w:bCs/>
                <w:color w:val="auto"/>
                <w:szCs w:val="21"/>
              </w:rPr>
              <w:t>3294</w:t>
            </w:r>
          </w:p>
        </w:tc>
      </w:tr>
    </w:tbl>
    <w:p>
      <w:pPr>
        <w:contextualSpacing/>
        <w:jc w:val="center"/>
        <w:rPr>
          <w:color w:val="auto"/>
        </w:rPr>
      </w:pPr>
    </w:p>
    <w:p>
      <w:pPr>
        <w:contextualSpacing/>
        <w:jc w:val="center"/>
        <w:rPr>
          <w:rFonts w:hint="eastAsia"/>
          <w:color w:val="auto"/>
          <w:sz w:val="24"/>
        </w:rPr>
      </w:pPr>
      <w:r>
        <w:rPr>
          <w:color w:val="auto"/>
        </w:rPr>
        <w:drawing>
          <wp:inline distT="0" distB="0" distL="114300" distR="114300">
            <wp:extent cx="2304415" cy="1906270"/>
            <wp:effectExtent l="0" t="0" r="635" b="1778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44"/>
                    <a:stretch>
                      <a:fillRect/>
                    </a:stretch>
                  </pic:blipFill>
                  <pic:spPr>
                    <a:xfrm>
                      <a:off x="0" y="0"/>
                      <a:ext cx="2304415" cy="190627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310765" cy="1886585"/>
            <wp:effectExtent l="0" t="0" r="13335" b="1841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45"/>
                    <a:stretch>
                      <a:fillRect/>
                    </a:stretch>
                  </pic:blipFill>
                  <pic:spPr>
                    <a:xfrm>
                      <a:off x="0" y="0"/>
                      <a:ext cx="2310765" cy="188658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-1</w:t>
      </w:r>
      <w:r>
        <w:rPr>
          <w:rFonts w:hint="eastAsia" w:ascii="黑体" w:hAnsi="黑体" w:eastAsia="黑体" w:cs="黑体"/>
          <w:color w:val="auto"/>
          <w:sz w:val="24"/>
          <w:lang w:val="en-US" w:eastAsia="zh-CN"/>
        </w:rPr>
        <w:t>7</w:t>
      </w:r>
      <w:r>
        <w:rPr>
          <w:rFonts w:hint="eastAsia" w:ascii="黑体" w:hAnsi="黑体" w:eastAsia="黑体" w:cs="黑体"/>
          <w:color w:val="auto"/>
          <w:sz w:val="24"/>
        </w:rPr>
        <w:t xml:space="preserve">  ZD1                    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-1</w:t>
      </w:r>
      <w:r>
        <w:rPr>
          <w:rFonts w:hint="eastAsia" w:ascii="黑体" w:hAnsi="黑体" w:eastAsia="黑体" w:cs="黑体"/>
          <w:color w:val="auto"/>
          <w:sz w:val="24"/>
          <w:lang w:val="en-US" w:eastAsia="zh-CN"/>
        </w:rPr>
        <w:t>8</w:t>
      </w:r>
      <w:r>
        <w:rPr>
          <w:rFonts w:hint="eastAsia" w:ascii="黑体" w:hAnsi="黑体" w:eastAsia="黑体" w:cs="黑体"/>
          <w:color w:val="auto"/>
          <w:sz w:val="24"/>
        </w:rPr>
        <w:t xml:space="preserve">  ZD2</w:t>
      </w:r>
    </w:p>
    <w:p>
      <w:pPr>
        <w:spacing w:line="360" w:lineRule="auto"/>
        <w:jc w:val="center"/>
        <w:rPr>
          <w:rFonts w:hint="eastAsia" w:ascii="黑体" w:hAnsi="黑体" w:eastAsia="黑体" w:cs="黑体"/>
          <w:color w:val="auto"/>
          <w:sz w:val="24"/>
          <w:szCs w:val="32"/>
        </w:rPr>
      </w:pPr>
      <w:r>
        <w:rPr>
          <w:color w:val="auto"/>
        </w:rPr>
        <w:drawing>
          <wp:inline distT="0" distB="0" distL="114300" distR="114300">
            <wp:extent cx="2247265" cy="1903730"/>
            <wp:effectExtent l="0" t="0" r="635" b="127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46"/>
                    <a:stretch>
                      <a:fillRect/>
                    </a:stretch>
                  </pic:blipFill>
                  <pic:spPr>
                    <a:xfrm>
                      <a:off x="0" y="0"/>
                      <a:ext cx="2247265" cy="190373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376805" cy="1885315"/>
            <wp:effectExtent l="0" t="0" r="4445" b="63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47"/>
                    <a:stretch>
                      <a:fillRect/>
                    </a:stretch>
                  </pic:blipFill>
                  <pic:spPr>
                    <a:xfrm>
                      <a:off x="0" y="0"/>
                      <a:ext cx="2376805" cy="188531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19</w:t>
      </w:r>
      <w:r>
        <w:rPr>
          <w:rFonts w:hint="eastAsia" w:ascii="黑体" w:hAnsi="黑体" w:eastAsia="黑体" w:cs="黑体"/>
          <w:color w:val="auto"/>
          <w:sz w:val="24"/>
        </w:rPr>
        <w:t xml:space="preserve">  ZD3                    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-2</w:t>
      </w:r>
      <w:r>
        <w:rPr>
          <w:rFonts w:hint="eastAsia" w:ascii="黑体" w:hAnsi="黑体" w:eastAsia="黑体" w:cs="黑体"/>
          <w:color w:val="auto"/>
          <w:sz w:val="24"/>
          <w:lang w:val="en-US" w:eastAsia="zh-CN"/>
        </w:rPr>
        <w:t>0</w:t>
      </w:r>
      <w:r>
        <w:rPr>
          <w:rFonts w:hint="eastAsia" w:ascii="黑体" w:hAnsi="黑体" w:eastAsia="黑体" w:cs="黑体"/>
          <w:color w:val="auto"/>
          <w:sz w:val="24"/>
        </w:rPr>
        <w:t xml:space="preserve">  ZD4</w:t>
      </w:r>
    </w:p>
    <w:p>
      <w:pPr>
        <w:spacing w:line="360" w:lineRule="auto"/>
        <w:ind w:left="0" w:leftChars="0" w:firstLine="0" w:firstLineChars="0"/>
        <w:jc w:val="center"/>
        <w:rPr>
          <w:rFonts w:hint="eastAsia" w:ascii="黑体" w:hAnsi="黑体" w:eastAsia="黑体" w:cs="黑体"/>
          <w:color w:val="auto"/>
          <w:sz w:val="24"/>
          <w:szCs w:val="32"/>
        </w:rPr>
      </w:pPr>
      <w:r>
        <w:rPr>
          <w:color w:val="auto"/>
        </w:rPr>
        <w:drawing>
          <wp:inline distT="0" distB="0" distL="114300" distR="114300">
            <wp:extent cx="3527425" cy="2085975"/>
            <wp:effectExtent l="0" t="0" r="15875" b="9525"/>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48"/>
                    <a:stretch>
                      <a:fillRect/>
                    </a:stretch>
                  </pic:blipFill>
                  <pic:spPr>
                    <a:xfrm>
                      <a:off x="0" y="0"/>
                      <a:ext cx="3527425" cy="208597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-2</w:t>
      </w:r>
      <w:r>
        <w:rPr>
          <w:rFonts w:hint="eastAsia" w:ascii="黑体" w:hAnsi="黑体" w:eastAsia="黑体" w:cs="黑体"/>
          <w:color w:val="auto"/>
          <w:sz w:val="24"/>
          <w:lang w:val="en-US" w:eastAsia="zh-CN"/>
        </w:rPr>
        <w:t>1</w:t>
      </w:r>
      <w:r>
        <w:rPr>
          <w:rFonts w:hint="eastAsia" w:ascii="黑体" w:hAnsi="黑体" w:eastAsia="黑体" w:cs="黑体"/>
          <w:color w:val="auto"/>
          <w:sz w:val="24"/>
        </w:rPr>
        <w:t xml:space="preserve">  ZD5</w:t>
      </w:r>
    </w:p>
    <w:p>
      <w:pPr>
        <w:spacing w:line="360" w:lineRule="auto"/>
        <w:ind w:left="0" w:leftChars="0" w:firstLine="0" w:firstLineChars="0"/>
        <w:jc w:val="center"/>
        <w:rPr>
          <w:color w:val="auto"/>
        </w:rPr>
      </w:pPr>
      <w:r>
        <w:rPr>
          <w:color w:val="auto"/>
        </w:rPr>
        <w:drawing>
          <wp:inline distT="0" distB="0" distL="114300" distR="114300">
            <wp:extent cx="3575050" cy="2173605"/>
            <wp:effectExtent l="0" t="0" r="6350" b="17145"/>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49"/>
                    <a:stretch>
                      <a:fillRect/>
                    </a:stretch>
                  </pic:blipFill>
                  <pic:spPr>
                    <a:xfrm>
                      <a:off x="0" y="0"/>
                      <a:ext cx="3575050" cy="2173605"/>
                    </a:xfrm>
                    <a:prstGeom prst="rect">
                      <a:avLst/>
                    </a:prstGeom>
                    <a:noFill/>
                    <a:ln>
                      <a:noFill/>
                    </a:ln>
                  </pic:spPr>
                </pic:pic>
              </a:graphicData>
            </a:graphic>
          </wp:inline>
        </w:drawing>
      </w:r>
    </w:p>
    <w:p>
      <w:pPr>
        <w:pStyle w:val="18"/>
        <w:jc w:val="center"/>
        <w:rPr>
          <w:rFonts w:hint="eastAsia" w:ascii="黑体" w:hAnsi="黑体" w:eastAsia="黑体" w:cs="黑体"/>
          <w:color w:val="auto"/>
        </w:rPr>
      </w:pPr>
      <w:r>
        <w:rPr>
          <w:rFonts w:hint="eastAsia" w:ascii="黑体" w:hAnsi="黑体" w:eastAsia="黑体" w:cs="黑体"/>
          <w:color w:val="auto"/>
        </w:rPr>
        <w:t>照片</w:t>
      </w:r>
      <w:r>
        <w:rPr>
          <w:rFonts w:hint="eastAsia" w:ascii="黑体" w:hAnsi="黑体" w:eastAsia="黑体" w:cs="黑体"/>
          <w:color w:val="auto"/>
          <w:lang w:val="en-US" w:eastAsia="zh-CN"/>
        </w:rPr>
        <w:t>4</w:t>
      </w:r>
      <w:r>
        <w:rPr>
          <w:rFonts w:hint="eastAsia" w:ascii="黑体" w:hAnsi="黑体" w:eastAsia="黑体" w:cs="黑体"/>
          <w:color w:val="auto"/>
        </w:rPr>
        <w:t>-2</w:t>
      </w:r>
      <w:r>
        <w:rPr>
          <w:rFonts w:hint="eastAsia" w:ascii="黑体" w:hAnsi="黑体" w:eastAsia="黑体" w:cs="黑体"/>
          <w:color w:val="auto"/>
          <w:lang w:val="en-US" w:eastAsia="zh-CN"/>
        </w:rPr>
        <w:t>2</w:t>
      </w:r>
      <w:r>
        <w:rPr>
          <w:rFonts w:hint="eastAsia" w:ascii="黑体" w:hAnsi="黑体" w:eastAsia="黑体" w:cs="黑体"/>
          <w:color w:val="auto"/>
        </w:rPr>
        <w:t xml:space="preserve">  ZD6</w:t>
      </w:r>
    </w:p>
    <w:p>
      <w:pPr>
        <w:adjustRightInd w:val="0"/>
        <w:snapToGrid w:val="0"/>
        <w:jc w:val="center"/>
        <w:rPr>
          <w:rFonts w:hint="eastAsia"/>
          <w:color w:val="auto"/>
          <w:sz w:val="24"/>
        </w:rPr>
      </w:pPr>
      <w:r>
        <w:rPr>
          <w:color w:val="auto"/>
        </w:rPr>
        <w:drawing>
          <wp:inline distT="0" distB="0" distL="114300" distR="114300">
            <wp:extent cx="2209165" cy="1232535"/>
            <wp:effectExtent l="0" t="0" r="635" b="5715"/>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50"/>
                    <a:stretch>
                      <a:fillRect/>
                    </a:stretch>
                  </pic:blipFill>
                  <pic:spPr>
                    <a:xfrm>
                      <a:off x="0" y="0"/>
                      <a:ext cx="2209165" cy="1232535"/>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1361440" cy="1270635"/>
            <wp:effectExtent l="0" t="0" r="10160" b="5715"/>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51"/>
                    <a:stretch>
                      <a:fillRect/>
                    </a:stretch>
                  </pic:blipFill>
                  <pic:spPr>
                    <a:xfrm>
                      <a:off x="0" y="0"/>
                      <a:ext cx="1361440" cy="1270635"/>
                    </a:xfrm>
                    <a:prstGeom prst="rect">
                      <a:avLst/>
                    </a:prstGeom>
                    <a:noFill/>
                    <a:ln>
                      <a:noFill/>
                    </a:ln>
                  </pic:spPr>
                </pic:pic>
              </a:graphicData>
            </a:graphic>
          </wp:inline>
        </w:drawing>
      </w:r>
    </w:p>
    <w:p>
      <w:pPr>
        <w:adjustRightInd w:val="0"/>
        <w:snapToGrid w:val="0"/>
        <w:spacing w:line="360" w:lineRule="auto"/>
        <w:ind w:firstLine="480" w:firstLineChars="200"/>
        <w:jc w:val="center"/>
        <w:rPr>
          <w:rFonts w:hint="eastAsia" w:ascii="黑体" w:hAnsi="黑体" w:eastAsia="黑体" w:cs="黑体"/>
          <w:color w:val="auto"/>
          <w:sz w:val="24"/>
        </w:rPr>
      </w:pPr>
      <w:r>
        <w:rPr>
          <w:rFonts w:hint="eastAsia" w:ascii="黑体" w:hAnsi="黑体" w:eastAsia="黑体" w:cs="黑体"/>
          <w:color w:val="auto"/>
          <w:sz w:val="24"/>
        </w:rPr>
        <w:t>图</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6</w:t>
      </w:r>
      <w:r>
        <w:rPr>
          <w:rFonts w:hint="eastAsia" w:ascii="黑体" w:hAnsi="黑体" w:eastAsia="黑体" w:cs="黑体"/>
          <w:color w:val="auto"/>
          <w:sz w:val="24"/>
        </w:rPr>
        <w:t xml:space="preserve">  ZD1及ZD2三角网计算堆放量</w:t>
      </w:r>
    </w:p>
    <w:p>
      <w:pPr>
        <w:adjustRightInd w:val="0"/>
        <w:snapToGrid w:val="0"/>
        <w:jc w:val="center"/>
        <w:rPr>
          <w:rFonts w:hint="eastAsia"/>
          <w:color w:val="auto"/>
          <w:sz w:val="24"/>
        </w:rPr>
      </w:pPr>
      <w:r>
        <w:rPr>
          <w:color w:val="auto"/>
        </w:rPr>
        <w:drawing>
          <wp:inline distT="0" distB="0" distL="114300" distR="114300">
            <wp:extent cx="1936750" cy="1622425"/>
            <wp:effectExtent l="0" t="0" r="6350" b="15875"/>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52"/>
                    <a:stretch>
                      <a:fillRect/>
                    </a:stretch>
                  </pic:blipFill>
                  <pic:spPr>
                    <a:xfrm>
                      <a:off x="0" y="0"/>
                      <a:ext cx="1936750" cy="1622425"/>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1982470" cy="1680845"/>
            <wp:effectExtent l="0" t="0" r="17780" b="14605"/>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53"/>
                    <a:stretch>
                      <a:fillRect/>
                    </a:stretch>
                  </pic:blipFill>
                  <pic:spPr>
                    <a:xfrm>
                      <a:off x="0" y="0"/>
                      <a:ext cx="1982470" cy="1680845"/>
                    </a:xfrm>
                    <a:prstGeom prst="rect">
                      <a:avLst/>
                    </a:prstGeom>
                    <a:noFill/>
                    <a:ln>
                      <a:noFill/>
                    </a:ln>
                  </pic:spPr>
                </pic:pic>
              </a:graphicData>
            </a:graphic>
          </wp:inline>
        </w:drawing>
      </w:r>
    </w:p>
    <w:p>
      <w:pPr>
        <w:adjustRightInd w:val="0"/>
        <w:snapToGrid w:val="0"/>
        <w:spacing w:line="360" w:lineRule="auto"/>
        <w:ind w:firstLine="480" w:firstLineChars="200"/>
        <w:jc w:val="center"/>
        <w:rPr>
          <w:rFonts w:hint="eastAsia"/>
          <w:color w:val="auto"/>
          <w:sz w:val="24"/>
        </w:rPr>
      </w:pPr>
      <w:r>
        <w:rPr>
          <w:rFonts w:hint="eastAsia" w:ascii="黑体" w:hAnsi="黑体" w:eastAsia="黑体" w:cs="黑体"/>
          <w:color w:val="auto"/>
          <w:sz w:val="24"/>
        </w:rPr>
        <w:t>图</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7</w:t>
      </w:r>
      <w:r>
        <w:rPr>
          <w:rFonts w:hint="eastAsia" w:ascii="黑体" w:hAnsi="黑体" w:eastAsia="黑体" w:cs="黑体"/>
          <w:color w:val="auto"/>
          <w:sz w:val="24"/>
        </w:rPr>
        <w:t xml:space="preserve">  ZD3及ZD4三角网计算堆放量</w:t>
      </w:r>
    </w:p>
    <w:p>
      <w:pPr>
        <w:adjustRightInd w:val="0"/>
        <w:snapToGrid w:val="0"/>
        <w:jc w:val="center"/>
        <w:rPr>
          <w:rFonts w:hint="eastAsia"/>
          <w:color w:val="auto"/>
          <w:sz w:val="24"/>
        </w:rPr>
      </w:pPr>
      <w:r>
        <w:rPr>
          <w:color w:val="auto"/>
        </w:rPr>
        <w:drawing>
          <wp:inline distT="0" distB="0" distL="114300" distR="114300">
            <wp:extent cx="1673225" cy="1775460"/>
            <wp:effectExtent l="0" t="0" r="3175" b="1524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54"/>
                    <a:stretch>
                      <a:fillRect/>
                    </a:stretch>
                  </pic:blipFill>
                  <pic:spPr>
                    <a:xfrm>
                      <a:off x="0" y="0"/>
                      <a:ext cx="1673225" cy="1775460"/>
                    </a:xfrm>
                    <a:prstGeom prst="rect">
                      <a:avLst/>
                    </a:prstGeom>
                    <a:noFill/>
                    <a:ln>
                      <a:noFill/>
                    </a:ln>
                  </pic:spPr>
                </pic:pic>
              </a:graphicData>
            </a:graphic>
          </wp:inline>
        </w:drawing>
      </w:r>
      <w:r>
        <w:rPr>
          <w:rFonts w:hint="eastAsia"/>
          <w:color w:val="auto"/>
        </w:rPr>
        <w:t xml:space="preserve"> </w:t>
      </w:r>
      <w:r>
        <w:rPr>
          <w:color w:val="auto"/>
        </w:rPr>
        <w:drawing>
          <wp:inline distT="0" distB="0" distL="114300" distR="114300">
            <wp:extent cx="2087245" cy="1786890"/>
            <wp:effectExtent l="0" t="0" r="8255" b="381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55"/>
                    <a:stretch>
                      <a:fillRect/>
                    </a:stretch>
                  </pic:blipFill>
                  <pic:spPr>
                    <a:xfrm>
                      <a:off x="0" y="0"/>
                      <a:ext cx="2087245" cy="1786890"/>
                    </a:xfrm>
                    <a:prstGeom prst="rect">
                      <a:avLst/>
                    </a:prstGeom>
                    <a:noFill/>
                    <a:ln>
                      <a:noFill/>
                    </a:ln>
                  </pic:spPr>
                </pic:pic>
              </a:graphicData>
            </a:graphic>
          </wp:inline>
        </w:drawing>
      </w:r>
    </w:p>
    <w:p>
      <w:pPr>
        <w:adjustRightInd w:val="0"/>
        <w:snapToGrid w:val="0"/>
        <w:spacing w:line="360" w:lineRule="auto"/>
        <w:ind w:firstLine="480" w:firstLineChars="200"/>
        <w:jc w:val="center"/>
        <w:rPr>
          <w:rFonts w:hint="eastAsia"/>
          <w:color w:val="auto"/>
          <w:sz w:val="24"/>
        </w:rPr>
      </w:pPr>
      <w:r>
        <w:rPr>
          <w:rFonts w:hint="eastAsia" w:ascii="黑体" w:hAnsi="黑体" w:eastAsia="黑体" w:cs="黑体"/>
          <w:color w:val="auto"/>
          <w:sz w:val="24"/>
        </w:rPr>
        <w:t>图</w:t>
      </w:r>
      <w:r>
        <w:rPr>
          <w:rFonts w:hint="eastAsia" w:ascii="黑体" w:hAnsi="黑体" w:eastAsia="黑体" w:cs="黑体"/>
          <w:color w:val="auto"/>
          <w:sz w:val="24"/>
          <w:lang w:val="en-US" w:eastAsia="zh-CN"/>
        </w:rPr>
        <w:t>4</w:t>
      </w:r>
      <w:r>
        <w:rPr>
          <w:rFonts w:hint="eastAsia" w:ascii="黑体" w:hAnsi="黑体" w:eastAsia="黑体" w:cs="黑体"/>
          <w:color w:val="auto"/>
          <w:sz w:val="24"/>
        </w:rPr>
        <w:t>-</w:t>
      </w:r>
      <w:r>
        <w:rPr>
          <w:rFonts w:hint="eastAsia" w:ascii="黑体" w:hAnsi="黑体" w:eastAsia="黑体" w:cs="黑体"/>
          <w:color w:val="auto"/>
          <w:sz w:val="24"/>
          <w:lang w:val="en-US" w:eastAsia="zh-CN"/>
        </w:rPr>
        <w:t>8</w:t>
      </w:r>
      <w:r>
        <w:rPr>
          <w:rFonts w:hint="eastAsia" w:ascii="黑体" w:hAnsi="黑体" w:eastAsia="黑体" w:cs="黑体"/>
          <w:color w:val="auto"/>
          <w:sz w:val="24"/>
        </w:rPr>
        <w:t xml:space="preserve">  ZD5及ZD6三角网计算堆放量</w:t>
      </w:r>
    </w:p>
    <w:p>
      <w:pPr>
        <w:adjustRightInd w:val="0"/>
        <w:snapToGrid w:val="0"/>
        <w:spacing w:line="360" w:lineRule="auto"/>
        <w:ind w:firstLine="480" w:firstLineChars="200"/>
        <w:rPr>
          <w:rFonts w:hint="eastAsia"/>
          <w:color w:val="auto"/>
          <w:sz w:val="24"/>
        </w:rPr>
      </w:pPr>
      <w:r>
        <w:rPr>
          <w:rFonts w:hint="eastAsia"/>
          <w:color w:val="auto"/>
          <w:sz w:val="24"/>
        </w:rPr>
        <w:t>12、矿区道路</w:t>
      </w:r>
    </w:p>
    <w:p>
      <w:pPr>
        <w:spacing w:line="360" w:lineRule="auto"/>
        <w:ind w:firstLine="480" w:firstLineChars="200"/>
        <w:contextualSpacing/>
        <w:rPr>
          <w:color w:val="auto"/>
          <w:sz w:val="24"/>
        </w:rPr>
      </w:pPr>
      <w:r>
        <w:rPr>
          <w:rFonts w:hint="eastAsia"/>
          <w:color w:val="auto"/>
          <w:sz w:val="24"/>
        </w:rPr>
        <w:t>矿区道路连接矿区内各工程单元，工程单元外长约1023m，宽约4m，</w:t>
      </w:r>
      <w:r>
        <w:rPr>
          <w:color w:val="auto"/>
          <w:sz w:val="24"/>
        </w:rPr>
        <w:t>占地面积为</w:t>
      </w:r>
      <w:r>
        <w:rPr>
          <w:rFonts w:hint="eastAsia"/>
          <w:color w:val="auto"/>
          <w:sz w:val="24"/>
        </w:rPr>
        <w:t>4092</w:t>
      </w:r>
      <w:r>
        <w:rPr>
          <w:color w:val="auto"/>
          <w:sz w:val="24"/>
        </w:rPr>
        <w:t>m</w:t>
      </w:r>
      <w:r>
        <w:rPr>
          <w:color w:val="auto"/>
          <w:sz w:val="24"/>
          <w:vertAlign w:val="superscript"/>
        </w:rPr>
        <w:t>2</w:t>
      </w:r>
      <w:r>
        <w:rPr>
          <w:rFonts w:hint="eastAsia"/>
          <w:color w:val="auto"/>
          <w:sz w:val="24"/>
        </w:rPr>
        <w:t>；部分</w:t>
      </w:r>
      <w:r>
        <w:rPr>
          <w:color w:val="auto"/>
          <w:sz w:val="24"/>
        </w:rPr>
        <w:t>矿区道路</w:t>
      </w:r>
      <w:r>
        <w:rPr>
          <w:rFonts w:hint="eastAsia"/>
          <w:color w:val="auto"/>
          <w:sz w:val="24"/>
        </w:rPr>
        <w:t>依山而建，存在切坡，切坡总长度132m，切坡高度1~3m，坡角30~65°。</w:t>
      </w:r>
      <w:r>
        <w:rPr>
          <w:color w:val="auto"/>
          <w:sz w:val="24"/>
        </w:rPr>
        <w:t>该场地使原有的地貌景观受到了破坏（见照片</w:t>
      </w:r>
      <w:r>
        <w:rPr>
          <w:rFonts w:hint="eastAsia"/>
          <w:color w:val="auto"/>
          <w:sz w:val="24"/>
          <w:lang w:val="en-US" w:eastAsia="zh-CN"/>
        </w:rPr>
        <w:t>4</w:t>
      </w:r>
      <w:r>
        <w:rPr>
          <w:color w:val="auto"/>
          <w:sz w:val="24"/>
        </w:rPr>
        <w:t>-</w:t>
      </w:r>
      <w:r>
        <w:rPr>
          <w:rFonts w:hint="eastAsia"/>
          <w:color w:val="auto"/>
          <w:sz w:val="24"/>
        </w:rPr>
        <w:t>2</w:t>
      </w:r>
      <w:r>
        <w:rPr>
          <w:rFonts w:hint="eastAsia"/>
          <w:color w:val="auto"/>
          <w:sz w:val="24"/>
          <w:lang w:val="en-US" w:eastAsia="zh-CN"/>
        </w:rPr>
        <w:t>3</w:t>
      </w:r>
      <w:r>
        <w:rPr>
          <w:color w:val="auto"/>
          <w:sz w:val="24"/>
        </w:rPr>
        <w:t>）。</w:t>
      </w:r>
    </w:p>
    <w:p>
      <w:pPr>
        <w:contextualSpacing/>
        <w:jc w:val="center"/>
        <w:rPr>
          <w:color w:val="auto"/>
          <w:sz w:val="24"/>
        </w:rPr>
      </w:pPr>
      <w:r>
        <w:rPr>
          <w:color w:val="auto"/>
        </w:rPr>
        <w:drawing>
          <wp:inline distT="0" distB="0" distL="114300" distR="114300">
            <wp:extent cx="3129280" cy="1640205"/>
            <wp:effectExtent l="0" t="0" r="13970" b="17145"/>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pic:cNvPicPr>
                  </pic:nvPicPr>
                  <pic:blipFill>
                    <a:blip r:embed="rId56"/>
                    <a:stretch>
                      <a:fillRect/>
                    </a:stretch>
                  </pic:blipFill>
                  <pic:spPr>
                    <a:xfrm>
                      <a:off x="0" y="0"/>
                      <a:ext cx="3129280" cy="1640205"/>
                    </a:xfrm>
                    <a:prstGeom prst="rect">
                      <a:avLst/>
                    </a:prstGeom>
                    <a:noFill/>
                    <a:ln>
                      <a:noFill/>
                    </a:ln>
                  </pic:spPr>
                </pic:pic>
              </a:graphicData>
            </a:graphic>
          </wp:inline>
        </w:drawing>
      </w:r>
    </w:p>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照片</w:t>
      </w:r>
      <w:r>
        <w:rPr>
          <w:rFonts w:hint="eastAsia" w:ascii="黑体" w:hAnsi="黑体" w:eastAsia="黑体" w:cs="黑体"/>
          <w:color w:val="auto"/>
          <w:sz w:val="24"/>
          <w:lang w:val="en-US" w:eastAsia="zh-CN"/>
        </w:rPr>
        <w:t>4</w:t>
      </w:r>
      <w:r>
        <w:rPr>
          <w:rFonts w:hint="eastAsia" w:ascii="黑体" w:hAnsi="黑体" w:eastAsia="黑体" w:cs="黑体"/>
          <w:color w:val="auto"/>
          <w:sz w:val="24"/>
        </w:rPr>
        <w:t>-2</w:t>
      </w:r>
      <w:r>
        <w:rPr>
          <w:rFonts w:hint="eastAsia" w:ascii="黑体" w:hAnsi="黑体" w:eastAsia="黑体" w:cs="黑体"/>
          <w:color w:val="auto"/>
          <w:sz w:val="24"/>
          <w:lang w:val="en-US" w:eastAsia="zh-CN"/>
        </w:rPr>
        <w:t>3</w:t>
      </w:r>
      <w:r>
        <w:rPr>
          <w:rFonts w:hint="eastAsia" w:ascii="黑体" w:hAnsi="黑体" w:eastAsia="黑体" w:cs="黑体"/>
          <w:color w:val="auto"/>
          <w:sz w:val="24"/>
        </w:rPr>
        <w:t xml:space="preserve">  矿区道路</w:t>
      </w:r>
    </w:p>
    <w:p>
      <w:pPr>
        <w:snapToGrid w:val="0"/>
        <w:spacing w:line="360" w:lineRule="auto"/>
        <w:ind w:firstLine="480" w:firstLineChars="200"/>
        <w:rPr>
          <w:color w:val="auto"/>
          <w:sz w:val="24"/>
        </w:rPr>
      </w:pPr>
      <w:r>
        <w:rPr>
          <w:color w:val="auto"/>
          <w:sz w:val="24"/>
          <w:szCs w:val="20"/>
        </w:rPr>
        <w:t>1</w:t>
      </w:r>
      <w:r>
        <w:rPr>
          <w:rFonts w:hint="eastAsia"/>
          <w:color w:val="auto"/>
          <w:sz w:val="24"/>
          <w:szCs w:val="20"/>
        </w:rPr>
        <w:t>3</w:t>
      </w:r>
      <w:r>
        <w:rPr>
          <w:color w:val="auto"/>
          <w:sz w:val="24"/>
          <w:szCs w:val="20"/>
        </w:rPr>
        <w:t>、</w:t>
      </w:r>
      <w:r>
        <w:rPr>
          <w:color w:val="auto"/>
          <w:sz w:val="24"/>
        </w:rPr>
        <w:t>其它区域</w:t>
      </w:r>
    </w:p>
    <w:p>
      <w:pPr>
        <w:rPr>
          <w:rFonts w:hint="default" w:ascii="Times New Roman" w:hAnsi="Times New Roman" w:eastAsia="宋体" w:cs="Times New Roman"/>
          <w:b/>
          <w:bCs w:val="0"/>
          <w:color w:val="FF0000"/>
          <w:kern w:val="2"/>
          <w:sz w:val="21"/>
          <w:szCs w:val="21"/>
          <w:lang w:val="en-US" w:eastAsia="zh-CN" w:bidi="ar-SA"/>
        </w:rPr>
      </w:pPr>
      <w:r>
        <w:rPr>
          <w:color w:val="auto"/>
          <w:sz w:val="24"/>
        </w:rPr>
        <w:t>评估区内其它区域</w:t>
      </w:r>
      <w:r>
        <w:rPr>
          <w:bCs/>
          <w:color w:val="auto"/>
          <w:sz w:val="24"/>
        </w:rPr>
        <w:t>目前尚未受采矿活动影响</w:t>
      </w:r>
      <w:r>
        <w:rPr>
          <w:color w:val="auto"/>
          <w:sz w:val="24"/>
        </w:rPr>
        <w:t>，基本保持了原生的地形地貌状态，矿业活动对地形地貌影响较轻。</w:t>
      </w:r>
      <w:r>
        <w:rPr>
          <w:rFonts w:hint="default" w:ascii="Times New Roman" w:hAnsi="Times New Roman" w:eastAsia="宋体" w:cs="Times New Roman"/>
          <w:b/>
          <w:bCs w:val="0"/>
          <w:color w:val="FF0000"/>
          <w:kern w:val="2"/>
          <w:sz w:val="21"/>
          <w:szCs w:val="21"/>
          <w:lang w:val="en-US" w:eastAsia="zh-CN" w:bidi="ar-SA"/>
        </w:rPr>
        <w:br w:type="page"/>
      </w:r>
    </w:p>
    <w:p>
      <w:pPr>
        <w:pStyle w:val="18"/>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2"/>
          <w:sz w:val="24"/>
          <w:szCs w:val="24"/>
          <w:lang w:val="en-US" w:eastAsia="zh-CN" w:bidi="ar-SA"/>
        </w:rPr>
        <w:t>表4-3   矿山地质环境问题现状说明表</w:t>
      </w:r>
    </w:p>
    <w:tbl>
      <w:tblPr>
        <w:tblStyle w:val="12"/>
        <w:tblW w:w="8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36"/>
        <w:gridCol w:w="1384"/>
        <w:gridCol w:w="1150"/>
        <w:gridCol w:w="1232"/>
        <w:gridCol w:w="1139"/>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restart"/>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bookmarkStart w:id="16" w:name="_Hlk42844808"/>
            <w:r>
              <w:rPr>
                <w:rFonts w:eastAsia="宋体"/>
                <w:color w:val="auto"/>
                <w:sz w:val="21"/>
                <w:szCs w:val="21"/>
              </w:rPr>
              <w:t>影响程</w:t>
            </w:r>
          </w:p>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度分区</w:t>
            </w:r>
          </w:p>
        </w:tc>
        <w:tc>
          <w:tcPr>
            <w:tcW w:w="1736" w:type="dxa"/>
            <w:vMerge w:val="restart"/>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评估</w:t>
            </w:r>
          </w:p>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单元</w:t>
            </w:r>
          </w:p>
        </w:tc>
        <w:tc>
          <w:tcPr>
            <w:tcW w:w="1384" w:type="dxa"/>
            <w:vMerge w:val="restart"/>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面积</w:t>
            </w:r>
          </w:p>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（m</w:t>
            </w:r>
            <w:r>
              <w:rPr>
                <w:rFonts w:eastAsia="宋体"/>
                <w:color w:val="auto"/>
                <w:sz w:val="21"/>
                <w:szCs w:val="21"/>
                <w:vertAlign w:val="superscript"/>
              </w:rPr>
              <w:t>2</w:t>
            </w:r>
            <w:r>
              <w:rPr>
                <w:rFonts w:eastAsia="宋体"/>
                <w:color w:val="auto"/>
                <w:sz w:val="21"/>
                <w:szCs w:val="21"/>
              </w:rPr>
              <w:t>）</w:t>
            </w:r>
          </w:p>
        </w:tc>
        <w:tc>
          <w:tcPr>
            <w:tcW w:w="4491" w:type="dxa"/>
            <w:gridSpan w:val="4"/>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r>
              <w:rPr>
                <w:color w:val="auto"/>
                <w:kern w:val="0"/>
                <w:sz w:val="21"/>
                <w:szCs w:val="21"/>
              </w:rPr>
              <w:t>现状矿山地质环境问题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p>
        </w:tc>
        <w:tc>
          <w:tcPr>
            <w:tcW w:w="1736"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p>
        </w:tc>
        <w:tc>
          <w:tcPr>
            <w:tcW w:w="1384"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p>
        </w:tc>
        <w:tc>
          <w:tcPr>
            <w:tcW w:w="1150"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地质灾害</w:t>
            </w:r>
          </w:p>
        </w:tc>
        <w:tc>
          <w:tcPr>
            <w:tcW w:w="1232"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含水层影响</w:t>
            </w:r>
          </w:p>
        </w:tc>
        <w:tc>
          <w:tcPr>
            <w:tcW w:w="1139"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地形地貌</w:t>
            </w:r>
          </w:p>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景观影响</w:t>
            </w:r>
          </w:p>
        </w:tc>
        <w:tc>
          <w:tcPr>
            <w:tcW w:w="970"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土地资源影响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855"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b/>
                <w:color w:val="auto"/>
                <w:sz w:val="21"/>
                <w:szCs w:val="21"/>
              </w:rPr>
            </w:pPr>
            <w:r>
              <w:rPr>
                <w:rFonts w:hint="eastAsia"/>
                <w:color w:val="auto"/>
                <w:sz w:val="21"/>
                <w:szCs w:val="21"/>
              </w:rPr>
              <w:t>严重区</w:t>
            </w: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kern w:val="0"/>
                <w:sz w:val="21"/>
                <w:szCs w:val="21"/>
                <w:lang w:bidi="ar"/>
              </w:rPr>
              <w:t>工业场地</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lang w:bidi="ar"/>
              </w:rPr>
              <w:t>17450</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sz w:val="21"/>
                <w:szCs w:val="21"/>
              </w:rPr>
              <w:t>较</w:t>
            </w:r>
            <w:r>
              <w:rPr>
                <w:color w:val="auto"/>
                <w:sz w:val="21"/>
                <w:szCs w:val="21"/>
              </w:rPr>
              <w:t>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sz w:val="21"/>
                <w:szCs w:val="21"/>
              </w:rPr>
              <w:t>重</w:t>
            </w:r>
            <w:r>
              <w:rPr>
                <w:color w:val="auto"/>
                <w:sz w:val="21"/>
                <w:szCs w:val="21"/>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55"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较严重区</w:t>
            </w:r>
          </w:p>
        </w:tc>
        <w:tc>
          <w:tcPr>
            <w:tcW w:w="1736"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color w:val="auto"/>
                <w:kern w:val="0"/>
                <w:sz w:val="21"/>
                <w:szCs w:val="21"/>
                <w:lang w:bidi="ar"/>
              </w:rPr>
              <w:t>露天采场1</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2600</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kern w:val="0"/>
                <w:sz w:val="21"/>
                <w:szCs w:val="21"/>
                <w:lang w:bidi="ar"/>
              </w:rPr>
              <w:t>露天采场2</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lang w:bidi="ar"/>
              </w:rPr>
              <w:t>2389</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sz w:val="21"/>
                <w:szCs w:val="21"/>
              </w:rPr>
              <w:t>矿石堆放场</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bCs/>
                <w:color w:val="auto"/>
                <w:sz w:val="21"/>
                <w:szCs w:val="21"/>
              </w:rPr>
              <w:t>7936</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b/>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sz w:val="21"/>
                <w:szCs w:val="21"/>
              </w:rPr>
              <w:t>办公生活区1</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rPr>
              <w:t>1630</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sz w:val="21"/>
                <w:szCs w:val="21"/>
              </w:rPr>
              <w:t>办公生活区2</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sz w:val="21"/>
                <w:szCs w:val="21"/>
              </w:rPr>
              <w:t>1933</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1736"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lang w:bidi="ar"/>
              </w:rPr>
              <w:t>民采坑</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rPr>
              <w:t>2776</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rFonts w:hint="eastAsia"/>
                <w:color w:val="auto"/>
                <w:sz w:val="21"/>
                <w:szCs w:val="21"/>
              </w:rPr>
              <w:t>钻机平台（PT1-PT9）</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rPr>
              <w:t>674</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color w:val="auto"/>
                <w:sz w:val="21"/>
                <w:szCs w:val="21"/>
              </w:rPr>
            </w:pPr>
            <w:r>
              <w:rPr>
                <w:rFonts w:hint="eastAsia"/>
                <w:color w:val="auto"/>
                <w:sz w:val="21"/>
                <w:szCs w:val="21"/>
              </w:rPr>
              <w:t>零散废渣堆（ZD1-ZD6）</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sz w:val="21"/>
                <w:szCs w:val="21"/>
              </w:rPr>
            </w:pPr>
            <w:r>
              <w:rPr>
                <w:rFonts w:hint="eastAsia"/>
                <w:color w:val="auto"/>
                <w:kern w:val="0"/>
                <w:sz w:val="21"/>
                <w:szCs w:val="21"/>
              </w:rPr>
              <w:t>3790</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较严重</w:t>
            </w:r>
          </w:p>
        </w:tc>
        <w:tc>
          <w:tcPr>
            <w:tcW w:w="97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restart"/>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较轻区</w:t>
            </w:r>
          </w:p>
        </w:tc>
        <w:tc>
          <w:tcPr>
            <w:tcW w:w="1736"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color w:val="auto"/>
                <w:sz w:val="21"/>
                <w:szCs w:val="21"/>
              </w:rPr>
            </w:pPr>
            <w:r>
              <w:rPr>
                <w:rFonts w:hint="eastAsia"/>
                <w:color w:val="auto"/>
                <w:sz w:val="21"/>
                <w:szCs w:val="21"/>
              </w:rPr>
              <w:t>矿区道路</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color w:val="auto"/>
                <w:kern w:val="0"/>
                <w:sz w:val="21"/>
                <w:szCs w:val="21"/>
              </w:rPr>
            </w:pPr>
            <w:r>
              <w:rPr>
                <w:rFonts w:hint="eastAsia"/>
                <w:color w:val="auto"/>
                <w:kern w:val="0"/>
                <w:sz w:val="21"/>
                <w:szCs w:val="21"/>
                <w:lang w:bidi="ar"/>
              </w:rPr>
              <w:t>4092</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较轻</w:t>
            </w:r>
          </w:p>
        </w:tc>
        <w:tc>
          <w:tcPr>
            <w:tcW w:w="1139"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较轻</w:t>
            </w:r>
          </w:p>
        </w:tc>
        <w:tc>
          <w:tcPr>
            <w:tcW w:w="970"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55" w:type="dxa"/>
            <w:vMerge w:val="continue"/>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p>
        </w:tc>
        <w:tc>
          <w:tcPr>
            <w:tcW w:w="1736"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其它区域</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rPr>
              <w:t>9</w:t>
            </w:r>
            <w:r>
              <w:rPr>
                <w:rFonts w:hint="eastAsia"/>
                <w:color w:val="auto"/>
                <w:kern w:val="0"/>
                <w:sz w:val="21"/>
                <w:szCs w:val="21"/>
                <w:lang w:val="en-US" w:eastAsia="zh-CN"/>
              </w:rPr>
              <w:t>0585</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 —</w:t>
            </w:r>
          </w:p>
        </w:tc>
        <w:tc>
          <w:tcPr>
            <w:tcW w:w="1232"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 —</w:t>
            </w:r>
          </w:p>
        </w:tc>
        <w:tc>
          <w:tcPr>
            <w:tcW w:w="1139"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 —</w:t>
            </w:r>
          </w:p>
        </w:tc>
        <w:tc>
          <w:tcPr>
            <w:tcW w:w="970"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91" w:type="dxa"/>
            <w:gridSpan w:val="2"/>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color w:val="auto"/>
                <w:kern w:val="0"/>
                <w:sz w:val="21"/>
                <w:szCs w:val="21"/>
              </w:rPr>
            </w:pPr>
            <w:r>
              <w:rPr>
                <w:color w:val="auto"/>
                <w:kern w:val="0"/>
                <w:sz w:val="21"/>
                <w:szCs w:val="21"/>
              </w:rPr>
              <w:t>评估区</w:t>
            </w:r>
          </w:p>
        </w:tc>
        <w:tc>
          <w:tcPr>
            <w:tcW w:w="1384" w:type="dxa"/>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eastAsia="宋体"/>
                <w:color w:val="auto"/>
                <w:kern w:val="0"/>
                <w:sz w:val="21"/>
                <w:szCs w:val="21"/>
                <w:lang w:val="en-US" w:eastAsia="zh-CN"/>
              </w:rPr>
            </w:pPr>
            <w:r>
              <w:rPr>
                <w:rFonts w:hint="eastAsia"/>
                <w:color w:val="auto"/>
                <w:kern w:val="0"/>
                <w:sz w:val="21"/>
                <w:szCs w:val="21"/>
                <w:lang w:val="en-US" w:eastAsia="zh-CN"/>
              </w:rPr>
              <w:t>135855</w:t>
            </w:r>
          </w:p>
        </w:tc>
        <w:tc>
          <w:tcPr>
            <w:tcW w:w="1150"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 —</w:t>
            </w:r>
          </w:p>
        </w:tc>
        <w:tc>
          <w:tcPr>
            <w:tcW w:w="1232"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color w:val="auto"/>
                <w:sz w:val="21"/>
                <w:szCs w:val="21"/>
              </w:rPr>
            </w:pPr>
            <w:r>
              <w:rPr>
                <w:color w:val="auto"/>
                <w:sz w:val="21"/>
                <w:szCs w:val="21"/>
              </w:rPr>
              <w:t>— —</w:t>
            </w:r>
          </w:p>
        </w:tc>
        <w:tc>
          <w:tcPr>
            <w:tcW w:w="1139"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 —</w:t>
            </w:r>
          </w:p>
        </w:tc>
        <w:tc>
          <w:tcPr>
            <w:tcW w:w="970" w:type="dxa"/>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center"/>
              <w:rPr>
                <w:rFonts w:eastAsia="宋体"/>
                <w:color w:val="auto"/>
                <w:sz w:val="21"/>
                <w:szCs w:val="21"/>
              </w:rPr>
            </w:pPr>
            <w:r>
              <w:rPr>
                <w:rFonts w:eastAsia="宋体"/>
                <w:color w:val="auto"/>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66" w:type="dxa"/>
            <w:gridSpan w:val="7"/>
            <w:noWrap w:val="0"/>
            <w:vAlign w:val="center"/>
          </w:tcPr>
          <w:p>
            <w:pPr>
              <w:pStyle w:val="19"/>
              <w:keepNext w:val="0"/>
              <w:keepLines w:val="0"/>
              <w:pageBreakBefore w:val="0"/>
              <w:kinsoku/>
              <w:wordWrap/>
              <w:overflowPunct/>
              <w:topLinePunct w:val="0"/>
              <w:autoSpaceDE/>
              <w:autoSpaceDN/>
              <w:bidi w:val="0"/>
              <w:spacing w:line="240" w:lineRule="auto"/>
              <w:ind w:firstLine="0" w:firstLineChars="0"/>
              <w:jc w:val="left"/>
              <w:rPr>
                <w:rFonts w:eastAsia="宋体"/>
                <w:b/>
                <w:bCs/>
                <w:color w:val="auto"/>
                <w:sz w:val="21"/>
                <w:szCs w:val="21"/>
              </w:rPr>
            </w:pPr>
            <w:r>
              <w:rPr>
                <w:rFonts w:hint="eastAsia" w:eastAsia="宋体"/>
                <w:b/>
                <w:bCs/>
                <w:color w:val="auto"/>
                <w:sz w:val="21"/>
                <w:szCs w:val="21"/>
              </w:rPr>
              <w:t>注：钻机平台（PT1-PT9）4位于民采坑内，面积未重复计算</w:t>
            </w:r>
          </w:p>
        </w:tc>
      </w:tr>
      <w:bookmarkEnd w:id="16"/>
    </w:tbl>
    <w:p>
      <w:pPr>
        <w:pStyle w:val="18"/>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480" w:firstLineChars="200"/>
        <w:jc w:val="center"/>
        <w:textAlignment w:val="auto"/>
        <w:rPr>
          <w:rFonts w:hint="eastAsia" w:ascii="黑体" w:hAnsi="黑体" w:eastAsia="黑体" w:cs="黑体"/>
          <w:b w:val="0"/>
          <w:bCs/>
          <w:color w:val="auto"/>
          <w:kern w:val="2"/>
          <w:sz w:val="24"/>
          <w:szCs w:val="24"/>
          <w:lang w:val="en-US" w:eastAsia="zh-CN" w:bidi="ar-SA"/>
        </w:rPr>
      </w:pPr>
      <w:r>
        <w:rPr>
          <w:rFonts w:hint="eastAsia" w:ascii="黑体" w:hAnsi="黑体" w:eastAsia="黑体" w:cs="黑体"/>
          <w:b w:val="0"/>
          <w:bCs/>
          <w:color w:val="auto"/>
          <w:kern w:val="2"/>
          <w:sz w:val="24"/>
          <w:szCs w:val="24"/>
          <w:lang w:val="en-US" w:eastAsia="zh-CN" w:bidi="ar-SA"/>
        </w:rPr>
        <w:t>表4-4    矿区已损毁单元土地占地类型统计表</w:t>
      </w:r>
    </w:p>
    <w:tbl>
      <w:tblPr>
        <w:tblStyle w:val="12"/>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0"/>
        <w:gridCol w:w="725"/>
        <w:gridCol w:w="650"/>
        <w:gridCol w:w="1950"/>
        <w:gridCol w:w="675"/>
        <w:gridCol w:w="1237"/>
        <w:gridCol w:w="86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340" w:type="dxa"/>
            <w:vMerge w:val="restart"/>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破坏单元</w:t>
            </w:r>
          </w:p>
        </w:tc>
        <w:tc>
          <w:tcPr>
            <w:tcW w:w="725" w:type="dxa"/>
            <w:vMerge w:val="restart"/>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面积（m</w:t>
            </w:r>
            <w:r>
              <w:rPr>
                <w:color w:val="auto"/>
                <w:kern w:val="0"/>
                <w:sz w:val="21"/>
                <w:szCs w:val="21"/>
                <w:vertAlign w:val="superscript"/>
                <w:lang w:bidi="ar"/>
              </w:rPr>
              <w:t>2</w:t>
            </w:r>
            <w:r>
              <w:rPr>
                <w:color w:val="auto"/>
                <w:kern w:val="0"/>
                <w:sz w:val="21"/>
                <w:szCs w:val="21"/>
                <w:lang w:bidi="ar"/>
              </w:rPr>
              <w:t>）</w:t>
            </w:r>
          </w:p>
        </w:tc>
        <w:tc>
          <w:tcPr>
            <w:tcW w:w="2600" w:type="dxa"/>
            <w:gridSpan w:val="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一级地类</w:t>
            </w:r>
          </w:p>
        </w:tc>
        <w:tc>
          <w:tcPr>
            <w:tcW w:w="1912" w:type="dxa"/>
            <w:gridSpan w:val="2"/>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二级地类</w:t>
            </w:r>
          </w:p>
        </w:tc>
        <w:tc>
          <w:tcPr>
            <w:tcW w:w="863"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面积</w:t>
            </w:r>
          </w:p>
        </w:tc>
        <w:tc>
          <w:tcPr>
            <w:tcW w:w="903" w:type="dxa"/>
            <w:vMerge w:val="restart"/>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土地权属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340"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编号</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名称</w:t>
            </w:r>
          </w:p>
        </w:tc>
        <w:tc>
          <w:tcPr>
            <w:tcW w:w="675"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编号</w:t>
            </w:r>
          </w:p>
        </w:tc>
        <w:tc>
          <w:tcPr>
            <w:tcW w:w="1237"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名称</w:t>
            </w:r>
          </w:p>
        </w:tc>
        <w:tc>
          <w:tcPr>
            <w:tcW w:w="863"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(m</w:t>
            </w:r>
            <w:r>
              <w:rPr>
                <w:color w:val="auto"/>
                <w:kern w:val="0"/>
                <w:sz w:val="21"/>
                <w:szCs w:val="21"/>
                <w:vertAlign w:val="superscript"/>
                <w:lang w:bidi="ar"/>
              </w:rPr>
              <w:t>2</w:t>
            </w:r>
            <w:r>
              <w:rPr>
                <w:color w:val="auto"/>
                <w:kern w:val="0"/>
                <w:sz w:val="21"/>
                <w:szCs w:val="21"/>
                <w:lang w:bidi="ar"/>
              </w:rPr>
              <w:t>)</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露天采场1</w:t>
            </w:r>
          </w:p>
        </w:tc>
        <w:tc>
          <w:tcPr>
            <w:tcW w:w="72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2600</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01</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2600</w:t>
            </w:r>
          </w:p>
        </w:tc>
        <w:tc>
          <w:tcPr>
            <w:tcW w:w="903" w:type="dxa"/>
            <w:vMerge w:val="restart"/>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宁城县小城子镇南湾子村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color w:val="auto"/>
                <w:kern w:val="0"/>
                <w:sz w:val="21"/>
                <w:szCs w:val="21"/>
                <w:lang w:bidi="ar"/>
              </w:rPr>
              <w:t>露天采场2</w:t>
            </w:r>
          </w:p>
        </w:tc>
        <w:tc>
          <w:tcPr>
            <w:tcW w:w="72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2389</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2389</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kern w:val="0"/>
                <w:sz w:val="21"/>
                <w:szCs w:val="21"/>
                <w:lang w:bidi="ar"/>
              </w:rPr>
              <w:t>工业场地</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17450</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4294</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kern w:val="0"/>
                <w:sz w:val="21"/>
                <w:szCs w:val="21"/>
                <w:lang w:bidi="ar"/>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lang w:bidi="ar"/>
              </w:rPr>
            </w:pPr>
          </w:p>
        </w:tc>
        <w:tc>
          <w:tcPr>
            <w:tcW w:w="65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color w:val="auto"/>
                <w:sz w:val="21"/>
                <w:szCs w:val="21"/>
              </w:rPr>
              <w:t>11</w:t>
            </w:r>
          </w:p>
        </w:tc>
        <w:tc>
          <w:tcPr>
            <w:tcW w:w="1950" w:type="dxa"/>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color w:val="auto"/>
                <w:sz w:val="21"/>
                <w:szCs w:val="21"/>
              </w:rPr>
              <w:t>水域及水利设施用地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color w:val="auto"/>
                <w:kern w:val="0"/>
                <w:sz w:val="21"/>
                <w:szCs w:val="21"/>
              </w:rPr>
              <w:t>116</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olor w:val="auto"/>
                <w:kern w:val="0"/>
                <w:sz w:val="21"/>
                <w:szCs w:val="21"/>
                <w:lang w:bidi="ar"/>
              </w:rPr>
            </w:pPr>
            <w:r>
              <w:rPr>
                <w:rFonts w:hint="eastAsia"/>
                <w:color w:val="auto"/>
                <w:kern w:val="0"/>
                <w:sz w:val="21"/>
                <w:szCs w:val="21"/>
              </w:rPr>
              <w:t>内陆滩涂</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2458</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kern w:val="0"/>
                <w:sz w:val="21"/>
                <w:szCs w:val="21"/>
                <w:lang w:bidi="ar"/>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lang w:bidi="ar"/>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01</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10698</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矿石堆放场</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bCs/>
                <w:color w:val="auto"/>
                <w:sz w:val="21"/>
                <w:szCs w:val="21"/>
              </w:rPr>
              <w:t>7936</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01</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sz w:val="21"/>
                <w:szCs w:val="21"/>
              </w:rPr>
              <w:t>7827</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03</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林地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03</w:t>
            </w:r>
            <w:r>
              <w:rPr>
                <w:rFonts w:hint="eastAsia"/>
                <w:color w:val="auto"/>
                <w:kern w:val="0"/>
                <w:sz w:val="21"/>
                <w:szCs w:val="21"/>
                <w:lang w:bidi="ar"/>
              </w:rPr>
              <w:t>1</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有林地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109</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办公生活区1</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rPr>
              <w:t>1630</w:t>
            </w:r>
          </w:p>
        </w:tc>
        <w:tc>
          <w:tcPr>
            <w:tcW w:w="65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color w:val="auto"/>
                <w:sz w:val="21"/>
                <w:szCs w:val="21"/>
              </w:rPr>
              <w:t>11</w:t>
            </w:r>
          </w:p>
        </w:tc>
        <w:tc>
          <w:tcPr>
            <w:tcW w:w="1950" w:type="dxa"/>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color w:val="auto"/>
                <w:sz w:val="21"/>
                <w:szCs w:val="21"/>
              </w:rPr>
              <w:t>水域及水利设施用地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kern w:val="0"/>
                <w:sz w:val="21"/>
                <w:szCs w:val="21"/>
              </w:rPr>
              <w:t>116</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kern w:val="0"/>
                <w:sz w:val="21"/>
                <w:szCs w:val="21"/>
              </w:rPr>
              <w:t>内陆滩涂</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347</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1283</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办公生活区2</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sz w:val="21"/>
                <w:szCs w:val="21"/>
              </w:rPr>
              <w:t>1933</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838</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w:t>
            </w:r>
          </w:p>
        </w:tc>
        <w:tc>
          <w:tcPr>
            <w:tcW w:w="1950" w:type="dxa"/>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1095</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民采坑</w:t>
            </w:r>
          </w:p>
        </w:tc>
        <w:tc>
          <w:tcPr>
            <w:tcW w:w="72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rPr>
              <w:t>2776</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2776</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r>
              <w:rPr>
                <w:rFonts w:hint="eastAsia"/>
                <w:color w:val="auto"/>
                <w:sz w:val="21"/>
                <w:szCs w:val="21"/>
              </w:rPr>
              <w:t>钻机平台（PT1-PT9）</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rPr>
              <w:t>674</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03</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林地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03</w:t>
            </w:r>
            <w:r>
              <w:rPr>
                <w:rFonts w:hint="eastAsia"/>
                <w:color w:val="auto"/>
                <w:kern w:val="0"/>
                <w:sz w:val="21"/>
                <w:szCs w:val="21"/>
                <w:lang w:bidi="ar"/>
              </w:rPr>
              <w:t>1</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有林地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color w:val="auto"/>
                <w:sz w:val="21"/>
                <w:szCs w:val="21"/>
              </w:rPr>
            </w:pPr>
            <w:r>
              <w:rPr>
                <w:rFonts w:hint="eastAsia"/>
                <w:color w:val="auto"/>
                <w:kern w:val="0"/>
                <w:sz w:val="21"/>
                <w:szCs w:val="21"/>
                <w:lang w:bidi="ar"/>
              </w:rPr>
              <w:t>101</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lang w:bidi="ar"/>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color w:val="auto"/>
                <w:kern w:val="0"/>
                <w:sz w:val="21"/>
                <w:szCs w:val="21"/>
                <w:lang w:bidi="ar"/>
              </w:rPr>
            </w:pPr>
            <w:r>
              <w:rPr>
                <w:rFonts w:hint="eastAsia"/>
                <w:color w:val="auto"/>
                <w:kern w:val="0"/>
                <w:sz w:val="21"/>
                <w:szCs w:val="21"/>
                <w:lang w:bidi="ar"/>
              </w:rPr>
              <w:t>313</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color w:val="auto"/>
                <w:kern w:val="0"/>
                <w:sz w:val="21"/>
                <w:szCs w:val="21"/>
                <w:lang w:bidi="ar"/>
              </w:rPr>
            </w:pPr>
            <w:r>
              <w:rPr>
                <w:rFonts w:hint="eastAsia"/>
                <w:color w:val="auto"/>
                <w:kern w:val="0"/>
                <w:sz w:val="21"/>
                <w:szCs w:val="21"/>
                <w:lang w:bidi="ar"/>
              </w:rPr>
              <w:t>260</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color w:val="auto"/>
                <w:sz w:val="21"/>
                <w:szCs w:val="21"/>
              </w:rPr>
              <w:t>零散废渣堆（ZD1-ZD6）</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sz w:val="21"/>
                <w:szCs w:val="21"/>
              </w:rPr>
              <w:t>3790</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289</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04</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2754</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color w:val="auto"/>
                <w:kern w:val="0"/>
                <w:sz w:val="21"/>
                <w:szCs w:val="21"/>
                <w:lang w:bidi="ar"/>
              </w:rPr>
              <w:t>03</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color w:val="auto"/>
                <w:kern w:val="0"/>
                <w:sz w:val="21"/>
                <w:szCs w:val="21"/>
                <w:lang w:bidi="ar"/>
              </w:rPr>
              <w:t>林地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color w:val="auto"/>
                <w:kern w:val="0"/>
                <w:sz w:val="21"/>
                <w:szCs w:val="21"/>
                <w:lang w:bidi="ar"/>
              </w:rPr>
              <w:t>03</w:t>
            </w:r>
            <w:r>
              <w:rPr>
                <w:rFonts w:hint="eastAsia"/>
                <w:color w:val="auto"/>
                <w:kern w:val="0"/>
                <w:sz w:val="21"/>
                <w:szCs w:val="21"/>
                <w:lang w:bidi="ar"/>
              </w:rPr>
              <w:t>1</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sz w:val="21"/>
                <w:szCs w:val="21"/>
              </w:rPr>
            </w:pPr>
            <w:r>
              <w:rPr>
                <w:rFonts w:hint="eastAsia"/>
                <w:color w:val="auto"/>
                <w:kern w:val="0"/>
                <w:sz w:val="21"/>
                <w:szCs w:val="21"/>
                <w:lang w:bidi="ar"/>
              </w:rPr>
              <w:t>有林地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494</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p>
        </w:tc>
        <w:tc>
          <w:tcPr>
            <w:tcW w:w="65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r>
              <w:rPr>
                <w:color w:val="auto"/>
                <w:sz w:val="21"/>
                <w:szCs w:val="21"/>
              </w:rPr>
              <w:t>11</w:t>
            </w:r>
          </w:p>
        </w:tc>
        <w:tc>
          <w:tcPr>
            <w:tcW w:w="195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r>
              <w:rPr>
                <w:color w:val="auto"/>
                <w:sz w:val="21"/>
                <w:szCs w:val="21"/>
              </w:rPr>
              <w:t>水域及水利设施用地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r>
              <w:rPr>
                <w:rFonts w:hint="eastAsia"/>
                <w:color w:val="auto"/>
                <w:kern w:val="0"/>
                <w:sz w:val="21"/>
                <w:szCs w:val="21"/>
              </w:rPr>
              <w:t>116</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r>
              <w:rPr>
                <w:rFonts w:hint="eastAsia"/>
                <w:color w:val="auto"/>
                <w:kern w:val="0"/>
                <w:sz w:val="21"/>
                <w:szCs w:val="21"/>
              </w:rPr>
              <w:t>内陆滩涂</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253</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7" w:hRule="atLeast"/>
          <w:jc w:val="center"/>
        </w:trPr>
        <w:tc>
          <w:tcPr>
            <w:tcW w:w="1340"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kern w:val="0"/>
                <w:sz w:val="21"/>
                <w:szCs w:val="21"/>
                <w:lang w:bidi="ar"/>
              </w:rPr>
            </w:pPr>
            <w:r>
              <w:rPr>
                <w:rFonts w:hint="eastAsia"/>
                <w:color w:val="auto"/>
                <w:sz w:val="21"/>
                <w:szCs w:val="21"/>
              </w:rPr>
              <w:t>矿区道路</w:t>
            </w:r>
          </w:p>
        </w:tc>
        <w:tc>
          <w:tcPr>
            <w:tcW w:w="725" w:type="dxa"/>
            <w:vMerge w:val="restar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4092</w:t>
            </w: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03</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林地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color w:val="auto"/>
                <w:kern w:val="0"/>
                <w:sz w:val="21"/>
                <w:szCs w:val="21"/>
                <w:lang w:bidi="ar"/>
              </w:rPr>
              <w:t>03</w:t>
            </w:r>
            <w:r>
              <w:rPr>
                <w:rFonts w:hint="eastAsia"/>
                <w:color w:val="auto"/>
                <w:kern w:val="0"/>
                <w:sz w:val="21"/>
                <w:szCs w:val="21"/>
                <w:lang w:bidi="ar"/>
              </w:rPr>
              <w:t>1</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有林地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color w:val="auto"/>
                <w:kern w:val="0"/>
                <w:sz w:val="21"/>
                <w:szCs w:val="21"/>
                <w:lang w:bidi="ar"/>
              </w:rPr>
            </w:pPr>
            <w:r>
              <w:rPr>
                <w:rFonts w:hint="eastAsia"/>
                <w:color w:val="auto"/>
                <w:kern w:val="0"/>
                <w:sz w:val="21"/>
                <w:szCs w:val="21"/>
                <w:lang w:bidi="ar"/>
              </w:rPr>
              <w:t>496</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lang w:bidi="ar"/>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耕地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013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eastAsia"/>
                <w:color w:val="auto"/>
                <w:kern w:val="0"/>
                <w:sz w:val="21"/>
                <w:szCs w:val="21"/>
                <w:lang w:bidi="ar"/>
              </w:rPr>
            </w:pPr>
            <w:r>
              <w:rPr>
                <w:rFonts w:hint="eastAsia"/>
                <w:color w:val="auto"/>
                <w:kern w:val="0"/>
                <w:sz w:val="21"/>
                <w:szCs w:val="21"/>
                <w:lang w:bidi="ar"/>
              </w:rPr>
              <w:t>旱地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color w:val="auto"/>
                <w:kern w:val="0"/>
                <w:sz w:val="21"/>
                <w:szCs w:val="21"/>
                <w:lang w:bidi="ar"/>
              </w:rPr>
            </w:pPr>
            <w:r>
              <w:rPr>
                <w:rFonts w:hint="eastAsia"/>
                <w:color w:val="auto"/>
                <w:kern w:val="0"/>
                <w:sz w:val="21"/>
                <w:szCs w:val="21"/>
                <w:lang w:bidi="ar"/>
              </w:rPr>
              <w:t>1120</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725" w:type="dxa"/>
            <w:vMerge w:val="continue"/>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p>
        </w:tc>
        <w:tc>
          <w:tcPr>
            <w:tcW w:w="6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04</w:t>
            </w:r>
          </w:p>
        </w:tc>
        <w:tc>
          <w:tcPr>
            <w:tcW w:w="195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草地</w:t>
            </w:r>
          </w:p>
        </w:tc>
        <w:tc>
          <w:tcPr>
            <w:tcW w:w="67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043</w:t>
            </w:r>
          </w:p>
        </w:tc>
        <w:tc>
          <w:tcPr>
            <w:tcW w:w="1237"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其他草地</w:t>
            </w: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color w:val="auto"/>
                <w:kern w:val="0"/>
                <w:sz w:val="21"/>
                <w:szCs w:val="21"/>
                <w:lang w:bidi="ar"/>
              </w:rPr>
            </w:pPr>
            <w:r>
              <w:rPr>
                <w:rFonts w:hint="eastAsia"/>
                <w:color w:val="auto"/>
                <w:kern w:val="0"/>
                <w:sz w:val="21"/>
                <w:szCs w:val="21"/>
                <w:lang w:bidi="ar"/>
              </w:rPr>
              <w:t>2476</w:t>
            </w:r>
          </w:p>
        </w:tc>
        <w:tc>
          <w:tcPr>
            <w:tcW w:w="903" w:type="dxa"/>
            <w:vMerge w:val="continue"/>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40"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合计</w:t>
            </w:r>
          </w:p>
        </w:tc>
        <w:tc>
          <w:tcPr>
            <w:tcW w:w="725"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45270</w:t>
            </w:r>
          </w:p>
        </w:tc>
        <w:tc>
          <w:tcPr>
            <w:tcW w:w="65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950"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75"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237"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63" w:type="dxa"/>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46520</w:t>
            </w:r>
          </w:p>
        </w:tc>
        <w:tc>
          <w:tcPr>
            <w:tcW w:w="903"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440" w:type="dxa"/>
            <w:gridSpan w:val="7"/>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注：钻机平台（PT1-PT9）4位于民采坑内，面积未重复计算</w:t>
            </w:r>
          </w:p>
        </w:tc>
        <w:tc>
          <w:tcPr>
            <w:tcW w:w="90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bl>
    <w:p>
      <w:pPr>
        <w:ind w:left="0" w:leftChars="0" w:firstLine="0" w:firstLineChars="0"/>
        <w:rPr>
          <w:rFonts w:hint="default" w:ascii="Times New Roman" w:hAnsi="Times New Roman" w:eastAsia="宋体" w:cs="Times New Roman"/>
          <w:color w:val="FF0000"/>
          <w:szCs w:val="24"/>
          <w:lang w:val="en-US" w:eastAsia="zh-CN"/>
        </w:rPr>
      </w:pPr>
      <w:r>
        <w:rPr>
          <w:rFonts w:hint="default" w:ascii="Times New Roman" w:hAnsi="Times New Roman" w:eastAsia="宋体" w:cs="Times New Roman"/>
          <w:b/>
          <w:bCs w:val="0"/>
          <w:color w:val="FF0000"/>
          <w:kern w:val="2"/>
          <w:sz w:val="21"/>
          <w:szCs w:val="21"/>
          <w:lang w:val="en-US" w:eastAsia="zh-CN" w:bidi="ar-SA"/>
        </w:rPr>
        <w:br w:type="page"/>
      </w:r>
    </w:p>
    <w:p>
      <w:pPr>
        <w:pStyle w:val="3"/>
        <w:spacing w:before="120" w:after="120" w:line="360" w:lineRule="auto"/>
        <w:jc w:val="left"/>
        <w:rPr>
          <w:rFonts w:hint="default" w:ascii="Times New Roman" w:hAnsi="Times New Roman" w:eastAsia="宋体" w:cs="Times New Roman"/>
          <w:color w:val="auto"/>
          <w:szCs w:val="24"/>
          <w:lang w:eastAsia="zh-CN"/>
        </w:rPr>
      </w:pPr>
      <w:bookmarkStart w:id="17" w:name="_Toc27537"/>
      <w:r>
        <w:rPr>
          <w:rFonts w:hint="default" w:ascii="Times New Roman" w:hAnsi="Times New Roman" w:eastAsia="宋体" w:cs="Times New Roman"/>
          <w:color w:val="auto"/>
          <w:sz w:val="30"/>
        </w:rPr>
        <w:t>（</w:t>
      </w:r>
      <w:r>
        <w:rPr>
          <w:rFonts w:hint="default" w:ascii="Times New Roman" w:hAnsi="Times New Roman" w:eastAsia="宋体" w:cs="Times New Roman"/>
          <w:color w:val="auto"/>
          <w:sz w:val="30"/>
          <w:lang w:eastAsia="zh-CN"/>
        </w:rPr>
        <w:t>二</w:t>
      </w:r>
      <w:r>
        <w:rPr>
          <w:rFonts w:hint="default" w:ascii="Times New Roman" w:hAnsi="Times New Roman" w:eastAsia="宋体" w:cs="Times New Roman"/>
          <w:color w:val="auto"/>
          <w:sz w:val="30"/>
        </w:rPr>
        <w:t>）</w:t>
      </w:r>
      <w:r>
        <w:rPr>
          <w:rFonts w:hint="default" w:ascii="Times New Roman" w:hAnsi="Times New Roman" w:eastAsia="宋体" w:cs="Times New Roman"/>
          <w:b/>
          <w:bCs/>
          <w:color w:val="auto"/>
          <w:kern w:val="2"/>
          <w:sz w:val="30"/>
          <w:szCs w:val="30"/>
          <w:lang w:val="en-US" w:eastAsia="zh-CN" w:bidi="ar-SA"/>
        </w:rPr>
        <w:t>矿山地质环境问题预测</w:t>
      </w:r>
      <w:bookmarkEnd w:id="17"/>
    </w:p>
    <w:p>
      <w:pPr>
        <w:ind w:firstLine="480"/>
        <w:rPr>
          <w:rFonts w:hint="default" w:ascii="Times New Roman" w:hAnsi="Times New Roman" w:eastAsia="宋体" w:cs="Times New Roman"/>
          <w:color w:val="auto"/>
          <w:szCs w:val="24"/>
          <w:lang w:eastAsia="zh-CN"/>
        </w:rPr>
      </w:pPr>
      <w:r>
        <w:rPr>
          <w:rFonts w:hint="default" w:ascii="Times New Roman" w:hAnsi="Times New Roman" w:eastAsia="宋体" w:cs="Times New Roman"/>
          <w:bCs/>
          <w:snapToGrid w:val="0"/>
          <w:color w:val="000000" w:themeColor="text1"/>
          <w:sz w:val="24"/>
          <w:szCs w:val="24"/>
          <w:lang w:eastAsia="zh-CN"/>
          <w14:textFill>
            <w14:solidFill>
              <w14:schemeClr w14:val="tx1"/>
            </w14:solidFill>
          </w14:textFill>
        </w:rPr>
        <w:t>根据矿山总体生产规划，矿山</w:t>
      </w:r>
      <w:r>
        <w:rPr>
          <w:rFonts w:hint="default" w:ascii="Times New Roman" w:hAnsi="Times New Roman" w:eastAsia="宋体" w:cs="Times New Roman"/>
          <w:bCs/>
          <w:snapToGrid w:val="0"/>
          <w:color w:val="000000" w:themeColor="text1"/>
          <w:sz w:val="24"/>
          <w:szCs w:val="24"/>
          <w14:textFill>
            <w14:solidFill>
              <w14:schemeClr w14:val="tx1"/>
            </w14:solidFill>
          </w14:textFill>
        </w:rPr>
        <w:t>202</w:t>
      </w:r>
      <w:r>
        <w:rPr>
          <w:rFonts w:hint="eastAsia" w:cs="Times New Roman"/>
          <w:bCs/>
          <w:snapToGrid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snapToGrid w:val="0"/>
          <w:color w:val="000000" w:themeColor="text1"/>
          <w:sz w:val="24"/>
          <w:szCs w:val="24"/>
          <w:lang w:eastAsia="zh-CN"/>
          <w14:textFill>
            <w14:solidFill>
              <w14:schemeClr w14:val="tx1"/>
            </w14:solidFill>
          </w14:textFill>
        </w:rPr>
        <w:t>年度未进行生产计划，</w:t>
      </w:r>
      <w:r>
        <w:rPr>
          <w:rFonts w:hint="default" w:ascii="Times New Roman" w:hAnsi="Times New Roman" w:eastAsia="宋体" w:cs="Times New Roman"/>
          <w:color w:val="000000" w:themeColor="text1"/>
          <w:sz w:val="24"/>
          <w:szCs w:val="28"/>
          <w:lang w:eastAsia="zh-CN"/>
          <w14:textFill>
            <w14:solidFill>
              <w14:schemeClr w14:val="tx1"/>
            </w14:solidFill>
          </w14:textFill>
        </w:rPr>
        <w:t>本年度无新增工程单元</w:t>
      </w:r>
      <w:r>
        <w:rPr>
          <w:rFonts w:hint="default" w:ascii="Times New Roman" w:hAnsi="Times New Roman" w:eastAsia="宋体" w:cs="Times New Roman"/>
          <w:color w:val="000000" w:themeColor="text1"/>
          <w:sz w:val="24"/>
          <w:szCs w:val="28"/>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预测矿山地质环境问题与现状基本一致。</w:t>
      </w:r>
    </w:p>
    <w:p>
      <w:pPr>
        <w:rPr>
          <w:rFonts w:hint="default" w:ascii="Times New Roman" w:hAnsi="Times New Roman" w:eastAsia="宋体" w:cs="Times New Roman"/>
          <w:b/>
          <w:bCs w:val="0"/>
          <w:color w:val="FF0000"/>
          <w:kern w:val="2"/>
          <w:sz w:val="21"/>
          <w:szCs w:val="21"/>
          <w:lang w:val="en-US" w:eastAsia="zh-CN" w:bidi="ar-SA"/>
        </w:rPr>
      </w:pPr>
      <w:r>
        <w:rPr>
          <w:rFonts w:hint="default" w:ascii="Times New Roman" w:hAnsi="Times New Roman" w:eastAsia="宋体" w:cs="Times New Roman"/>
          <w:b/>
          <w:bCs w:val="0"/>
          <w:color w:val="FF0000"/>
          <w:kern w:val="2"/>
          <w:sz w:val="21"/>
          <w:szCs w:val="21"/>
          <w:lang w:val="en-US" w:eastAsia="zh-CN" w:bidi="ar-SA"/>
        </w:rPr>
        <w:br w:type="page"/>
      </w:r>
    </w:p>
    <w:bookmarkEnd w:id="11"/>
    <w:p>
      <w:pPr>
        <w:pStyle w:val="2"/>
        <w:spacing w:before="120" w:after="120" w:line="360" w:lineRule="auto"/>
        <w:rPr>
          <w:rFonts w:hint="default" w:ascii="Times New Roman" w:hAnsi="Times New Roman" w:eastAsia="宋体" w:cs="Times New Roman"/>
          <w:b/>
          <w:bCs w:val="0"/>
          <w:color w:val="auto"/>
        </w:rPr>
      </w:pPr>
      <w:bookmarkStart w:id="18" w:name="_Toc23140"/>
      <w:r>
        <w:rPr>
          <w:rFonts w:hint="default" w:ascii="Times New Roman" w:hAnsi="Times New Roman" w:eastAsia="宋体" w:cs="Times New Roman"/>
          <w:b/>
          <w:bCs w:val="0"/>
          <w:color w:val="auto"/>
          <w:sz w:val="36"/>
          <w:szCs w:val="36"/>
        </w:rPr>
        <w:t>五、矿山地质环境防治工程</w:t>
      </w:r>
      <w:bookmarkEnd w:id="18"/>
      <w:bookmarkStart w:id="19" w:name="_Toc362269332"/>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eastAsia="宋体" w:cs="Times New Roman"/>
          <w:color w:val="auto"/>
          <w:sz w:val="30"/>
        </w:rPr>
      </w:pPr>
      <w:bookmarkStart w:id="20" w:name="_Toc2180"/>
      <w:r>
        <w:rPr>
          <w:rFonts w:hint="default" w:ascii="Times New Roman" w:hAnsi="Times New Roman" w:eastAsia="宋体" w:cs="Times New Roman"/>
          <w:color w:val="auto"/>
          <w:sz w:val="30"/>
        </w:rPr>
        <w:t>（一）矿山地质环境治理区的确定</w:t>
      </w:r>
      <w:bookmarkEnd w:id="20"/>
    </w:p>
    <w:p>
      <w:pPr>
        <w:spacing w:line="360" w:lineRule="auto"/>
        <w:ind w:firstLine="480" w:firstLineChars="200"/>
        <w:jc w:val="left"/>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21" w:name="_Toc487612888"/>
      <w:bookmarkStart w:id="22" w:name="_Toc487613054"/>
      <w:bookmarkStart w:id="23" w:name="_Toc487613509"/>
      <w:r>
        <w:rPr>
          <w:rFonts w:hint="default" w:ascii="Times New Roman" w:hAnsi="Times New Roman" w:eastAsia="宋体" w:cs="Times New Roman"/>
          <w:color w:val="000000" w:themeColor="text1"/>
          <w:sz w:val="24"/>
          <w:szCs w:val="24"/>
          <w:lang w:eastAsia="zh-CN"/>
          <w14:textFill>
            <w14:solidFill>
              <w14:schemeClr w14:val="tx1"/>
            </w14:solidFill>
          </w14:textFill>
        </w:rPr>
        <w:t>（1）根据矿山地质环境影响现状和预测结果，进行治理区的确定。</w:t>
      </w:r>
    </w:p>
    <w:p>
      <w:pPr>
        <w:spacing w:line="360" w:lineRule="auto"/>
        <w:ind w:firstLine="480" w:firstLineChars="200"/>
        <w:jc w:val="left"/>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（2）治理区的确定要与矿业生产相协调，应治、可治场地必须治理。</w:t>
      </w:r>
    </w:p>
    <w:p>
      <w:pPr>
        <w:spacing w:line="360" w:lineRule="auto"/>
        <w:ind w:firstLine="480" w:firstLineChars="200"/>
        <w:jc w:val="left"/>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（3）</w:t>
      </w:r>
      <w:r>
        <w:rPr>
          <w:rFonts w:hint="default" w:ascii="Times New Roman" w:hAnsi="Times New Roman" w:eastAsia="宋体" w:cs="Times New Roman"/>
          <w:color w:val="auto"/>
          <w:sz w:val="24"/>
          <w:szCs w:val="24"/>
          <w:lang w:eastAsia="zh-CN"/>
        </w:rPr>
        <w:t>结合</w:t>
      </w:r>
      <w:r>
        <w:rPr>
          <w:rFonts w:hint="eastAsia" w:eastAsia="宋体" w:cs="Times New Roman"/>
          <w:color w:val="auto"/>
          <w:sz w:val="24"/>
          <w:szCs w:val="24"/>
          <w:lang w:eastAsia="zh-CN"/>
        </w:rPr>
        <w:t>综合</w:t>
      </w:r>
      <w:r>
        <w:rPr>
          <w:rFonts w:hint="default" w:ascii="Times New Roman" w:hAnsi="Times New Roman" w:eastAsia="宋体" w:cs="Times New Roman"/>
          <w:color w:val="auto"/>
          <w:sz w:val="24"/>
          <w:szCs w:val="24"/>
          <w:lang w:eastAsia="zh-CN"/>
        </w:rPr>
        <w:t>治理方案，对于</w:t>
      </w:r>
      <w:r>
        <w:rPr>
          <w:rFonts w:hint="eastAsia" w:eastAsia="宋体" w:cs="Times New Roman"/>
          <w:color w:val="auto"/>
          <w:sz w:val="24"/>
          <w:szCs w:val="24"/>
          <w:lang w:eastAsia="zh-CN"/>
        </w:rPr>
        <w:t>综合</w:t>
      </w:r>
      <w:r>
        <w:rPr>
          <w:rFonts w:hint="default" w:ascii="Times New Roman" w:hAnsi="Times New Roman" w:eastAsia="宋体" w:cs="Times New Roman"/>
          <w:color w:val="auto"/>
          <w:sz w:val="24"/>
          <w:szCs w:val="24"/>
          <w:lang w:eastAsia="zh-CN"/>
        </w:rPr>
        <w:t>治理方案</w:t>
      </w:r>
      <w:r>
        <w:rPr>
          <w:rFonts w:hint="eastAsia" w:eastAsia="宋体" w:cs="Times New Roman"/>
          <w:color w:val="auto"/>
          <w:sz w:val="24"/>
          <w:szCs w:val="24"/>
          <w:lang w:eastAsia="zh-CN"/>
        </w:rPr>
        <w:t>近期设计治理内容，逐年依次</w:t>
      </w:r>
      <w:r>
        <w:rPr>
          <w:rFonts w:hint="default" w:ascii="Times New Roman" w:hAnsi="Times New Roman" w:eastAsia="宋体" w:cs="Times New Roman"/>
          <w:color w:val="auto"/>
          <w:sz w:val="24"/>
          <w:szCs w:val="24"/>
          <w:lang w:eastAsia="zh-CN"/>
        </w:rPr>
        <w:t>列入年度</w:t>
      </w:r>
      <w:r>
        <w:rPr>
          <w:rFonts w:hint="eastAsia" w:eastAsia="宋体" w:cs="Times New Roman"/>
          <w:color w:val="auto"/>
          <w:sz w:val="24"/>
          <w:szCs w:val="24"/>
          <w:lang w:eastAsia="zh-CN"/>
        </w:rPr>
        <w:t>治理计划设计进行</w:t>
      </w:r>
      <w:r>
        <w:rPr>
          <w:rFonts w:hint="default" w:ascii="Times New Roman" w:hAnsi="Times New Roman" w:eastAsia="宋体" w:cs="Times New Roman"/>
          <w:color w:val="auto"/>
          <w:sz w:val="24"/>
          <w:szCs w:val="24"/>
          <w:lang w:eastAsia="zh-CN"/>
        </w:rPr>
        <w:t>治理。</w:t>
      </w:r>
    </w:p>
    <w:p>
      <w:pPr>
        <w:spacing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根据矿山实地调查，并与采矿权人沟通，该矿山</w:t>
      </w:r>
      <w:r>
        <w:rPr>
          <w:rFonts w:hint="eastAsia" w:eastAsia="宋体" w:cs="Times New Roman"/>
          <w:b w:val="0"/>
          <w:bCs w:val="0"/>
          <w:color w:val="000000" w:themeColor="text1"/>
          <w:sz w:val="24"/>
          <w:szCs w:val="24"/>
          <w:lang w:eastAsia="zh-CN"/>
          <w14:textFill>
            <w14:solidFill>
              <w14:schemeClr w14:val="tx1"/>
            </w14:solidFill>
          </w14:textFill>
        </w:rPr>
        <w:t>目前</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处于</w:t>
      </w:r>
      <w:r>
        <w:rPr>
          <w:rFonts w:hint="eastAsia" w:cs="Times New Roman"/>
          <w:b w:val="0"/>
          <w:bCs w:val="0"/>
          <w:color w:val="000000" w:themeColor="text1"/>
          <w:sz w:val="24"/>
          <w:szCs w:val="24"/>
          <w:lang w:eastAsia="zh-CN"/>
          <w14:textFill>
            <w14:solidFill>
              <w14:schemeClr w14:val="tx1"/>
            </w14:solidFill>
          </w14:textFill>
        </w:rPr>
        <w:t>停</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产状态</w:t>
      </w:r>
      <w:r>
        <w:rPr>
          <w:rFonts w:hint="eastAsia" w:eastAsia="宋体" w:cs="Times New Roman"/>
          <w:b w:val="0"/>
          <w:bCs w:val="0"/>
          <w:color w:val="000000" w:themeColor="text1"/>
          <w:sz w:val="24"/>
          <w:szCs w:val="24"/>
          <w:lang w:eastAsia="zh-CN"/>
          <w14:textFill>
            <w14:solidFill>
              <w14:schemeClr w14:val="tx1"/>
            </w14:solidFill>
          </w14:textFill>
        </w:rPr>
        <w:t>。本年度治理工程重点是</w:t>
      </w:r>
      <w:r>
        <w:rPr>
          <w:rFonts w:hint="eastAsia" w:cs="Times New Roman"/>
          <w:b w:val="0"/>
          <w:bCs w:val="0"/>
          <w:color w:val="000000" w:themeColor="text1"/>
          <w:sz w:val="24"/>
          <w:szCs w:val="24"/>
          <w:lang w:eastAsia="zh-CN"/>
          <w14:textFill>
            <w14:solidFill>
              <w14:schemeClr w14:val="tx1"/>
            </w14:solidFill>
          </w14:textFill>
        </w:rPr>
        <w:t>对不再利用场地进行治理</w:t>
      </w:r>
      <w:r>
        <w:rPr>
          <w:rFonts w:hint="eastAsia" w:eastAsia="宋体" w:cs="Times New Roman"/>
          <w:b w:val="0"/>
          <w:bCs w:val="0"/>
          <w:color w:val="000000" w:themeColor="text1"/>
          <w:sz w:val="24"/>
          <w:szCs w:val="24"/>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根据以上治理分区原则及方法，</w:t>
      </w:r>
      <w:r>
        <w:rPr>
          <w:rFonts w:hint="eastAsia" w:cs="Times New Roman"/>
          <w:color w:val="000000" w:themeColor="text1"/>
          <w:sz w:val="24"/>
          <w:szCs w:val="24"/>
          <w:lang w:val="en-US" w:eastAsia="zh-CN"/>
          <w14:textFill>
            <w14:solidFill>
              <w14:schemeClr w14:val="tx1"/>
            </w14:solidFill>
          </w14:textFill>
        </w:rPr>
        <w:t>根据综合治理方案，</w:t>
      </w:r>
      <w:r>
        <w:rPr>
          <w:rFonts w:hint="default" w:ascii="Times New Roman" w:hAnsi="Times New Roman" w:eastAsia="宋体" w:cs="Times New Roman"/>
          <w:color w:val="000000" w:themeColor="text1"/>
          <w:sz w:val="24"/>
          <w:szCs w:val="24"/>
          <w14:textFill>
            <w14:solidFill>
              <w14:schemeClr w14:val="tx1"/>
            </w14:solidFill>
          </w14:textFill>
        </w:rPr>
        <w:t>本</w:t>
      </w:r>
      <w:r>
        <w:rPr>
          <w:rFonts w:hint="default" w:ascii="Times New Roman" w:hAnsi="Times New Roman" w:eastAsia="宋体" w:cs="Times New Roman"/>
          <w:color w:val="000000" w:themeColor="text1"/>
          <w:sz w:val="24"/>
          <w:szCs w:val="24"/>
          <w:lang w:eastAsia="zh-CN"/>
          <w14:textFill>
            <w14:solidFill>
              <w14:schemeClr w14:val="tx1"/>
            </w14:solidFill>
          </w14:textFill>
        </w:rPr>
        <w:t>年度矿山地质环境治理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对象包括：</w:t>
      </w:r>
      <w:r>
        <w:rPr>
          <w:rFonts w:hint="eastAsia" w:cs="Times New Roman"/>
          <w:color w:val="000000" w:themeColor="text1"/>
          <w:sz w:val="24"/>
          <w:szCs w:val="24"/>
          <w:highlight w:val="none"/>
          <w:lang w:val="en-US" w:eastAsia="zh-CN"/>
          <w14:textFill>
            <w14:solidFill>
              <w14:schemeClr w14:val="tx1"/>
            </w14:solidFill>
          </w14:textFill>
        </w:rPr>
        <w:t>工业场地内废弃渣堆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bookmarkEnd w:id="21"/>
    <w:bookmarkEnd w:id="22"/>
    <w:bookmarkEnd w:id="23"/>
    <w:p>
      <w:pPr>
        <w:pStyle w:val="3"/>
        <w:spacing w:before="240" w:beforeLines="100" w:after="120" w:line="360" w:lineRule="auto"/>
        <w:jc w:val="left"/>
        <w:rPr>
          <w:rFonts w:hint="default" w:ascii="Times New Roman" w:hAnsi="Times New Roman" w:eastAsia="宋体" w:cs="Times New Roman"/>
          <w:color w:val="auto"/>
          <w:sz w:val="30"/>
        </w:rPr>
      </w:pPr>
      <w:bookmarkStart w:id="24" w:name="_Toc30925"/>
      <w:r>
        <w:rPr>
          <w:rFonts w:hint="default" w:ascii="Times New Roman" w:hAnsi="Times New Roman" w:eastAsia="宋体" w:cs="Times New Roman"/>
          <w:color w:val="auto"/>
          <w:sz w:val="30"/>
        </w:rPr>
        <w:t>（二）矿山地质环境治理工程</w:t>
      </w:r>
      <w:bookmarkEnd w:id="24"/>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矿山地质环境保护与恢复治理及土地复垦工程对象为</w:t>
      </w:r>
      <w:r>
        <w:rPr>
          <w:rFonts w:hint="eastAsia" w:cs="Times New Roman"/>
          <w:color w:val="000000" w:themeColor="text1"/>
          <w:sz w:val="24"/>
          <w:szCs w:val="24"/>
          <w:highlight w:val="none"/>
          <w:lang w:val="en-US" w:eastAsia="zh-CN"/>
          <w14:textFill>
            <w14:solidFill>
              <w14:schemeClr w14:val="tx1"/>
            </w14:solidFill>
          </w14:textFill>
        </w:rPr>
        <w:t>工业场地内废弃渣堆</w:t>
      </w:r>
      <w:r>
        <w:rPr>
          <w:rFonts w:hint="default" w:ascii="Times New Roman" w:hAnsi="Times New Roman" w:eastAsia="宋体" w:cs="Times New Roman"/>
          <w:color w:val="auto"/>
          <w:kern w:val="0"/>
          <w:sz w:val="24"/>
          <w:szCs w:val="24"/>
          <w:lang w:val="en-US" w:eastAsia="zh-CN" w:bidi="ar"/>
        </w:rPr>
        <w:t>，其主要工作量分述如下：</w:t>
      </w:r>
    </w:p>
    <w:p>
      <w:pPr>
        <w:pStyle w:val="19"/>
        <w:spacing w:line="360" w:lineRule="auto"/>
        <w:jc w:val="left"/>
        <w:rPr>
          <w:rFonts w:hint="eastAsia" w:eastAsia="宋体"/>
          <w:color w:val="auto"/>
          <w:kern w:val="0"/>
          <w:sz w:val="24"/>
          <w:highlight w:val="none"/>
        </w:rPr>
      </w:pPr>
      <w:r>
        <w:rPr>
          <w:rFonts w:hint="eastAsia" w:eastAsia="宋体"/>
          <w:color w:val="auto"/>
          <w:sz w:val="24"/>
          <w:highlight w:val="none"/>
          <w:lang w:val="en-US" w:eastAsia="zh-CN"/>
        </w:rPr>
        <w:t>1、</w:t>
      </w:r>
      <w:r>
        <w:rPr>
          <w:rFonts w:hint="eastAsia" w:eastAsia="宋体"/>
          <w:color w:val="auto"/>
          <w:sz w:val="24"/>
          <w:highlight w:val="none"/>
        </w:rPr>
        <w:t>清运</w:t>
      </w:r>
    </w:p>
    <w:p>
      <w:pPr>
        <w:pStyle w:val="19"/>
        <w:spacing w:line="360" w:lineRule="auto"/>
        <w:ind w:firstLine="480"/>
        <w:jc w:val="left"/>
        <w:rPr>
          <w:rFonts w:hint="eastAsia" w:eastAsia="宋体"/>
          <w:color w:val="auto"/>
          <w:kern w:val="0"/>
          <w:sz w:val="24"/>
          <w:highlight w:val="none"/>
        </w:rPr>
      </w:pPr>
      <w:r>
        <w:rPr>
          <w:rFonts w:hint="eastAsia" w:eastAsia="宋体"/>
          <w:color w:val="auto"/>
          <w:kern w:val="0"/>
          <w:sz w:val="24"/>
          <w:highlight w:val="none"/>
        </w:rPr>
        <w:t>现状</w:t>
      </w:r>
      <w:r>
        <w:rPr>
          <w:rFonts w:hint="eastAsia" w:eastAsia="宋体"/>
          <w:color w:val="auto"/>
          <w:kern w:val="0"/>
          <w:sz w:val="24"/>
          <w:highlight w:val="none"/>
          <w:lang w:val="en-US" w:eastAsia="zh-CN"/>
        </w:rPr>
        <w:t>工业场地</w:t>
      </w:r>
      <w:r>
        <w:rPr>
          <w:rFonts w:hint="eastAsia" w:eastAsia="宋体"/>
          <w:color w:val="auto"/>
          <w:kern w:val="0"/>
          <w:sz w:val="24"/>
          <w:highlight w:val="none"/>
        </w:rPr>
        <w:t>内堆积废石</w:t>
      </w:r>
      <w:r>
        <w:rPr>
          <w:rFonts w:hint="eastAsia" w:eastAsia="宋体"/>
          <w:color w:val="auto"/>
          <w:kern w:val="0"/>
          <w:sz w:val="24"/>
          <w:highlight w:val="none"/>
          <w:lang w:val="en-US" w:eastAsia="zh-CN"/>
        </w:rPr>
        <w:t>5000</w:t>
      </w:r>
      <w:r>
        <w:rPr>
          <w:rFonts w:hint="eastAsia" w:eastAsia="宋体"/>
          <w:color w:val="auto"/>
          <w:kern w:val="0"/>
          <w:sz w:val="24"/>
          <w:highlight w:val="none"/>
        </w:rPr>
        <w:t>m</w:t>
      </w:r>
      <w:r>
        <w:rPr>
          <w:rFonts w:hint="eastAsia" w:eastAsia="宋体"/>
          <w:color w:val="auto"/>
          <w:kern w:val="0"/>
          <w:sz w:val="24"/>
          <w:highlight w:val="none"/>
          <w:vertAlign w:val="superscript"/>
        </w:rPr>
        <w:t>3</w:t>
      </w:r>
      <w:r>
        <w:rPr>
          <w:rFonts w:hint="eastAsia" w:eastAsia="宋体"/>
          <w:color w:val="auto"/>
          <w:kern w:val="0"/>
          <w:sz w:val="24"/>
          <w:highlight w:val="none"/>
        </w:rPr>
        <w:t>，清运工程量为</w:t>
      </w:r>
      <w:r>
        <w:rPr>
          <w:rFonts w:hint="eastAsia" w:eastAsia="宋体"/>
          <w:color w:val="auto"/>
          <w:kern w:val="0"/>
          <w:sz w:val="24"/>
          <w:highlight w:val="none"/>
          <w:lang w:val="en-US" w:eastAsia="zh-CN"/>
        </w:rPr>
        <w:t>5000</w:t>
      </w:r>
      <w:r>
        <w:rPr>
          <w:rFonts w:hint="eastAsia" w:eastAsia="宋体"/>
          <w:color w:val="auto"/>
          <w:kern w:val="0"/>
          <w:sz w:val="24"/>
          <w:highlight w:val="none"/>
        </w:rPr>
        <w:t>m</w:t>
      </w:r>
      <w:r>
        <w:rPr>
          <w:rFonts w:hint="eastAsia" w:eastAsia="宋体"/>
          <w:color w:val="auto"/>
          <w:kern w:val="0"/>
          <w:sz w:val="24"/>
          <w:highlight w:val="none"/>
          <w:vertAlign w:val="superscript"/>
        </w:rPr>
        <w:t>3</w:t>
      </w:r>
      <w:r>
        <w:rPr>
          <w:rFonts w:hint="eastAsia" w:eastAsia="宋体"/>
          <w:color w:val="auto"/>
          <w:kern w:val="0"/>
          <w:sz w:val="24"/>
          <w:highlight w:val="none"/>
        </w:rPr>
        <w:t>。</w:t>
      </w:r>
    </w:p>
    <w:p>
      <w:pPr>
        <w:spacing w:line="360" w:lineRule="auto"/>
        <w:ind w:firstLine="480" w:firstLineChars="200"/>
        <w:contextualSpacing/>
        <w:jc w:val="left"/>
        <w:rPr>
          <w:color w:val="auto"/>
          <w:sz w:val="24"/>
          <w:highlight w:val="none"/>
        </w:rPr>
      </w:pPr>
      <w:r>
        <w:rPr>
          <w:rFonts w:hint="eastAsia"/>
          <w:color w:val="auto"/>
          <w:sz w:val="24"/>
          <w:highlight w:val="none"/>
          <w:lang w:val="en-US" w:eastAsia="zh-CN"/>
        </w:rPr>
        <w:t>2</w:t>
      </w:r>
      <w:r>
        <w:rPr>
          <w:rFonts w:hint="eastAsia"/>
          <w:color w:val="auto"/>
          <w:sz w:val="24"/>
          <w:highlight w:val="none"/>
        </w:rPr>
        <w:t>、</w:t>
      </w:r>
      <w:r>
        <w:rPr>
          <w:color w:val="auto"/>
          <w:sz w:val="24"/>
          <w:highlight w:val="none"/>
        </w:rPr>
        <w:t>覆土及整平</w:t>
      </w:r>
    </w:p>
    <w:p>
      <w:pPr>
        <w:spacing w:line="360" w:lineRule="auto"/>
        <w:ind w:firstLine="480" w:firstLineChars="200"/>
        <w:contextualSpacing/>
        <w:jc w:val="left"/>
        <w:rPr>
          <w:color w:val="auto"/>
          <w:sz w:val="24"/>
          <w:highlight w:val="none"/>
        </w:rPr>
      </w:pPr>
      <w:r>
        <w:rPr>
          <w:rFonts w:hint="eastAsia"/>
          <w:color w:val="auto"/>
          <w:sz w:val="24"/>
          <w:highlight w:val="none"/>
        </w:rPr>
        <w:t>近期对垫坡后的场地</w:t>
      </w:r>
      <w:r>
        <w:rPr>
          <w:color w:val="auto"/>
          <w:spacing w:val="-4"/>
          <w:sz w:val="24"/>
          <w:highlight w:val="none"/>
        </w:rPr>
        <w:t>进行</w:t>
      </w:r>
      <w:r>
        <w:rPr>
          <w:rFonts w:hint="eastAsia"/>
          <w:color w:val="auto"/>
          <w:spacing w:val="-4"/>
          <w:sz w:val="24"/>
          <w:highlight w:val="none"/>
        </w:rPr>
        <w:t>全面的</w:t>
      </w:r>
      <w:r>
        <w:rPr>
          <w:color w:val="auto"/>
          <w:sz w:val="24"/>
          <w:highlight w:val="none"/>
        </w:rPr>
        <w:t>覆土及整平，覆土面积</w:t>
      </w:r>
      <w:r>
        <w:rPr>
          <w:rFonts w:hint="eastAsia"/>
          <w:color w:val="auto"/>
          <w:sz w:val="24"/>
          <w:highlight w:val="none"/>
          <w:lang w:val="en-US" w:eastAsia="zh-CN"/>
        </w:rPr>
        <w:t>1146</w:t>
      </w:r>
      <w:r>
        <w:rPr>
          <w:color w:val="auto"/>
          <w:sz w:val="24"/>
          <w:highlight w:val="none"/>
        </w:rPr>
        <w:t>m</w:t>
      </w:r>
      <w:r>
        <w:rPr>
          <w:color w:val="auto"/>
          <w:sz w:val="24"/>
          <w:highlight w:val="none"/>
          <w:vertAlign w:val="superscript"/>
        </w:rPr>
        <w:t>2</w:t>
      </w:r>
      <w:r>
        <w:rPr>
          <w:color w:val="auto"/>
          <w:sz w:val="24"/>
          <w:highlight w:val="none"/>
        </w:rPr>
        <w:t>，覆土厚度</w:t>
      </w:r>
      <w:r>
        <w:rPr>
          <w:rFonts w:hint="eastAsia"/>
          <w:color w:val="auto"/>
          <w:sz w:val="24"/>
          <w:highlight w:val="none"/>
          <w:lang w:val="en-US" w:eastAsia="zh-CN"/>
        </w:rPr>
        <w:t>1</w:t>
      </w:r>
      <w:r>
        <w:rPr>
          <w:color w:val="auto"/>
          <w:sz w:val="24"/>
          <w:highlight w:val="none"/>
        </w:rPr>
        <w:t>m，覆土工程量为</w:t>
      </w:r>
      <w:r>
        <w:rPr>
          <w:rFonts w:hint="eastAsia"/>
          <w:color w:val="auto"/>
          <w:sz w:val="24"/>
          <w:highlight w:val="none"/>
          <w:lang w:val="en-US" w:eastAsia="zh-CN"/>
        </w:rPr>
        <w:t>1146</w:t>
      </w:r>
      <w:r>
        <w:rPr>
          <w:color w:val="auto"/>
          <w:sz w:val="24"/>
          <w:highlight w:val="none"/>
        </w:rPr>
        <w:t>m</w:t>
      </w:r>
      <w:r>
        <w:rPr>
          <w:color w:val="auto"/>
          <w:sz w:val="24"/>
          <w:highlight w:val="none"/>
          <w:vertAlign w:val="superscript"/>
        </w:rPr>
        <w:t>3</w:t>
      </w:r>
      <w:r>
        <w:rPr>
          <w:color w:val="auto"/>
          <w:sz w:val="24"/>
          <w:highlight w:val="none"/>
        </w:rPr>
        <w:t>；</w:t>
      </w:r>
    </w:p>
    <w:p>
      <w:pPr>
        <w:spacing w:line="360" w:lineRule="auto"/>
        <w:ind w:firstLine="480" w:firstLineChars="200"/>
        <w:contextualSpacing/>
        <w:rPr>
          <w:rFonts w:hint="eastAsia" w:eastAsia="宋体"/>
          <w:color w:val="auto"/>
          <w:sz w:val="24"/>
          <w:highlight w:val="none"/>
          <w:lang w:val="en-US" w:eastAsia="zh-CN"/>
        </w:rPr>
      </w:pPr>
      <w:r>
        <w:rPr>
          <w:rFonts w:hint="eastAsia"/>
          <w:bCs/>
          <w:color w:val="auto"/>
          <w:sz w:val="24"/>
          <w:highlight w:val="none"/>
          <w:lang w:val="en-US" w:eastAsia="zh-CN"/>
        </w:rPr>
        <w:t>3</w:t>
      </w:r>
      <w:r>
        <w:rPr>
          <w:rFonts w:hint="eastAsia"/>
          <w:bCs/>
          <w:color w:val="auto"/>
          <w:sz w:val="24"/>
          <w:highlight w:val="none"/>
        </w:rPr>
        <w:t>、</w:t>
      </w:r>
      <w:r>
        <w:rPr>
          <w:color w:val="auto"/>
          <w:sz w:val="24"/>
          <w:highlight w:val="none"/>
        </w:rPr>
        <w:t>恢复</w:t>
      </w:r>
      <w:r>
        <w:rPr>
          <w:rFonts w:hint="eastAsia"/>
          <w:color w:val="auto"/>
          <w:sz w:val="24"/>
          <w:highlight w:val="none"/>
          <w:lang w:val="en-US" w:eastAsia="zh-CN"/>
        </w:rPr>
        <w:t>植被</w:t>
      </w:r>
    </w:p>
    <w:p>
      <w:pPr>
        <w:pStyle w:val="18"/>
        <w:spacing w:line="360" w:lineRule="auto"/>
        <w:ind w:firstLine="480" w:firstLineChars="200"/>
        <w:jc w:val="left"/>
        <w:rPr>
          <w:rFonts w:hint="eastAsia"/>
          <w:color w:val="auto"/>
          <w:highlight w:val="none"/>
        </w:rPr>
      </w:pPr>
      <w:r>
        <w:rPr>
          <w:rFonts w:ascii="Times New Roman" w:cs="Times New Roman"/>
          <w:color w:val="auto"/>
          <w:highlight w:val="none"/>
        </w:rPr>
        <w:t>对整平后的场地恢复</w:t>
      </w:r>
      <w:r>
        <w:rPr>
          <w:rFonts w:hint="eastAsia" w:ascii="Times New Roman" w:cs="Times New Roman"/>
          <w:color w:val="auto"/>
          <w:highlight w:val="none"/>
          <w:lang w:val="en-US" w:eastAsia="zh-CN"/>
        </w:rPr>
        <w:t>植被</w:t>
      </w:r>
      <w:r>
        <w:rPr>
          <w:rFonts w:ascii="Times New Roman" w:cs="Times New Roman"/>
          <w:color w:val="auto"/>
          <w:highlight w:val="none"/>
        </w:rPr>
        <w:t>，恢复</w:t>
      </w:r>
      <w:r>
        <w:rPr>
          <w:rFonts w:hint="eastAsia" w:ascii="Times New Roman" w:cs="Times New Roman"/>
          <w:color w:val="auto"/>
          <w:highlight w:val="none"/>
          <w:lang w:val="en-US" w:eastAsia="zh-CN"/>
        </w:rPr>
        <w:t>植被</w:t>
      </w:r>
      <w:r>
        <w:rPr>
          <w:rFonts w:ascii="Times New Roman" w:cs="Times New Roman"/>
          <w:color w:val="auto"/>
          <w:highlight w:val="none"/>
        </w:rPr>
        <w:t>面积</w:t>
      </w:r>
      <w:r>
        <w:rPr>
          <w:rFonts w:hint="eastAsia" w:ascii="Times New Roman" w:cs="Times New Roman"/>
          <w:color w:val="auto"/>
          <w:highlight w:val="none"/>
          <w:lang w:val="en-US" w:eastAsia="zh-CN"/>
        </w:rPr>
        <w:t>1146</w:t>
      </w:r>
      <w:r>
        <w:rPr>
          <w:rFonts w:ascii="Times New Roman" w:cs="Times New Roman"/>
          <w:color w:val="auto"/>
          <w:highlight w:val="none"/>
        </w:rPr>
        <w:t>m</w:t>
      </w:r>
      <w:r>
        <w:rPr>
          <w:rFonts w:ascii="Times New Roman" w:cs="Times New Roman"/>
          <w:color w:val="auto"/>
          <w:highlight w:val="none"/>
          <w:vertAlign w:val="superscript"/>
        </w:rPr>
        <w:t>2</w:t>
      </w:r>
      <w:r>
        <w:rPr>
          <w:rFonts w:ascii="Times New Roman" w:cs="Times New Roman"/>
          <w:color w:val="auto"/>
          <w:highlight w:val="none"/>
        </w:rPr>
        <w:t>。</w:t>
      </w:r>
    </w:p>
    <w:p>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表</w:t>
      </w:r>
      <w:r>
        <w:rPr>
          <w:rFonts w:hint="default" w:ascii="Times New Roman" w:hAnsi="Times New Roman" w:eastAsia="宋体" w:cs="Times New Roman"/>
          <w:b/>
          <w:color w:val="auto"/>
          <w:sz w:val="21"/>
          <w:szCs w:val="21"/>
          <w:highlight w:val="none"/>
          <w:lang w:val="en-US" w:eastAsia="zh-CN"/>
        </w:rPr>
        <w:t>5-</w:t>
      </w:r>
      <w:r>
        <w:rPr>
          <w:rFonts w:hint="eastAsia"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本</w:t>
      </w:r>
      <w:r>
        <w:rPr>
          <w:rFonts w:hint="default" w:ascii="Times New Roman" w:hAnsi="Times New Roman" w:eastAsia="宋体" w:cs="Times New Roman"/>
          <w:b/>
          <w:color w:val="auto"/>
          <w:sz w:val="21"/>
          <w:szCs w:val="21"/>
          <w:highlight w:val="none"/>
          <w:lang w:eastAsia="zh-CN"/>
        </w:rPr>
        <w:t>年度</w:t>
      </w:r>
      <w:r>
        <w:rPr>
          <w:rFonts w:hint="default" w:ascii="Times New Roman" w:hAnsi="Times New Roman" w:eastAsia="宋体" w:cs="Times New Roman"/>
          <w:b/>
          <w:color w:val="auto"/>
          <w:sz w:val="21"/>
          <w:szCs w:val="21"/>
          <w:highlight w:val="none"/>
        </w:rPr>
        <w:t>治理工程量汇总表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2"/>
        <w:gridCol w:w="3120"/>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工业场地内废弃渣堆</w:t>
            </w:r>
          </w:p>
        </w:tc>
        <w:tc>
          <w:tcPr>
            <w:tcW w:w="1829"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color w:val="auto"/>
                <w:sz w:val="21"/>
                <w:szCs w:val="21"/>
                <w:highlight w:val="none"/>
              </w:rPr>
            </w:pPr>
            <w:r>
              <w:rPr>
                <w:color w:val="auto"/>
                <w:kern w:val="0"/>
                <w:sz w:val="21"/>
                <w:szCs w:val="21"/>
                <w:highlight w:val="none"/>
                <w:lang w:bidi="ar"/>
              </w:rPr>
              <w:t>清运（m</w:t>
            </w:r>
            <w:r>
              <w:rPr>
                <w:color w:val="auto"/>
                <w:kern w:val="0"/>
                <w:sz w:val="21"/>
                <w:szCs w:val="21"/>
                <w:highlight w:val="none"/>
                <w:vertAlign w:val="superscript"/>
                <w:lang w:bidi="ar"/>
              </w:rPr>
              <w:t>3</w:t>
            </w:r>
            <w:r>
              <w:rPr>
                <w:color w:val="auto"/>
                <w:kern w:val="0"/>
                <w:sz w:val="21"/>
                <w:szCs w:val="21"/>
                <w:highlight w:val="none"/>
                <w:lang w:bidi="ar"/>
              </w:rPr>
              <w:t>）</w:t>
            </w:r>
          </w:p>
        </w:tc>
        <w:tc>
          <w:tcPr>
            <w:tcW w:w="139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color w:val="auto"/>
                <w:sz w:val="21"/>
                <w:szCs w:val="21"/>
                <w:highlight w:val="none"/>
              </w:rPr>
            </w:pPr>
          </w:p>
        </w:tc>
        <w:tc>
          <w:tcPr>
            <w:tcW w:w="1829"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color w:val="auto"/>
                <w:sz w:val="21"/>
                <w:szCs w:val="21"/>
                <w:highlight w:val="none"/>
              </w:rPr>
            </w:pPr>
            <w:r>
              <w:rPr>
                <w:color w:val="auto"/>
                <w:kern w:val="0"/>
                <w:sz w:val="21"/>
                <w:szCs w:val="21"/>
                <w:highlight w:val="none"/>
                <w:lang w:bidi="ar"/>
              </w:rPr>
              <w:t>覆土</w:t>
            </w:r>
            <w:r>
              <w:rPr>
                <w:rFonts w:hint="eastAsia" w:ascii="宋体" w:hAnsi="宋体" w:cs="宋体"/>
                <w:color w:val="auto"/>
                <w:kern w:val="0"/>
                <w:sz w:val="21"/>
                <w:szCs w:val="21"/>
                <w:highlight w:val="none"/>
                <w:lang w:bidi="ar"/>
              </w:rPr>
              <w:t>及整平</w:t>
            </w:r>
            <w:r>
              <w:rPr>
                <w:color w:val="auto"/>
                <w:kern w:val="0"/>
                <w:sz w:val="21"/>
                <w:szCs w:val="21"/>
                <w:highlight w:val="none"/>
                <w:lang w:bidi="ar"/>
              </w:rPr>
              <w:t>（m</w:t>
            </w:r>
            <w:r>
              <w:rPr>
                <w:color w:val="auto"/>
                <w:kern w:val="0"/>
                <w:sz w:val="21"/>
                <w:szCs w:val="21"/>
                <w:highlight w:val="none"/>
                <w:vertAlign w:val="superscript"/>
                <w:lang w:bidi="ar"/>
              </w:rPr>
              <w:t>3</w:t>
            </w:r>
            <w:r>
              <w:rPr>
                <w:color w:val="auto"/>
                <w:kern w:val="0"/>
                <w:sz w:val="21"/>
                <w:szCs w:val="21"/>
                <w:highlight w:val="none"/>
                <w:lang w:bidi="ar"/>
              </w:rPr>
              <w:t>）</w:t>
            </w:r>
          </w:p>
        </w:tc>
        <w:tc>
          <w:tcPr>
            <w:tcW w:w="139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eastAsia="宋体"/>
                <w:color w:val="auto"/>
                <w:sz w:val="21"/>
                <w:szCs w:val="21"/>
                <w:highlight w:val="none"/>
                <w:lang w:val="en-US" w:eastAsia="zh-CN"/>
              </w:rPr>
            </w:pPr>
            <w:r>
              <w:rPr>
                <w:rFonts w:hint="eastAsia"/>
                <w:color w:val="auto"/>
                <w:kern w:val="0"/>
                <w:sz w:val="21"/>
                <w:szCs w:val="21"/>
                <w:highlight w:val="none"/>
                <w:lang w:val="en-US" w:eastAsia="zh-CN" w:bidi="ar"/>
              </w:rPr>
              <w:t>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7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cs="宋体"/>
                <w:color w:val="auto"/>
                <w:sz w:val="21"/>
                <w:szCs w:val="21"/>
                <w:highlight w:val="none"/>
              </w:rPr>
            </w:pPr>
          </w:p>
        </w:tc>
        <w:tc>
          <w:tcPr>
            <w:tcW w:w="1829"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恢复植被</w:t>
            </w:r>
            <w:r>
              <w:rPr>
                <w:color w:val="auto"/>
                <w:kern w:val="0"/>
                <w:sz w:val="21"/>
                <w:szCs w:val="21"/>
                <w:highlight w:val="none"/>
                <w:lang w:bidi="ar"/>
              </w:rPr>
              <w:t>（m</w:t>
            </w:r>
            <w:r>
              <w:rPr>
                <w:rFonts w:hint="eastAsia"/>
                <w:color w:val="auto"/>
                <w:kern w:val="0"/>
                <w:sz w:val="21"/>
                <w:szCs w:val="21"/>
                <w:highlight w:val="none"/>
                <w:vertAlign w:val="superscript"/>
                <w:lang w:val="en-US" w:eastAsia="zh-CN" w:bidi="ar"/>
              </w:rPr>
              <w:t>2</w:t>
            </w:r>
            <w:r>
              <w:rPr>
                <w:color w:val="auto"/>
                <w:kern w:val="0"/>
                <w:sz w:val="21"/>
                <w:szCs w:val="21"/>
                <w:highlight w:val="none"/>
                <w:lang w:bidi="ar"/>
              </w:rPr>
              <w:t>）</w:t>
            </w:r>
          </w:p>
        </w:tc>
        <w:tc>
          <w:tcPr>
            <w:tcW w:w="139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1146</w:t>
            </w:r>
          </w:p>
        </w:tc>
      </w:tr>
    </w:tbl>
    <w:p>
      <w:pPr>
        <w:pStyle w:val="18"/>
        <w:rPr>
          <w:rFonts w:hint="default" w:ascii="Times New Roman" w:hAnsi="Times New Roman" w:eastAsia="宋体" w:cs="Times New Roman"/>
          <w:b/>
          <w:color w:val="auto"/>
          <w:sz w:val="21"/>
          <w:szCs w:val="21"/>
          <w:highlight w:val="none"/>
        </w:rPr>
      </w:pPr>
    </w:p>
    <w:p>
      <w:pPr>
        <w:pStyle w:val="18"/>
        <w:rPr>
          <w:rFonts w:hint="default" w:ascii="Times New Roman" w:hAnsi="Times New Roman" w:eastAsia="宋体" w:cs="Times New Roman"/>
          <w:b/>
          <w:color w:val="auto"/>
          <w:sz w:val="21"/>
          <w:szCs w:val="21"/>
          <w:highlight w:val="none"/>
        </w:rPr>
      </w:pPr>
    </w:p>
    <w:p>
      <w:pPr>
        <w:pStyle w:val="3"/>
        <w:keepNext/>
        <w:keepLines/>
        <w:pageBreakBefore w:val="0"/>
        <w:widowControl w:val="0"/>
        <w:kinsoku/>
        <w:wordWrap/>
        <w:overflowPunct/>
        <w:topLinePunct w:val="0"/>
        <w:autoSpaceDE/>
        <w:autoSpaceDN/>
        <w:bidi w:val="0"/>
        <w:adjustRightInd w:val="0"/>
        <w:snapToGrid w:val="0"/>
        <w:spacing w:before="0" w:beforeLines="0" w:after="0" w:afterLines="0" w:line="360" w:lineRule="auto"/>
        <w:jc w:val="left"/>
        <w:textAlignment w:val="auto"/>
        <w:rPr>
          <w:rFonts w:hint="default" w:ascii="Times New Roman" w:hAnsi="Times New Roman" w:eastAsia="宋体" w:cs="Times New Roman"/>
          <w:color w:val="auto"/>
          <w:sz w:val="30"/>
        </w:rPr>
      </w:pPr>
      <w:bookmarkStart w:id="25" w:name="_Toc14505"/>
      <w:r>
        <w:rPr>
          <w:rFonts w:hint="default" w:ascii="Times New Roman" w:hAnsi="Times New Roman" w:eastAsia="宋体" w:cs="Times New Roman"/>
          <w:color w:val="auto"/>
          <w:sz w:val="30"/>
        </w:rPr>
        <w:t>（三）矿山地质环境监测工程</w:t>
      </w:r>
      <w:bookmarkEnd w:id="25"/>
    </w:p>
    <w:bookmarkEnd w:id="12"/>
    <w:bookmarkEnd w:id="19"/>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2" w:firstLineChars="200"/>
        <w:contextualSpacing/>
        <w:jc w:val="left"/>
        <w:textAlignment w:val="auto"/>
        <w:rPr>
          <w:b/>
          <w:color w:val="auto"/>
          <w:sz w:val="24"/>
          <w:szCs w:val="24"/>
        </w:rPr>
      </w:pPr>
      <w:bookmarkStart w:id="26" w:name="_Toc436035418"/>
      <w:r>
        <w:rPr>
          <w:rFonts w:hint="eastAsia"/>
          <w:b/>
          <w:color w:val="auto"/>
          <w:sz w:val="24"/>
          <w:szCs w:val="24"/>
          <w:lang w:eastAsia="zh-CN"/>
        </w:rPr>
        <w:t>一、</w:t>
      </w:r>
      <w:r>
        <w:rPr>
          <w:b/>
          <w:color w:val="auto"/>
          <w:sz w:val="24"/>
          <w:szCs w:val="24"/>
        </w:rPr>
        <w:t>地质灾害监测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contextualSpacing/>
        <w:jc w:val="left"/>
        <w:textAlignment w:val="auto"/>
        <w:rPr>
          <w:color w:val="auto"/>
          <w:sz w:val="24"/>
          <w:szCs w:val="24"/>
        </w:rPr>
      </w:pPr>
      <w:r>
        <w:rPr>
          <w:rFonts w:hint="eastAsia"/>
          <w:color w:val="auto"/>
          <w:sz w:val="24"/>
          <w:szCs w:val="24"/>
        </w:rPr>
        <w:t>建立拟建露天采</w:t>
      </w:r>
      <w:r>
        <w:rPr>
          <w:color w:val="auto"/>
          <w:sz w:val="24"/>
          <w:szCs w:val="24"/>
        </w:rPr>
        <w:t>场边坡岩移观测点，按岩层及地表移动观测规程要求，对受采动影响的地表移动变形情况进行监测。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矿山开采可能存在的矿山地质环境问题主要有：</w:t>
      </w:r>
      <w:r>
        <w:rPr>
          <w:rFonts w:hint="eastAsia" w:ascii="宋体" w:hAnsi="宋体" w:cs="宋体"/>
          <w:color w:val="auto"/>
          <w:sz w:val="24"/>
        </w:rPr>
        <w:t>①</w:t>
      </w:r>
      <w:r>
        <w:rPr>
          <w:color w:val="auto"/>
          <w:sz w:val="24"/>
        </w:rPr>
        <w:t>崩塌地质灾害；</w:t>
      </w:r>
      <w:r>
        <w:rPr>
          <w:rFonts w:hint="eastAsia" w:ascii="宋体" w:hAnsi="宋体" w:cs="宋体"/>
          <w:color w:val="auto"/>
          <w:sz w:val="24"/>
        </w:rPr>
        <w:t>②</w:t>
      </w:r>
      <w:r>
        <w:rPr>
          <w:color w:val="auto"/>
          <w:sz w:val="24"/>
        </w:rPr>
        <w:t>土地资源和地形地貌景观的破坏；</w:t>
      </w:r>
      <w:r>
        <w:rPr>
          <w:rFonts w:hint="eastAsia" w:ascii="宋体" w:hAnsi="宋体" w:cs="宋体"/>
          <w:color w:val="auto"/>
          <w:sz w:val="24"/>
        </w:rPr>
        <w:t>③</w:t>
      </w:r>
      <w:r>
        <w:rPr>
          <w:color w:val="auto"/>
          <w:sz w:val="24"/>
        </w:rPr>
        <w:t>恢复植被监测。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rFonts w:hint="eastAsia"/>
          <w:color w:val="auto"/>
          <w:sz w:val="24"/>
        </w:rPr>
      </w:pPr>
      <w:r>
        <w:rPr>
          <w:rFonts w:hint="eastAsia"/>
          <w:color w:val="auto"/>
          <w:sz w:val="24"/>
        </w:rPr>
        <w:t>1、</w:t>
      </w:r>
      <w:r>
        <w:rPr>
          <w:color w:val="auto"/>
          <w:sz w:val="24"/>
        </w:rPr>
        <w:t>地质灾害监测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（1）监测</w:t>
      </w:r>
      <w:r>
        <w:rPr>
          <w:rFonts w:hint="eastAsia"/>
          <w:color w:val="auto"/>
          <w:sz w:val="24"/>
        </w:rPr>
        <w:t>位置</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根据矿山实际生产情况，在开采过程中的采场边坡进行稳定性监测，实时监测边坡</w:t>
      </w:r>
      <w:r>
        <w:rPr>
          <w:rFonts w:hint="eastAsia"/>
          <w:color w:val="auto"/>
          <w:sz w:val="24"/>
        </w:rPr>
        <w:t>面</w:t>
      </w:r>
      <w:r>
        <w:rPr>
          <w:color w:val="auto"/>
          <w:sz w:val="24"/>
        </w:rPr>
        <w:t>的变化情况。由于监测边坡在开采中不断变化，监测</w:t>
      </w:r>
      <w:r>
        <w:rPr>
          <w:rFonts w:hint="eastAsia"/>
          <w:color w:val="auto"/>
          <w:sz w:val="24"/>
        </w:rPr>
        <w:t>位置根据实际生产情况</w:t>
      </w:r>
      <w:r>
        <w:rPr>
          <w:color w:val="auto"/>
          <w:sz w:val="24"/>
        </w:rPr>
        <w:t>随边坡向前推进。</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（2）监测内容</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rFonts w:hint="eastAsia"/>
          <w:color w:val="auto"/>
          <w:sz w:val="24"/>
        </w:rPr>
        <w:t>崩塌：目测、拍照并记录其位置、规模、形成模式、诱因、发生时间等数据；边坡移动变形采用目测观察其裂缝宽度、配合卷尺测量与照片等并进行记录。</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（3）监测方法</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rFonts w:hint="eastAsia"/>
          <w:color w:val="auto"/>
          <w:sz w:val="24"/>
        </w:rPr>
        <w:t>崩塌监测以</w:t>
      </w:r>
      <w:r>
        <w:rPr>
          <w:color w:val="auto"/>
          <w:sz w:val="24"/>
        </w:rPr>
        <w:t>路线巡回、目视监测为主</w:t>
      </w:r>
      <w:r>
        <w:rPr>
          <w:rFonts w:hint="eastAsia"/>
          <w:color w:val="auto"/>
          <w:sz w:val="24"/>
        </w:rPr>
        <w:t>，</w:t>
      </w:r>
      <w:r>
        <w:rPr>
          <w:color w:val="auto"/>
          <w:sz w:val="24"/>
        </w:rPr>
        <w:t>配合卷尺测量与照片记载。</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（4）监测频率</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left"/>
        <w:textAlignment w:val="auto"/>
        <w:rPr>
          <w:color w:val="auto"/>
          <w:sz w:val="24"/>
        </w:rPr>
      </w:pPr>
      <w:r>
        <w:rPr>
          <w:color w:val="auto"/>
          <w:sz w:val="24"/>
        </w:rPr>
        <w:t>正常情况下每月监测2次，雨季时应每周1次；根据实际情况，对于存在隐患的地段则应每天监测1次，或者进行连续跟踪监测，确保及时预警崩塌灾害的发生，避免人员财产的损失。</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contextualSpacing/>
        <w:jc w:val="left"/>
        <w:textAlignment w:val="auto"/>
        <w:rPr>
          <w:color w:val="auto"/>
          <w:sz w:val="24"/>
          <w:szCs w:val="24"/>
        </w:rPr>
      </w:pPr>
      <w:r>
        <w:rPr>
          <w:color w:val="auto"/>
          <w:sz w:val="24"/>
        </w:rPr>
        <w:t>（</w:t>
      </w:r>
      <w:r>
        <w:rPr>
          <w:rFonts w:hint="eastAsia"/>
          <w:color w:val="auto"/>
          <w:sz w:val="24"/>
          <w:szCs w:val="24"/>
          <w:lang w:val="en-US" w:eastAsia="zh-CN"/>
        </w:rPr>
        <w:t>5</w:t>
      </w:r>
      <w:r>
        <w:rPr>
          <w:color w:val="auto"/>
          <w:sz w:val="24"/>
        </w:rPr>
        <w:t>）</w:t>
      </w:r>
      <w:r>
        <w:rPr>
          <w:color w:val="auto"/>
          <w:sz w:val="24"/>
          <w:szCs w:val="24"/>
        </w:rPr>
        <w:t>监测时限</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contextualSpacing/>
        <w:jc w:val="left"/>
        <w:textAlignment w:val="auto"/>
        <w:rPr>
          <w:color w:val="auto"/>
          <w:sz w:val="24"/>
          <w:szCs w:val="24"/>
        </w:rPr>
      </w:pPr>
      <w:r>
        <w:rPr>
          <w:color w:val="auto"/>
          <w:sz w:val="24"/>
          <w:szCs w:val="24"/>
        </w:rPr>
        <w:t>监测时间：20</w:t>
      </w:r>
      <w:r>
        <w:rPr>
          <w:rFonts w:hint="eastAsia"/>
          <w:color w:val="auto"/>
          <w:sz w:val="24"/>
          <w:szCs w:val="24"/>
          <w:lang w:val="en-US" w:eastAsia="zh-CN"/>
        </w:rPr>
        <w:t>24</w:t>
      </w:r>
      <w:r>
        <w:rPr>
          <w:color w:val="auto"/>
          <w:sz w:val="24"/>
          <w:szCs w:val="24"/>
        </w:rPr>
        <w:t>年</w:t>
      </w:r>
      <w:r>
        <w:rPr>
          <w:rFonts w:hint="eastAsia"/>
          <w:color w:val="auto"/>
          <w:sz w:val="24"/>
          <w:szCs w:val="24"/>
          <w:lang w:val="en-US" w:eastAsia="zh-CN"/>
        </w:rPr>
        <w:t>1</w:t>
      </w:r>
      <w:r>
        <w:rPr>
          <w:color w:val="auto"/>
          <w:sz w:val="24"/>
          <w:szCs w:val="24"/>
        </w:rPr>
        <w:t>月1日-2</w:t>
      </w:r>
      <w:r>
        <w:rPr>
          <w:rFonts w:hint="eastAsia"/>
          <w:color w:val="auto"/>
          <w:sz w:val="24"/>
          <w:szCs w:val="24"/>
          <w:lang w:val="en-US" w:eastAsia="zh-CN"/>
        </w:rPr>
        <w:t>024</w:t>
      </w:r>
      <w:r>
        <w:rPr>
          <w:color w:val="auto"/>
          <w:sz w:val="24"/>
          <w:szCs w:val="24"/>
        </w:rPr>
        <w:t>年</w:t>
      </w:r>
      <w:r>
        <w:rPr>
          <w:rFonts w:hint="eastAsia"/>
          <w:color w:val="auto"/>
          <w:sz w:val="24"/>
          <w:szCs w:val="24"/>
          <w:lang w:val="en-US" w:eastAsia="zh-CN"/>
        </w:rPr>
        <w:t>12</w:t>
      </w:r>
      <w:r>
        <w:rPr>
          <w:color w:val="auto"/>
          <w:sz w:val="24"/>
          <w:szCs w:val="24"/>
        </w:rPr>
        <w:t>月3</w:t>
      </w:r>
      <w:r>
        <w:rPr>
          <w:rFonts w:hint="eastAsia"/>
          <w:color w:val="auto"/>
          <w:sz w:val="24"/>
          <w:szCs w:val="24"/>
          <w:lang w:val="en-US" w:eastAsia="zh-CN"/>
        </w:rPr>
        <w:t>1</w:t>
      </w:r>
      <w:r>
        <w:rPr>
          <w:color w:val="auto"/>
          <w:sz w:val="24"/>
          <w:szCs w:val="24"/>
        </w:rPr>
        <w:t>日。</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left="0" w:right="0" w:firstLine="540"/>
        <w:jc w:val="left"/>
        <w:textAlignment w:val="auto"/>
        <w:rPr>
          <w:rFonts w:hint="default" w:ascii="Times New Roman" w:hAnsi="Times New Roman" w:eastAsia="宋体" w:cs="Times New Roman"/>
          <w:color w:val="auto"/>
        </w:rPr>
      </w:pPr>
    </w:p>
    <w:p>
      <w:pPr>
        <w:pStyle w:val="2"/>
        <w:spacing w:before="163" w:after="163" w:line="360" w:lineRule="auto"/>
        <w:rPr>
          <w:rFonts w:hint="default" w:ascii="Times New Roman" w:hAnsi="Times New Roman" w:eastAsia="宋体" w:cs="Times New Roman"/>
          <w:b/>
          <w:bCs w:val="0"/>
          <w:color w:val="auto"/>
          <w:sz w:val="30"/>
        </w:rPr>
      </w:pPr>
      <w:bookmarkStart w:id="27" w:name="_Toc1248"/>
      <w:r>
        <w:rPr>
          <w:rFonts w:hint="default" w:ascii="Times New Roman" w:hAnsi="Times New Roman" w:eastAsia="宋体" w:cs="Times New Roman"/>
          <w:b/>
          <w:bCs w:val="0"/>
          <w:color w:val="auto"/>
          <w:sz w:val="36"/>
          <w:szCs w:val="36"/>
        </w:rPr>
        <w:t>六、经费</w:t>
      </w:r>
      <w:bookmarkEnd w:id="26"/>
      <w:r>
        <w:rPr>
          <w:rFonts w:hint="default" w:ascii="Times New Roman" w:hAnsi="Times New Roman" w:eastAsia="宋体" w:cs="Times New Roman"/>
          <w:b/>
          <w:bCs w:val="0"/>
          <w:color w:val="auto"/>
          <w:sz w:val="36"/>
          <w:szCs w:val="36"/>
        </w:rPr>
        <w:t>预算</w:t>
      </w:r>
      <w:bookmarkEnd w:id="27"/>
    </w:p>
    <w:p>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rPr>
        <w:t>经估算，202</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年度矿山地质环境治理费</w:t>
      </w:r>
      <w:r>
        <w:rPr>
          <w:rFonts w:hint="default" w:ascii="Times New Roman" w:hAnsi="Times New Roman" w:eastAsia="宋体" w:cs="Times New Roman"/>
          <w:b w:val="0"/>
          <w:bCs w:val="0"/>
          <w:color w:val="auto"/>
          <w:sz w:val="24"/>
          <w:szCs w:val="24"/>
          <w:highlight w:val="none"/>
          <w:lang w:val="en-US" w:eastAsia="zh-CN"/>
        </w:rPr>
        <w:t>用为</w:t>
      </w:r>
      <w:r>
        <w:rPr>
          <w:rFonts w:hint="eastAsia" w:cs="Times New Roman"/>
          <w:b w:val="0"/>
          <w:bCs w:val="0"/>
          <w:color w:val="auto"/>
          <w:sz w:val="24"/>
          <w:szCs w:val="24"/>
          <w:highlight w:val="none"/>
          <w:lang w:val="en-US" w:eastAsia="zh-CN"/>
        </w:rPr>
        <w:t>2.85</w:t>
      </w:r>
      <w:r>
        <w:rPr>
          <w:rFonts w:hint="default" w:ascii="Times New Roman" w:hAnsi="Times New Roman" w:eastAsia="宋体" w:cs="Times New Roman"/>
          <w:b w:val="0"/>
          <w:bCs w:val="0"/>
          <w:color w:val="auto"/>
          <w:sz w:val="24"/>
          <w:szCs w:val="24"/>
          <w:highlight w:val="none"/>
          <w:lang w:val="en-US" w:eastAsia="zh-CN"/>
        </w:rPr>
        <w:t>万元。工程经费估算总额和各单项工程经费估算结果如下：</w:t>
      </w: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sz w:val="24"/>
          <w:lang w:val="en-US" w:eastAsia="zh-CN"/>
        </w:rPr>
      </w:pPr>
      <w:r>
        <w:rPr>
          <w:rFonts w:hint="default" w:ascii="黑体" w:hAnsi="黑体" w:eastAsia="黑体" w:cs="黑体"/>
          <w:color w:val="auto"/>
          <w:sz w:val="24"/>
          <w:lang w:val="en-US" w:eastAsia="zh-CN"/>
        </w:rPr>
        <w:t>表6-1  矿山地质环境治理工程经费预算总表</w:t>
      </w:r>
    </w:p>
    <w:tbl>
      <w:tblPr>
        <w:tblStyle w:val="1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95"/>
        <w:gridCol w:w="2440"/>
        <w:gridCol w:w="1728"/>
        <w:gridCol w:w="34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525" w:type="pct"/>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3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工程或费用名称</w:t>
            </w:r>
          </w:p>
        </w:tc>
        <w:tc>
          <w:tcPr>
            <w:tcW w:w="1013"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预算金额</w:t>
            </w:r>
            <w:r>
              <w:rPr>
                <w:rFonts w:hint="eastAsia" w:cs="Times New Roman"/>
                <w:color w:val="auto"/>
                <w:sz w:val="21"/>
                <w:szCs w:val="21"/>
                <w:lang w:eastAsia="zh-CN"/>
              </w:rPr>
              <w:t>（</w:t>
            </w:r>
            <w:r>
              <w:rPr>
                <w:rFonts w:hint="eastAsia" w:cs="Times New Roman"/>
                <w:color w:val="auto"/>
                <w:sz w:val="21"/>
                <w:szCs w:val="21"/>
                <w:lang w:val="en-US" w:eastAsia="zh-CN"/>
              </w:rPr>
              <w:t>万元</w:t>
            </w:r>
            <w:r>
              <w:rPr>
                <w:rFonts w:hint="eastAsia" w:cs="Times New Roman"/>
                <w:color w:val="auto"/>
                <w:sz w:val="21"/>
                <w:szCs w:val="21"/>
                <w:lang w:eastAsia="zh-CN"/>
              </w:rPr>
              <w:t>）</w:t>
            </w:r>
          </w:p>
        </w:tc>
        <w:tc>
          <w:tcPr>
            <w:tcW w:w="20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各费用占总费用的比例（%）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525" w:type="pct"/>
            <w:vMerge w:val="continue"/>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p>
        </w:tc>
        <w:tc>
          <w:tcPr>
            <w:tcW w:w="143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13"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03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52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一</w:t>
            </w:r>
          </w:p>
        </w:tc>
        <w:tc>
          <w:tcPr>
            <w:tcW w:w="143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工程施工费</w:t>
            </w:r>
          </w:p>
        </w:tc>
        <w:tc>
          <w:tcPr>
            <w:tcW w:w="172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2.72</w:t>
            </w:r>
          </w:p>
        </w:tc>
        <w:tc>
          <w:tcPr>
            <w:tcW w:w="346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95.44</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525"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eastAsia="zh-CN"/>
              </w:rPr>
              <w:t>二</w:t>
            </w:r>
          </w:p>
        </w:tc>
        <w:tc>
          <w:tcPr>
            <w:tcW w:w="1431"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监测管护费</w:t>
            </w:r>
          </w:p>
        </w:tc>
        <w:tc>
          <w:tcPr>
            <w:tcW w:w="172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w:t>
            </w:r>
          </w:p>
        </w:tc>
        <w:tc>
          <w:tcPr>
            <w:tcW w:w="346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4.56</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jc w:val="center"/>
        </w:trPr>
        <w:tc>
          <w:tcPr>
            <w:tcW w:w="1956"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合计</w:t>
            </w:r>
          </w:p>
        </w:tc>
        <w:tc>
          <w:tcPr>
            <w:tcW w:w="1728"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2.85</w:t>
            </w:r>
          </w:p>
        </w:tc>
        <w:tc>
          <w:tcPr>
            <w:tcW w:w="3462" w:type="dxa"/>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100.00%</w:t>
            </w:r>
          </w:p>
        </w:tc>
      </w:tr>
    </w:tbl>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sz w:val="24"/>
          <w:lang w:val="en-US" w:eastAsia="zh-CN"/>
        </w:rPr>
      </w:pPr>
      <w:r>
        <w:rPr>
          <w:rFonts w:hint="default" w:ascii="黑体" w:hAnsi="黑体" w:eastAsia="黑体" w:cs="黑体"/>
          <w:color w:val="auto"/>
          <w:sz w:val="24"/>
          <w:lang w:val="en-US" w:eastAsia="zh-CN"/>
        </w:rPr>
        <w:t>表6-2  监测费用计算表</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4"/>
        <w:gridCol w:w="1165"/>
        <w:gridCol w:w="1571"/>
        <w:gridCol w:w="961"/>
        <w:gridCol w:w="1244"/>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18" w:type="pct"/>
            <w:vMerge w:val="restar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序号</w:t>
            </w:r>
          </w:p>
        </w:tc>
        <w:tc>
          <w:tcPr>
            <w:tcW w:w="683"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费用名称</w:t>
            </w:r>
          </w:p>
        </w:tc>
        <w:tc>
          <w:tcPr>
            <w:tcW w:w="921"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工程施工费</w:t>
            </w:r>
          </w:p>
          <w:p>
            <w:pPr>
              <w:keepNext w:val="0"/>
              <w:keepLines w:val="0"/>
              <w:widowControl/>
              <w:suppressLineNumbers w:val="0"/>
              <w:ind w:left="0" w:leftChars="0" w:firstLine="0" w:firstLineChars="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万</w:t>
            </w:r>
            <w:r>
              <w:rPr>
                <w:rFonts w:hint="eastAsia" w:ascii="Times New Roman" w:hAnsi="Times New Roman" w:eastAsia="宋体" w:cs="Times New Roman"/>
                <w:b w:val="0"/>
                <w:bCs w:val="0"/>
                <w:color w:val="auto"/>
                <w:kern w:val="2"/>
                <w:sz w:val="21"/>
                <w:szCs w:val="21"/>
                <w:lang w:val="en-US" w:eastAsia="zh-CN" w:bidi="ar-SA"/>
              </w:rPr>
              <w:t>元）</w:t>
            </w:r>
          </w:p>
        </w:tc>
        <w:tc>
          <w:tcPr>
            <w:tcW w:w="563"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费率</w:t>
            </w:r>
          </w:p>
        </w:tc>
        <w:tc>
          <w:tcPr>
            <w:tcW w:w="729"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次数</w:t>
            </w:r>
          </w:p>
        </w:tc>
        <w:tc>
          <w:tcPr>
            <w:tcW w:w="1582"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费用（</w:t>
            </w:r>
            <w:r>
              <w:rPr>
                <w:rFonts w:hint="eastAsia" w:cs="Times New Roman"/>
                <w:b w:val="0"/>
                <w:bCs w:val="0"/>
                <w:color w:val="auto"/>
                <w:sz w:val="21"/>
                <w:szCs w:val="21"/>
                <w:lang w:val="en-US" w:eastAsia="zh-CN"/>
              </w:rPr>
              <w:t>万</w:t>
            </w:r>
            <w:r>
              <w:rPr>
                <w:rFonts w:hint="eastAsia" w:ascii="Times New Roman" w:hAnsi="Times New Roman" w:eastAsia="宋体" w:cs="Times New Roman"/>
                <w:b w:val="0"/>
                <w:bCs w:val="0"/>
                <w:color w:val="auto"/>
                <w:sz w:val="21"/>
                <w:szCs w:val="21"/>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vMerge w:val="continue"/>
            <w:shd w:val="clear" w:color="auto" w:fill="auto"/>
            <w:vAlign w:val="center"/>
          </w:tcPr>
          <w:p>
            <w:pPr>
              <w:jc w:val="center"/>
              <w:rPr>
                <w:rFonts w:hint="eastAsia" w:ascii="Times New Roman" w:hAnsi="Times New Roman" w:eastAsia="宋体" w:cs="Times New Roman"/>
                <w:b w:val="0"/>
                <w:bCs w:val="0"/>
                <w:color w:val="auto"/>
                <w:kern w:val="2"/>
                <w:sz w:val="21"/>
                <w:szCs w:val="21"/>
                <w:lang w:val="en-US" w:eastAsia="zh-CN" w:bidi="ar-SA"/>
              </w:rPr>
            </w:pPr>
          </w:p>
        </w:tc>
        <w:tc>
          <w:tcPr>
            <w:tcW w:w="68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921"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w:t>
            </w:r>
          </w:p>
        </w:tc>
        <w:tc>
          <w:tcPr>
            <w:tcW w:w="563"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w:t>
            </w:r>
          </w:p>
        </w:tc>
        <w:tc>
          <w:tcPr>
            <w:tcW w:w="729" w:type="pct"/>
            <w:shd w:val="clear" w:color="auto" w:fill="auto"/>
            <w:vAlign w:val="center"/>
          </w:tcPr>
          <w:p>
            <w:pPr>
              <w:keepNext w:val="0"/>
              <w:keepLines w:val="0"/>
              <w:widowControl/>
              <w:suppressLineNumbers w:val="0"/>
              <w:jc w:val="both"/>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w:t>
            </w:r>
          </w:p>
        </w:tc>
        <w:tc>
          <w:tcPr>
            <w:tcW w:w="1582" w:type="pct"/>
            <w:shd w:val="clear" w:color="auto" w:fill="auto"/>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p>
        </w:tc>
        <w:tc>
          <w:tcPr>
            <w:tcW w:w="683"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监测费</w:t>
            </w:r>
          </w:p>
        </w:tc>
        <w:tc>
          <w:tcPr>
            <w:tcW w:w="1571"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2.72</w:t>
            </w:r>
          </w:p>
        </w:tc>
        <w:tc>
          <w:tcPr>
            <w:tcW w:w="961"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0.30%</w:t>
            </w:r>
          </w:p>
        </w:tc>
        <w:tc>
          <w:tcPr>
            <w:tcW w:w="1244"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2698"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w:t>
            </w:r>
          </w:p>
        </w:tc>
        <w:tc>
          <w:tcPr>
            <w:tcW w:w="683" w:type="pct"/>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管护费</w:t>
            </w:r>
          </w:p>
        </w:tc>
        <w:tc>
          <w:tcPr>
            <w:tcW w:w="1571"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w:t>
            </w:r>
          </w:p>
        </w:tc>
        <w:tc>
          <w:tcPr>
            <w:tcW w:w="961"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244"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698"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2" w:type="pct"/>
            <w:gridSpan w:val="2"/>
            <w:shd w:val="clear" w:color="auto" w:fill="auto"/>
            <w:vAlign w:val="center"/>
          </w:tcPr>
          <w:p>
            <w:pPr>
              <w:spacing w:line="240" w:lineRule="auto"/>
              <w:ind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总          计</w:t>
            </w:r>
          </w:p>
        </w:tc>
        <w:tc>
          <w:tcPr>
            <w:tcW w:w="1571"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961"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44"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2698" w:type="dxa"/>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0.13</w:t>
            </w:r>
          </w:p>
        </w:tc>
      </w:tr>
    </w:tbl>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黑体" w:hAnsi="黑体" w:eastAsia="黑体" w:cs="黑体"/>
          <w:color w:val="auto"/>
          <w:sz w:val="24"/>
          <w:lang w:val="en-US" w:eastAsia="zh-CN"/>
        </w:rPr>
      </w:pPr>
      <w:r>
        <w:rPr>
          <w:rFonts w:hint="default" w:ascii="黑体" w:hAnsi="黑体" w:eastAsia="黑体" w:cs="黑体"/>
          <w:color w:val="auto"/>
          <w:sz w:val="24"/>
          <w:lang w:eastAsia="zh-CN"/>
        </w:rPr>
        <w:t>表</w:t>
      </w:r>
      <w:r>
        <w:rPr>
          <w:rFonts w:hint="default" w:ascii="黑体" w:hAnsi="黑体" w:eastAsia="黑体" w:cs="黑体"/>
          <w:color w:val="auto"/>
          <w:sz w:val="24"/>
          <w:lang w:val="en-US" w:eastAsia="zh-CN"/>
        </w:rPr>
        <w:t>6-3  工程施工预算表</w:t>
      </w:r>
    </w:p>
    <w:tbl>
      <w:tblPr>
        <w:tblStyle w:val="1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77"/>
        <w:gridCol w:w="1180"/>
        <w:gridCol w:w="1475"/>
        <w:gridCol w:w="880"/>
        <w:gridCol w:w="1177"/>
        <w:gridCol w:w="1177"/>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69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定额编号</w:t>
            </w:r>
          </w:p>
        </w:tc>
        <w:tc>
          <w:tcPr>
            <w:tcW w:w="8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单项名称</w:t>
            </w:r>
          </w:p>
        </w:tc>
        <w:tc>
          <w:tcPr>
            <w:tcW w:w="516"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工程量</w:t>
            </w:r>
          </w:p>
        </w:tc>
        <w:tc>
          <w:tcPr>
            <w:tcW w:w="69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综合单价（元）</w:t>
            </w: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691"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865"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516"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690"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690"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vMerge w:val="continue"/>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宋体" w:hAnsi="宋体" w:eastAsia="宋体" w:cs="宋体"/>
                <w:i w:val="0"/>
                <w:iCs w:val="0"/>
                <w:color w:val="000000"/>
                <w:sz w:val="21"/>
                <w:szCs w:val="21"/>
                <w:u w:val="none"/>
              </w:rPr>
            </w:pPr>
          </w:p>
        </w:tc>
        <w:tc>
          <w:tcPr>
            <w:tcW w:w="6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w:t>
            </w: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w:t>
            </w:r>
          </w:p>
        </w:tc>
        <w:tc>
          <w:tcPr>
            <w:tcW w:w="516"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w:t>
            </w: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6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土方工程</w:t>
            </w:r>
          </w:p>
        </w:tc>
        <w:tc>
          <w:tcPr>
            <w:tcW w:w="516"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690"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69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2" w:firstLineChars="200"/>
              <w:jc w:val="both"/>
              <w:textAlignment w:val="center"/>
              <w:rPr>
                <w:rFonts w:hint="default" w:ascii="Times New Roman" w:hAnsi="Times New Roman" w:eastAsia="宋体" w:cs="Times New Roman"/>
                <w:b/>
                <w:bCs/>
                <w:i w:val="0"/>
                <w:iCs w:val="0"/>
                <w:color w:val="000000"/>
                <w:sz w:val="21"/>
                <w:szCs w:val="21"/>
                <w:u w:val="none"/>
                <w:lang w:val="en-US"/>
              </w:rPr>
            </w:pPr>
            <w:r>
              <w:rPr>
                <w:rFonts w:hint="eastAsia" w:cs="Times New Roman"/>
                <w:b/>
                <w:bCs/>
                <w:i w:val="0"/>
                <w:iCs w:val="0"/>
                <w:color w:val="000000"/>
                <w:kern w:val="0"/>
                <w:sz w:val="21"/>
                <w:szCs w:val="21"/>
                <w:u w:val="none"/>
                <w:lang w:val="en-US" w:eastAsia="zh-CN" w:bidi="ar"/>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10195</w:t>
            </w: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覆土及整平</w:t>
            </w:r>
          </w:p>
        </w:tc>
        <w:tc>
          <w:tcPr>
            <w:tcW w:w="516"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1146</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1002.83</w:t>
            </w: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w:t>
            </w:r>
          </w:p>
        </w:tc>
        <w:tc>
          <w:tcPr>
            <w:tcW w:w="6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石方工程</w:t>
            </w:r>
          </w:p>
        </w:tc>
        <w:tc>
          <w:tcPr>
            <w:tcW w:w="516"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69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9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2" w:firstLineChars="200"/>
              <w:jc w:val="both"/>
              <w:textAlignment w:val="center"/>
              <w:rPr>
                <w:rFonts w:hint="default" w:ascii="Times New Roman" w:hAnsi="Times New Roman" w:eastAsia="宋体" w:cs="Times New Roman"/>
                <w:b/>
                <w:bCs/>
                <w:i w:val="0"/>
                <w:iCs w:val="0"/>
                <w:color w:val="000000"/>
                <w:sz w:val="21"/>
                <w:szCs w:val="21"/>
                <w:u w:val="none"/>
                <w:lang w:val="en-US"/>
              </w:rPr>
            </w:pPr>
            <w:r>
              <w:rPr>
                <w:rFonts w:hint="eastAsia" w:cs="Times New Roman"/>
                <w:b/>
                <w:bCs/>
                <w:i w:val="0"/>
                <w:iCs w:val="0"/>
                <w:color w:val="000000"/>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6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询价</w:t>
            </w: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清运</w:t>
            </w:r>
          </w:p>
        </w:tc>
        <w:tc>
          <w:tcPr>
            <w:tcW w:w="516"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5000</w:t>
            </w:r>
          </w:p>
        </w:tc>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yellow"/>
                <w:u w:val="none"/>
                <w:lang w:val="en-US"/>
              </w:rPr>
            </w:pPr>
            <w:r>
              <w:rPr>
                <w:rFonts w:hint="default" w:ascii="Times New Roman" w:hAnsi="Times New Roman" w:eastAsia="宋体" w:cs="Times New Roman"/>
                <w:i w:val="0"/>
                <w:iCs w:val="0"/>
                <w:color w:val="000000"/>
                <w:kern w:val="0"/>
                <w:sz w:val="21"/>
                <w:szCs w:val="21"/>
                <w:u w:val="none"/>
                <w:lang w:val="en-US" w:eastAsia="zh-CN" w:bidi="ar"/>
              </w:rPr>
              <w:t>3</w:t>
            </w:r>
            <w:r>
              <w:rPr>
                <w:rFonts w:hint="eastAsia" w:cs="Times New Roman"/>
                <w:i w:val="0"/>
                <w:iCs w:val="0"/>
                <w:color w:val="000000"/>
                <w:kern w:val="0"/>
                <w:sz w:val="21"/>
                <w:szCs w:val="21"/>
                <w:u w:val="none"/>
                <w:lang w:val="en-US" w:eastAsia="zh-CN" w:bidi="ar"/>
              </w:rPr>
              <w:t>00</w:t>
            </w: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宋体" w:cs="Times New Roman"/>
                <w:i w:val="0"/>
                <w:iCs w:val="0"/>
                <w:color w:val="000000"/>
                <w:sz w:val="21"/>
                <w:szCs w:val="21"/>
                <w:highlight w:val="yellow"/>
                <w:u w:val="none"/>
                <w:lang w:val="en-US"/>
              </w:rPr>
            </w:pPr>
            <w:r>
              <w:rPr>
                <w:rFonts w:hint="eastAsia" w:cs="Times New Roman"/>
                <w:i w:val="0"/>
                <w:iCs w:val="0"/>
                <w:color w:val="000000"/>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w:t>
            </w:r>
          </w:p>
        </w:tc>
        <w:tc>
          <w:tcPr>
            <w:tcW w:w="691"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植被工程</w:t>
            </w:r>
          </w:p>
        </w:tc>
        <w:tc>
          <w:tcPr>
            <w:tcW w:w="516" w:type="pct"/>
            <w:shd w:val="clear" w:color="auto" w:fill="auto"/>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69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i w:val="0"/>
                <w:iCs w:val="0"/>
                <w:color w:val="000000"/>
                <w:kern w:val="0"/>
                <w:sz w:val="21"/>
                <w:szCs w:val="21"/>
                <w:u w:val="none"/>
                <w:lang w:val="en-US" w:eastAsia="zh-CN" w:bidi="ar"/>
              </w:rPr>
            </w:pPr>
          </w:p>
        </w:tc>
        <w:tc>
          <w:tcPr>
            <w:tcW w:w="690"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2" w:firstLineChars="200"/>
              <w:jc w:val="both"/>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90"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691"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50031</w:t>
            </w:r>
          </w:p>
        </w:tc>
        <w:tc>
          <w:tcPr>
            <w:tcW w:w="865"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撒播草籽</w:t>
            </w:r>
          </w:p>
        </w:tc>
        <w:tc>
          <w:tcPr>
            <w:tcW w:w="516" w:type="pct"/>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90" w:type="pct"/>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0.1146</w:t>
            </w:r>
          </w:p>
        </w:tc>
        <w:tc>
          <w:tcPr>
            <w:tcW w:w="69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2486.37</w:t>
            </w:r>
          </w:p>
        </w:tc>
        <w:tc>
          <w:tcPr>
            <w:tcW w:w="85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82" w:type="pct"/>
            <w:gridSpan w:val="2"/>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865"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516"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690" w:type="pct"/>
            <w:shd w:val="clear" w:color="auto" w:fill="auto"/>
            <w:noWrap/>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690" w:type="pct"/>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i w:val="0"/>
                <w:iCs w:val="0"/>
                <w:color w:val="000000"/>
                <w:sz w:val="21"/>
                <w:szCs w:val="21"/>
                <w:u w:val="none"/>
              </w:rPr>
            </w:pPr>
          </w:p>
        </w:tc>
        <w:tc>
          <w:tcPr>
            <w:tcW w:w="85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2" w:firstLineChars="200"/>
              <w:jc w:val="both"/>
              <w:textAlignment w:val="center"/>
              <w:rPr>
                <w:rFonts w:hint="default" w:ascii="Times New Roman" w:hAnsi="Times New Roman" w:eastAsia="宋体" w:cs="Times New Roman"/>
                <w:b/>
                <w:bCs/>
                <w:i w:val="0"/>
                <w:iCs w:val="0"/>
                <w:color w:val="000000"/>
                <w:sz w:val="21"/>
                <w:szCs w:val="21"/>
                <w:u w:val="none"/>
                <w:lang w:val="en-US"/>
              </w:rPr>
            </w:pPr>
            <w:r>
              <w:rPr>
                <w:rFonts w:hint="eastAsia" w:cs="Times New Roman"/>
                <w:b/>
                <w:bCs/>
                <w:i w:val="0"/>
                <w:iCs w:val="0"/>
                <w:color w:val="000000"/>
                <w:kern w:val="0"/>
                <w:sz w:val="21"/>
                <w:szCs w:val="21"/>
                <w:u w:val="none"/>
                <w:lang w:val="en-US" w:eastAsia="zh-CN" w:bidi="ar"/>
              </w:rPr>
              <w:t>2.72</w:t>
            </w:r>
          </w:p>
        </w:tc>
      </w:tr>
    </w:tbl>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4"/>
        </w:rPr>
        <w:sectPr>
          <w:headerReference r:id="rId13" w:type="default"/>
          <w:footerReference r:id="rId14" w:type="default"/>
          <w:pgSz w:w="11906" w:h="16838"/>
          <w:pgMar w:top="1219" w:right="1797" w:bottom="1440" w:left="1797" w:header="851" w:footer="992" w:gutter="0"/>
          <w:pgNumType w:fmt="decimal" w:start="1"/>
          <w:cols w:space="720" w:num="1"/>
          <w:docGrid w:linePitch="326" w:charSpace="0"/>
        </w:sectPr>
      </w:pP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4"/>
        </w:rPr>
      </w:pP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4"/>
        </w:rPr>
      </w:pPr>
      <w:r>
        <w:rPr>
          <w:rFonts w:hint="eastAsia" w:ascii="黑体" w:hAnsi="黑体" w:eastAsia="黑体" w:cs="黑体"/>
          <w:color w:val="auto"/>
          <w:sz w:val="24"/>
        </w:rPr>
        <w:t>表</w:t>
      </w:r>
      <w:r>
        <w:rPr>
          <w:rFonts w:hint="eastAsia" w:ascii="黑体" w:hAnsi="黑体" w:eastAsia="黑体" w:cs="黑体"/>
          <w:color w:val="auto"/>
          <w:sz w:val="24"/>
          <w:lang w:val="en-US" w:eastAsia="zh-CN"/>
        </w:rPr>
        <w:t>6-4</w:t>
      </w:r>
      <w:r>
        <w:rPr>
          <w:rFonts w:hint="eastAsia" w:ascii="黑体" w:hAnsi="黑体" w:eastAsia="黑体" w:cs="黑体"/>
          <w:color w:val="auto"/>
          <w:sz w:val="24"/>
        </w:rPr>
        <w:t xml:space="preserve">  覆土及整平单价分析表</w:t>
      </w:r>
    </w:p>
    <w:tbl>
      <w:tblPr>
        <w:tblStyle w:val="12"/>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1319"/>
        <w:gridCol w:w="1559"/>
        <w:gridCol w:w="1319"/>
        <w:gridCol w:w="1319"/>
        <w:gridCol w:w="1355"/>
        <w:gridCol w:w="146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5000" w:type="pct"/>
            <w:gridSpan w:val="6"/>
            <w:tcBorders>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定额编号：</w:t>
            </w:r>
            <w:r>
              <w:rPr>
                <w:bCs/>
                <w:color w:val="auto"/>
                <w:sz w:val="21"/>
                <w:szCs w:val="21"/>
              </w:rPr>
              <w:t xml:space="preserve">[10195]               </w:t>
            </w:r>
            <w:r>
              <w:rPr>
                <w:rFonts w:hint="eastAsia"/>
                <w:bCs/>
                <w:color w:val="auto"/>
                <w:sz w:val="21"/>
                <w:szCs w:val="21"/>
              </w:rPr>
              <w:t xml:space="preserve">                       </w:t>
            </w:r>
            <w:r>
              <w:rPr>
                <w:bCs/>
                <w:color w:val="auto"/>
                <w:sz w:val="21"/>
                <w:szCs w:val="21"/>
              </w:rPr>
              <w:t xml:space="preserve">              </w:t>
            </w:r>
            <w:r>
              <w:rPr>
                <w:rFonts w:hint="eastAsia"/>
                <w:bCs/>
                <w:color w:val="auto"/>
                <w:sz w:val="21"/>
                <w:szCs w:val="21"/>
              </w:rPr>
              <w:t>单位：</w:t>
            </w:r>
            <w:r>
              <w:rPr>
                <w:bCs/>
                <w:color w:val="auto"/>
                <w:sz w:val="21"/>
                <w:szCs w:val="21"/>
              </w:rPr>
              <w:t>100m</w:t>
            </w:r>
            <w:r>
              <w:rPr>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序号</w:t>
            </w:r>
          </w:p>
        </w:tc>
        <w:tc>
          <w:tcPr>
            <w:tcW w:w="935" w:type="pc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项目名称</w:t>
            </w:r>
          </w:p>
        </w:tc>
        <w:tc>
          <w:tcPr>
            <w:tcW w:w="791" w:type="pc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单位</w:t>
            </w:r>
          </w:p>
        </w:tc>
        <w:tc>
          <w:tcPr>
            <w:tcW w:w="791" w:type="pc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数量</w:t>
            </w:r>
          </w:p>
        </w:tc>
        <w:tc>
          <w:tcPr>
            <w:tcW w:w="813" w:type="pct"/>
            <w:tcBorders>
              <w:top w:val="single" w:color="000000" w:sz="4" w:space="0"/>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单价</w:t>
            </w:r>
            <w:r>
              <w:rPr>
                <w:bCs/>
                <w:color w:val="auto"/>
                <w:sz w:val="21"/>
                <w:szCs w:val="21"/>
              </w:rPr>
              <w:t>(</w:t>
            </w:r>
            <w:r>
              <w:rPr>
                <w:rFonts w:hint="eastAsia"/>
                <w:bCs/>
                <w:color w:val="auto"/>
                <w:sz w:val="21"/>
                <w:szCs w:val="21"/>
              </w:rPr>
              <w:t>元</w:t>
            </w:r>
            <w:r>
              <w:rPr>
                <w:bCs/>
                <w:color w:val="auto"/>
                <w:sz w:val="21"/>
                <w:szCs w:val="21"/>
              </w:rPr>
              <w:t>)</w:t>
            </w:r>
          </w:p>
        </w:tc>
        <w:tc>
          <w:tcPr>
            <w:tcW w:w="876" w:type="pct"/>
            <w:tcBorders>
              <w:top w:val="single" w:color="000000" w:sz="4" w:space="0"/>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小计（元）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一</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直接费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813.20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r>
              <w:rPr>
                <w:rFonts w:hint="eastAsia"/>
                <w:bCs/>
                <w:color w:val="auto"/>
                <w:sz w:val="21"/>
                <w:szCs w:val="21"/>
              </w:rPr>
              <w:t>一</w:t>
            </w:r>
            <w:r>
              <w:rPr>
                <w:bCs/>
                <w:color w:val="auto"/>
                <w:sz w:val="21"/>
                <w:szCs w:val="21"/>
              </w:rPr>
              <w:t>)</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直接工程费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784.94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1</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人工费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50.53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(1)</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乙类工</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工日</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0.8</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63.16</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50.53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2</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机械使用费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704.23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(1)</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装载机</w:t>
            </w:r>
            <w:r>
              <w:rPr>
                <w:bCs/>
                <w:color w:val="auto"/>
                <w:sz w:val="21"/>
                <w:szCs w:val="21"/>
              </w:rPr>
              <w:t>2m</w:t>
            </w:r>
            <w:r>
              <w:rPr>
                <w:bCs/>
                <w:color w:val="auto"/>
                <w:sz w:val="21"/>
                <w:szCs w:val="21"/>
                <w:vertAlign w:val="superscript"/>
              </w:rPr>
              <w:t>3</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台班</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0.24</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898.80</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215.71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(2)</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rFonts w:hint="eastAsia"/>
                <w:bCs/>
                <w:color w:val="auto"/>
                <w:sz w:val="21"/>
                <w:szCs w:val="21"/>
              </w:rPr>
              <w:t>推土机</w:t>
            </w:r>
            <w:r>
              <w:rPr>
                <w:bCs/>
                <w:color w:val="auto"/>
                <w:sz w:val="21"/>
                <w:szCs w:val="21"/>
              </w:rPr>
              <w:t>59</w:t>
            </w:r>
            <w:r>
              <w:rPr>
                <w:rFonts w:hint="eastAsia"/>
                <w:bCs/>
                <w:color w:val="auto"/>
                <w:sz w:val="21"/>
                <w:szCs w:val="21"/>
              </w:rPr>
              <w:t>kw</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台班</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0.10</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445.88</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44.59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自卸汽车</w:t>
            </w:r>
            <w:r>
              <w:rPr>
                <w:bCs/>
                <w:color w:val="auto"/>
                <w:sz w:val="21"/>
                <w:szCs w:val="21"/>
              </w:rPr>
              <w:t>5t</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台班</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1.14</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389.41</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443.93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其他费用</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4</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754.75</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30.19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r>
              <w:rPr>
                <w:rFonts w:hint="eastAsia"/>
                <w:bCs/>
                <w:color w:val="auto"/>
                <w:sz w:val="21"/>
                <w:szCs w:val="21"/>
              </w:rPr>
              <w:t>二</w:t>
            </w:r>
            <w:r>
              <w:rPr>
                <w:bCs/>
                <w:color w:val="auto"/>
                <w:sz w:val="21"/>
                <w:szCs w:val="21"/>
              </w:rPr>
              <w:t>)</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措施费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3.6</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784.94</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28.26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二</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间接费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5</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813.20</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40.66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三</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利润</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853.86</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25.62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四</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材料价差</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95.34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(1)</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柴油</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kg</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73.34</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1.30</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95.34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791" w:type="pct"/>
            <w:tcBorders>
              <w:top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五</w:t>
            </w:r>
          </w:p>
        </w:tc>
        <w:tc>
          <w:tcPr>
            <w:tcW w:w="935"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Cs/>
                <w:color w:val="auto"/>
                <w:sz w:val="21"/>
                <w:szCs w:val="21"/>
              </w:rPr>
            </w:pPr>
            <w:r>
              <w:rPr>
                <w:rFonts w:hint="eastAsia"/>
                <w:bCs/>
                <w:color w:val="auto"/>
                <w:sz w:val="21"/>
                <w:szCs w:val="21"/>
              </w:rPr>
              <w:t>税金</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w:t>
            </w:r>
          </w:p>
        </w:tc>
        <w:tc>
          <w:tcPr>
            <w:tcW w:w="791"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3.28</w:t>
            </w:r>
          </w:p>
        </w:tc>
        <w:tc>
          <w:tcPr>
            <w:tcW w:w="813" w:type="pct"/>
            <w:tcBorders>
              <w:top w:val="nil"/>
              <w:left w:val="nil"/>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853.86</w:t>
            </w:r>
          </w:p>
        </w:tc>
        <w:tc>
          <w:tcPr>
            <w:tcW w:w="876" w:type="pct"/>
            <w:tcBorders>
              <w:top w:val="nil"/>
              <w:left w:val="nil"/>
              <w:bottom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auto"/>
                <w:sz w:val="21"/>
                <w:szCs w:val="21"/>
              </w:rPr>
            </w:pPr>
            <w:r>
              <w:rPr>
                <w:bCs/>
                <w:color w:val="auto"/>
                <w:sz w:val="21"/>
                <w:szCs w:val="21"/>
              </w:rPr>
              <w:t>28.01</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17" w:hRule="atLeast"/>
          <w:jc w:val="center"/>
        </w:trPr>
        <w:tc>
          <w:tcPr>
            <w:tcW w:w="1726" w:type="pct"/>
            <w:gridSpan w:val="2"/>
            <w:tcBorders>
              <w:top w:val="nil"/>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color w:val="auto"/>
                <w:sz w:val="21"/>
                <w:szCs w:val="21"/>
              </w:rPr>
            </w:pPr>
            <w:r>
              <w:rPr>
                <w:rFonts w:hint="eastAsia"/>
                <w:b/>
                <w:color w:val="auto"/>
                <w:sz w:val="21"/>
                <w:szCs w:val="21"/>
              </w:rPr>
              <w:t>合计</w:t>
            </w:r>
          </w:p>
        </w:tc>
        <w:tc>
          <w:tcPr>
            <w:tcW w:w="791" w:type="pct"/>
            <w:tcBorders>
              <w:top w:val="nil"/>
              <w:left w:val="nil"/>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p>
        </w:tc>
        <w:tc>
          <w:tcPr>
            <w:tcW w:w="791" w:type="pct"/>
            <w:tcBorders>
              <w:top w:val="nil"/>
              <w:left w:val="nil"/>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p>
        </w:tc>
        <w:tc>
          <w:tcPr>
            <w:tcW w:w="813" w:type="pct"/>
            <w:tcBorders>
              <w:top w:val="nil"/>
              <w:left w:val="nil"/>
              <w:right w:val="single" w:color="000000" w:sz="4" w:space="0"/>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p>
        </w:tc>
        <w:tc>
          <w:tcPr>
            <w:tcW w:w="876" w:type="pct"/>
            <w:tcBorders>
              <w:top w:val="nil"/>
              <w:left w:val="nil"/>
            </w:tcBorders>
            <w:noWrap w:val="0"/>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1002.83</w:t>
            </w:r>
          </w:p>
        </w:tc>
      </w:tr>
    </w:tbl>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4"/>
        </w:rPr>
      </w:pPr>
    </w:p>
    <w:p>
      <w:pPr>
        <w:pStyle w:val="1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sz w:val="24"/>
        </w:rPr>
      </w:pPr>
      <w:r>
        <w:rPr>
          <w:rFonts w:hint="eastAsia" w:ascii="黑体" w:hAnsi="黑体" w:eastAsia="黑体" w:cs="黑体"/>
          <w:color w:val="auto"/>
          <w:sz w:val="24"/>
        </w:rPr>
        <w:t>表</w:t>
      </w:r>
      <w:r>
        <w:rPr>
          <w:rFonts w:hint="eastAsia" w:ascii="黑体" w:hAnsi="黑体" w:eastAsia="黑体" w:cs="黑体"/>
          <w:color w:val="auto"/>
          <w:sz w:val="24"/>
          <w:lang w:val="en-US" w:eastAsia="zh-CN"/>
        </w:rPr>
        <w:t>6-5</w:t>
      </w:r>
      <w:r>
        <w:rPr>
          <w:rFonts w:hint="eastAsia" w:ascii="黑体" w:hAnsi="黑体" w:eastAsia="黑体" w:cs="黑体"/>
          <w:color w:val="auto"/>
          <w:sz w:val="24"/>
        </w:rPr>
        <w:t xml:space="preserve">  </w:t>
      </w:r>
      <w:r>
        <w:rPr>
          <w:rFonts w:hint="eastAsia" w:ascii="黑体" w:hAnsi="黑体" w:eastAsia="黑体" w:cs="黑体"/>
          <w:color w:val="auto"/>
          <w:kern w:val="0"/>
          <w:sz w:val="24"/>
          <w:lang w:bidi="ar"/>
        </w:rPr>
        <w:t>撒播草籽</w:t>
      </w:r>
      <w:r>
        <w:rPr>
          <w:rFonts w:hint="eastAsia" w:ascii="黑体" w:hAnsi="黑体" w:eastAsia="黑体" w:cs="黑体"/>
          <w:color w:val="auto"/>
          <w:sz w:val="24"/>
        </w:rPr>
        <w:t>单价分析表</w:t>
      </w:r>
    </w:p>
    <w:tbl>
      <w:tblPr>
        <w:tblStyle w:val="12"/>
        <w:tblW w:w="5000" w:type="pct"/>
        <w:jc w:val="center"/>
        <w:tblLayout w:type="autofit"/>
        <w:tblCellMar>
          <w:top w:w="0" w:type="dxa"/>
          <w:left w:w="0" w:type="dxa"/>
          <w:bottom w:w="0" w:type="dxa"/>
          <w:right w:w="0" w:type="dxa"/>
        </w:tblCellMar>
      </w:tblPr>
      <w:tblGrid>
        <w:gridCol w:w="1376"/>
        <w:gridCol w:w="1535"/>
        <w:gridCol w:w="1098"/>
        <w:gridCol w:w="1098"/>
        <w:gridCol w:w="1356"/>
        <w:gridCol w:w="1879"/>
      </w:tblGrid>
      <w:tr>
        <w:tblPrEx>
          <w:tblCellMar>
            <w:top w:w="0" w:type="dxa"/>
            <w:left w:w="0" w:type="dxa"/>
            <w:bottom w:w="0" w:type="dxa"/>
            <w:right w:w="0" w:type="dxa"/>
          </w:tblCellMar>
        </w:tblPrEx>
        <w:trPr>
          <w:trHeight w:val="227"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b/>
                <w:color w:val="auto"/>
                <w:sz w:val="21"/>
                <w:szCs w:val="21"/>
              </w:rPr>
            </w:pPr>
            <w:r>
              <w:rPr>
                <w:b/>
                <w:color w:val="auto"/>
                <w:kern w:val="0"/>
                <w:sz w:val="21"/>
                <w:szCs w:val="21"/>
                <w:lang w:bidi="ar"/>
              </w:rPr>
              <w:t xml:space="preserve">定额编号：50031                                              </w:t>
            </w:r>
            <w:r>
              <w:rPr>
                <w:rFonts w:hint="eastAsia" w:ascii="宋体" w:hAnsi="宋体" w:cs="宋体"/>
                <w:b/>
                <w:color w:val="auto"/>
                <w:kern w:val="0"/>
                <w:sz w:val="21"/>
                <w:szCs w:val="21"/>
                <w:lang w:bidi="ar"/>
              </w:rPr>
              <w:t>金额单位：元</w:t>
            </w:r>
            <w:r>
              <w:rPr>
                <w:b/>
                <w:color w:val="auto"/>
                <w:kern w:val="0"/>
                <w:sz w:val="21"/>
                <w:szCs w:val="21"/>
                <w:lang w:bidi="ar"/>
              </w:rPr>
              <w:t>/hm</w:t>
            </w:r>
            <w:r>
              <w:rPr>
                <w:b/>
                <w:color w:val="auto"/>
                <w:kern w:val="0"/>
                <w:sz w:val="21"/>
                <w:szCs w:val="21"/>
                <w:vertAlign w:val="superscript"/>
                <w:lang w:bidi="ar"/>
              </w:rPr>
              <w:t>2</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序号</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项目名称</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单位</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数量</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单价（元）</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小计</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一</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直接费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b/>
                <w:color w:val="auto"/>
                <w:sz w:val="21"/>
                <w:szCs w:val="21"/>
              </w:rPr>
            </w:pPr>
            <w:r>
              <w:rPr>
                <w:b/>
                <w:color w:val="auto"/>
                <w:kern w:val="0"/>
                <w:sz w:val="21"/>
                <w:szCs w:val="21"/>
                <w:lang w:bidi="ar"/>
              </w:rPr>
              <w:t>1532.51</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（一）</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直接工程费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1479.26</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人工费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556.76</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甲类工</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工日</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乙类工</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工日</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8.6</w:t>
            </w:r>
          </w:p>
        </w:tc>
        <w:tc>
          <w:tcPr>
            <w:tcW w:w="81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63.16</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543.18</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其他人工费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2.5</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543.18</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13.58</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材料费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922.50</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草籽</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kg</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30</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30.00</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900.00</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其他材料费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2.5</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900.00</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22.50</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机械使用费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（二）</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措施费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3.6</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1479.26</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53.25</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二</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间接费</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5</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1532.51</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76.63</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三</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利润</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1609.13</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48.27</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四</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材料价差</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75</w:t>
            </w:r>
            <w:r>
              <w:rPr>
                <w:color w:val="auto"/>
                <w:kern w:val="0"/>
                <w:sz w:val="21"/>
                <w:szCs w:val="21"/>
                <w:lang w:bidi="ar"/>
              </w:rPr>
              <w:t>0.00</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草籽</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kg</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30</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25.00</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750</w:t>
            </w:r>
            <w:r>
              <w:rPr>
                <w:color w:val="auto"/>
                <w:kern w:val="0"/>
                <w:sz w:val="21"/>
                <w:szCs w:val="21"/>
                <w:lang w:bidi="ar"/>
              </w:rPr>
              <w:t>.00</w:t>
            </w: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五</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未计价材料</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auto"/>
                <w:sz w:val="21"/>
                <w:szCs w:val="21"/>
              </w:rPr>
            </w:pPr>
          </w:p>
        </w:tc>
      </w:tr>
      <w:tr>
        <w:tblPrEx>
          <w:tblCellMar>
            <w:top w:w="0" w:type="dxa"/>
            <w:left w:w="0" w:type="dxa"/>
            <w:bottom w:w="0" w:type="dxa"/>
            <w:right w:w="0" w:type="dxa"/>
          </w:tblCellMar>
        </w:tblPrEx>
        <w:trPr>
          <w:trHeight w:val="227" w:hRule="atLeast"/>
          <w:jc w:val="center"/>
        </w:trPr>
        <w:tc>
          <w:tcPr>
            <w:tcW w:w="8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六</w:t>
            </w:r>
          </w:p>
        </w:tc>
        <w:tc>
          <w:tcPr>
            <w:tcW w:w="91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税  金</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color w:val="auto"/>
                <w:kern w:val="0"/>
                <w:sz w:val="21"/>
                <w:szCs w:val="21"/>
                <w:lang w:bidi="ar"/>
              </w:rPr>
              <w:t>3.28</w:t>
            </w: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2407.41</w:t>
            </w: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color w:val="auto"/>
                <w:sz w:val="21"/>
                <w:szCs w:val="21"/>
              </w:rPr>
            </w:pPr>
            <w:r>
              <w:rPr>
                <w:rFonts w:hint="eastAsia"/>
                <w:color w:val="auto"/>
                <w:kern w:val="0"/>
                <w:sz w:val="21"/>
                <w:szCs w:val="21"/>
                <w:lang w:bidi="ar"/>
              </w:rPr>
              <w:t>78.96</w:t>
            </w:r>
          </w:p>
        </w:tc>
      </w:tr>
      <w:tr>
        <w:tblPrEx>
          <w:tblCellMar>
            <w:top w:w="0" w:type="dxa"/>
            <w:left w:w="0" w:type="dxa"/>
            <w:bottom w:w="0" w:type="dxa"/>
            <w:right w:w="0" w:type="dxa"/>
          </w:tblCellMar>
        </w:tblPrEx>
        <w:trPr>
          <w:trHeight w:val="227" w:hRule="atLeast"/>
          <w:jc w:val="center"/>
        </w:trPr>
        <w:tc>
          <w:tcPr>
            <w:tcW w:w="1745"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b/>
                <w:bCs/>
                <w:color w:val="auto"/>
                <w:sz w:val="21"/>
                <w:szCs w:val="21"/>
              </w:rPr>
            </w:pPr>
            <w:r>
              <w:rPr>
                <w:b/>
                <w:bCs/>
                <w:color w:val="auto"/>
                <w:kern w:val="0"/>
                <w:sz w:val="21"/>
                <w:szCs w:val="21"/>
                <w:lang w:bidi="ar"/>
              </w:rPr>
              <w:t>合      计</w:t>
            </w: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p>
        </w:tc>
        <w:tc>
          <w:tcPr>
            <w:tcW w:w="6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p>
        </w:tc>
        <w:tc>
          <w:tcPr>
            <w:tcW w:w="813"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auto"/>
                <w:sz w:val="21"/>
                <w:szCs w:val="21"/>
              </w:rPr>
            </w:pPr>
          </w:p>
        </w:tc>
        <w:tc>
          <w:tcPr>
            <w:tcW w:w="112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b/>
                <w:bCs/>
                <w:color w:val="auto"/>
                <w:sz w:val="21"/>
                <w:szCs w:val="21"/>
              </w:rPr>
            </w:pPr>
            <w:r>
              <w:rPr>
                <w:rFonts w:hint="eastAsia"/>
                <w:b/>
                <w:bCs/>
                <w:color w:val="auto"/>
                <w:kern w:val="0"/>
                <w:sz w:val="21"/>
                <w:szCs w:val="21"/>
                <w:lang w:bidi="ar"/>
              </w:rPr>
              <w:t>2486.37</w:t>
            </w:r>
          </w:p>
        </w:tc>
      </w:tr>
    </w:tbl>
    <w:p>
      <w:pPr>
        <w:pStyle w:val="18"/>
        <w:rPr>
          <w:rFonts w:hint="default" w:ascii="Times New Roman" w:hAnsi="Times New Roman" w:eastAsia="宋体" w:cs="Times New Roman"/>
          <w:color w:val="auto"/>
        </w:rPr>
      </w:pPr>
    </w:p>
    <w:sectPr>
      <w:pgSz w:w="11906" w:h="16838"/>
      <w:pgMar w:top="1219" w:right="1797" w:bottom="1440" w:left="1797" w:header="851" w:footer="992"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ind w:firstLine="360"/>
      <w:rPr>
        <w:rStyle w:val="15"/>
      </w:rPr>
    </w:pPr>
    <w:r>
      <w:fldChar w:fldCharType="begin"/>
    </w:r>
    <w:r>
      <w:rPr>
        <w:rStyle w:val="15"/>
      </w:rPr>
      <w:instrText xml:space="preserve">PAGE  </w:instrText>
    </w:r>
    <w:r>
      <w:fldChar w:fldCharType="end"/>
    </w:r>
  </w:p>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1C6F7"/>
    <w:multiLevelType w:val="singleLevel"/>
    <w:tmpl w:val="0331C6F7"/>
    <w:lvl w:ilvl="0" w:tentative="0">
      <w:start w:val="1"/>
      <w:numFmt w:val="decimal"/>
      <w:suff w:val="nothing"/>
      <w:lvlText w:val="%1、"/>
      <w:lvlJc w:val="left"/>
    </w:lvl>
  </w:abstractNum>
  <w:abstractNum w:abstractNumId="1">
    <w:nsid w:val="2348E353"/>
    <w:multiLevelType w:val="singleLevel"/>
    <w:tmpl w:val="2348E353"/>
    <w:lvl w:ilvl="0" w:tentative="0">
      <w:start w:val="1"/>
      <w:numFmt w:val="chineseCounting"/>
      <w:suff w:val="nothing"/>
      <w:lvlText w:val="%1、"/>
      <w:lvlJc w:val="left"/>
      <w:rPr>
        <w:rFonts w:hint="eastAsia"/>
      </w:rPr>
    </w:lvl>
  </w:abstractNum>
  <w:abstractNum w:abstractNumId="2">
    <w:nsid w:val="77450B8C"/>
    <w:multiLevelType w:val="singleLevel"/>
    <w:tmpl w:val="77450B8C"/>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zNWU0ZGE2MWJjY2I3YTQ1NTFkNDgyODBjZWZjMzUifQ=="/>
  </w:docVars>
  <w:rsids>
    <w:rsidRoot w:val="76B43A24"/>
    <w:rsid w:val="00061648"/>
    <w:rsid w:val="001833FF"/>
    <w:rsid w:val="0027010E"/>
    <w:rsid w:val="002B4F75"/>
    <w:rsid w:val="0058630E"/>
    <w:rsid w:val="005939EC"/>
    <w:rsid w:val="006413D3"/>
    <w:rsid w:val="007A27FE"/>
    <w:rsid w:val="007B1105"/>
    <w:rsid w:val="00836AD0"/>
    <w:rsid w:val="00841584"/>
    <w:rsid w:val="00877554"/>
    <w:rsid w:val="008B2F07"/>
    <w:rsid w:val="008D30EC"/>
    <w:rsid w:val="009B052C"/>
    <w:rsid w:val="009B3364"/>
    <w:rsid w:val="009D61A4"/>
    <w:rsid w:val="00A458FC"/>
    <w:rsid w:val="00B1476D"/>
    <w:rsid w:val="00B77C37"/>
    <w:rsid w:val="00BF012D"/>
    <w:rsid w:val="00E42251"/>
    <w:rsid w:val="00FD78B7"/>
    <w:rsid w:val="00FE4651"/>
    <w:rsid w:val="01090CC4"/>
    <w:rsid w:val="011F2161"/>
    <w:rsid w:val="012805D4"/>
    <w:rsid w:val="013869A7"/>
    <w:rsid w:val="014F11B6"/>
    <w:rsid w:val="017514D1"/>
    <w:rsid w:val="018B4F60"/>
    <w:rsid w:val="01900C99"/>
    <w:rsid w:val="01D039E6"/>
    <w:rsid w:val="01DC03D8"/>
    <w:rsid w:val="01F202A0"/>
    <w:rsid w:val="01F86CD9"/>
    <w:rsid w:val="02080F80"/>
    <w:rsid w:val="021C6026"/>
    <w:rsid w:val="02244529"/>
    <w:rsid w:val="02644226"/>
    <w:rsid w:val="027C58F8"/>
    <w:rsid w:val="0300052B"/>
    <w:rsid w:val="03127926"/>
    <w:rsid w:val="03692493"/>
    <w:rsid w:val="03AB4E7B"/>
    <w:rsid w:val="03C22C90"/>
    <w:rsid w:val="03D3773A"/>
    <w:rsid w:val="03E901F6"/>
    <w:rsid w:val="042E65B2"/>
    <w:rsid w:val="044643C9"/>
    <w:rsid w:val="047C4B05"/>
    <w:rsid w:val="049432C0"/>
    <w:rsid w:val="04AE3494"/>
    <w:rsid w:val="04D7038E"/>
    <w:rsid w:val="04F954AB"/>
    <w:rsid w:val="051B396A"/>
    <w:rsid w:val="0560706F"/>
    <w:rsid w:val="05732BBE"/>
    <w:rsid w:val="05824120"/>
    <w:rsid w:val="05D63936"/>
    <w:rsid w:val="05F77D3B"/>
    <w:rsid w:val="0602639F"/>
    <w:rsid w:val="06192B76"/>
    <w:rsid w:val="065716F0"/>
    <w:rsid w:val="06597633"/>
    <w:rsid w:val="06694962"/>
    <w:rsid w:val="068E3512"/>
    <w:rsid w:val="06A96A25"/>
    <w:rsid w:val="06E47299"/>
    <w:rsid w:val="06EE2221"/>
    <w:rsid w:val="06FF5DCB"/>
    <w:rsid w:val="0737795B"/>
    <w:rsid w:val="073B3BBE"/>
    <w:rsid w:val="07907431"/>
    <w:rsid w:val="07992358"/>
    <w:rsid w:val="07C21027"/>
    <w:rsid w:val="07F02841"/>
    <w:rsid w:val="081A1F9B"/>
    <w:rsid w:val="0823263C"/>
    <w:rsid w:val="08853271"/>
    <w:rsid w:val="08A43DE9"/>
    <w:rsid w:val="08D37EB9"/>
    <w:rsid w:val="08E71CA2"/>
    <w:rsid w:val="094E3F44"/>
    <w:rsid w:val="095206C1"/>
    <w:rsid w:val="09727371"/>
    <w:rsid w:val="097F632F"/>
    <w:rsid w:val="099C21F0"/>
    <w:rsid w:val="09C9279F"/>
    <w:rsid w:val="09E23209"/>
    <w:rsid w:val="09E304E0"/>
    <w:rsid w:val="0A2B21F9"/>
    <w:rsid w:val="0A380260"/>
    <w:rsid w:val="0A55657A"/>
    <w:rsid w:val="0AA97A8C"/>
    <w:rsid w:val="0ABC6976"/>
    <w:rsid w:val="0ABD64FE"/>
    <w:rsid w:val="0AE155AE"/>
    <w:rsid w:val="0B2852DB"/>
    <w:rsid w:val="0B393E1F"/>
    <w:rsid w:val="0B7E6220"/>
    <w:rsid w:val="0B8F67A8"/>
    <w:rsid w:val="0BA8311E"/>
    <w:rsid w:val="0BC1105E"/>
    <w:rsid w:val="0BD118F3"/>
    <w:rsid w:val="0BDE2A9B"/>
    <w:rsid w:val="0C076D74"/>
    <w:rsid w:val="0C4B5C57"/>
    <w:rsid w:val="0C831895"/>
    <w:rsid w:val="0CB72AA7"/>
    <w:rsid w:val="0CF348E4"/>
    <w:rsid w:val="0D5F02F0"/>
    <w:rsid w:val="0D6035C8"/>
    <w:rsid w:val="0D807377"/>
    <w:rsid w:val="0DD92136"/>
    <w:rsid w:val="0E490CC1"/>
    <w:rsid w:val="0E4D1449"/>
    <w:rsid w:val="0E976266"/>
    <w:rsid w:val="0EC80626"/>
    <w:rsid w:val="0EC92A9C"/>
    <w:rsid w:val="0EF43AA6"/>
    <w:rsid w:val="0EF468A4"/>
    <w:rsid w:val="0EF645A0"/>
    <w:rsid w:val="0F0C1B78"/>
    <w:rsid w:val="0F0F1DD3"/>
    <w:rsid w:val="0F366EEB"/>
    <w:rsid w:val="0F455132"/>
    <w:rsid w:val="0F485DCF"/>
    <w:rsid w:val="0F8F3253"/>
    <w:rsid w:val="0FA6323C"/>
    <w:rsid w:val="1024345E"/>
    <w:rsid w:val="10503021"/>
    <w:rsid w:val="1098107D"/>
    <w:rsid w:val="10A15055"/>
    <w:rsid w:val="10AD6EE0"/>
    <w:rsid w:val="10AE2FCD"/>
    <w:rsid w:val="10B65D95"/>
    <w:rsid w:val="10FB4BD1"/>
    <w:rsid w:val="11216593"/>
    <w:rsid w:val="1144021E"/>
    <w:rsid w:val="11994B02"/>
    <w:rsid w:val="11A13006"/>
    <w:rsid w:val="11DD5CDE"/>
    <w:rsid w:val="123C49C0"/>
    <w:rsid w:val="1240528E"/>
    <w:rsid w:val="125F2966"/>
    <w:rsid w:val="12944875"/>
    <w:rsid w:val="12C0739F"/>
    <w:rsid w:val="13047AFD"/>
    <w:rsid w:val="1313421F"/>
    <w:rsid w:val="133A0304"/>
    <w:rsid w:val="13441D7E"/>
    <w:rsid w:val="13A26AA4"/>
    <w:rsid w:val="13EA6FA2"/>
    <w:rsid w:val="1405003F"/>
    <w:rsid w:val="14436DF3"/>
    <w:rsid w:val="14591210"/>
    <w:rsid w:val="1461426A"/>
    <w:rsid w:val="1464224A"/>
    <w:rsid w:val="146C301F"/>
    <w:rsid w:val="14833B35"/>
    <w:rsid w:val="148A7C64"/>
    <w:rsid w:val="148D6A3F"/>
    <w:rsid w:val="15235E88"/>
    <w:rsid w:val="152B1977"/>
    <w:rsid w:val="15315D4E"/>
    <w:rsid w:val="15691543"/>
    <w:rsid w:val="15A308B2"/>
    <w:rsid w:val="15B3045A"/>
    <w:rsid w:val="15B70E05"/>
    <w:rsid w:val="15C2325C"/>
    <w:rsid w:val="15DE7796"/>
    <w:rsid w:val="161661E2"/>
    <w:rsid w:val="164E353C"/>
    <w:rsid w:val="16AB3EC2"/>
    <w:rsid w:val="16B12969"/>
    <w:rsid w:val="16BF69AD"/>
    <w:rsid w:val="170806E1"/>
    <w:rsid w:val="17140A47"/>
    <w:rsid w:val="172F68A1"/>
    <w:rsid w:val="174A6459"/>
    <w:rsid w:val="177E56A8"/>
    <w:rsid w:val="178169D1"/>
    <w:rsid w:val="178766DD"/>
    <w:rsid w:val="179D52F6"/>
    <w:rsid w:val="17D82E9E"/>
    <w:rsid w:val="17D837BF"/>
    <w:rsid w:val="17FB3E36"/>
    <w:rsid w:val="180821E2"/>
    <w:rsid w:val="18700291"/>
    <w:rsid w:val="189C0CFF"/>
    <w:rsid w:val="18A77BD7"/>
    <w:rsid w:val="18B00B10"/>
    <w:rsid w:val="18F356AC"/>
    <w:rsid w:val="190D709A"/>
    <w:rsid w:val="193245D4"/>
    <w:rsid w:val="196601DF"/>
    <w:rsid w:val="19977B00"/>
    <w:rsid w:val="19984078"/>
    <w:rsid w:val="1A173B25"/>
    <w:rsid w:val="1A2D7EF6"/>
    <w:rsid w:val="1A31354A"/>
    <w:rsid w:val="1A7B398D"/>
    <w:rsid w:val="1AA920AA"/>
    <w:rsid w:val="1ACC4A33"/>
    <w:rsid w:val="1AD634B9"/>
    <w:rsid w:val="1B2130D2"/>
    <w:rsid w:val="1B365E91"/>
    <w:rsid w:val="1B3679F6"/>
    <w:rsid w:val="1B5C7CE6"/>
    <w:rsid w:val="1B703F7F"/>
    <w:rsid w:val="1B7B0307"/>
    <w:rsid w:val="1B8C2726"/>
    <w:rsid w:val="1BB83309"/>
    <w:rsid w:val="1BCD0437"/>
    <w:rsid w:val="1C072ECD"/>
    <w:rsid w:val="1C0767AA"/>
    <w:rsid w:val="1C092C6B"/>
    <w:rsid w:val="1C3A6030"/>
    <w:rsid w:val="1C573C67"/>
    <w:rsid w:val="1C605C48"/>
    <w:rsid w:val="1C697653"/>
    <w:rsid w:val="1C70267E"/>
    <w:rsid w:val="1C705992"/>
    <w:rsid w:val="1C902D7B"/>
    <w:rsid w:val="1CBE4993"/>
    <w:rsid w:val="1CE428CE"/>
    <w:rsid w:val="1CF163A7"/>
    <w:rsid w:val="1CF901B1"/>
    <w:rsid w:val="1D0166FB"/>
    <w:rsid w:val="1D1D108A"/>
    <w:rsid w:val="1D430549"/>
    <w:rsid w:val="1D6B04D0"/>
    <w:rsid w:val="1D7E27A9"/>
    <w:rsid w:val="1D932180"/>
    <w:rsid w:val="1DF04C29"/>
    <w:rsid w:val="1E327C89"/>
    <w:rsid w:val="1E526225"/>
    <w:rsid w:val="1EC01EA1"/>
    <w:rsid w:val="1ECE23CB"/>
    <w:rsid w:val="1EE91A2B"/>
    <w:rsid w:val="1F251AF8"/>
    <w:rsid w:val="1F443106"/>
    <w:rsid w:val="1F7A6049"/>
    <w:rsid w:val="1F8C463F"/>
    <w:rsid w:val="1FD84ACA"/>
    <w:rsid w:val="20072D51"/>
    <w:rsid w:val="200B777F"/>
    <w:rsid w:val="20117AE2"/>
    <w:rsid w:val="2045211D"/>
    <w:rsid w:val="20595A84"/>
    <w:rsid w:val="20A91768"/>
    <w:rsid w:val="20B0107A"/>
    <w:rsid w:val="20B6184F"/>
    <w:rsid w:val="20B96E62"/>
    <w:rsid w:val="20CC647C"/>
    <w:rsid w:val="20E42F42"/>
    <w:rsid w:val="217D645B"/>
    <w:rsid w:val="21A1039B"/>
    <w:rsid w:val="21BC673B"/>
    <w:rsid w:val="21C31D92"/>
    <w:rsid w:val="21C73E8B"/>
    <w:rsid w:val="21F353C2"/>
    <w:rsid w:val="22045349"/>
    <w:rsid w:val="22252D7A"/>
    <w:rsid w:val="223B1D8A"/>
    <w:rsid w:val="223F44AB"/>
    <w:rsid w:val="22470E8C"/>
    <w:rsid w:val="22A02A4B"/>
    <w:rsid w:val="22A930FB"/>
    <w:rsid w:val="23137077"/>
    <w:rsid w:val="231A340C"/>
    <w:rsid w:val="232E5EF7"/>
    <w:rsid w:val="232E7425"/>
    <w:rsid w:val="23436895"/>
    <w:rsid w:val="23541E0D"/>
    <w:rsid w:val="237D0C69"/>
    <w:rsid w:val="23817391"/>
    <w:rsid w:val="23BA1350"/>
    <w:rsid w:val="23CD191B"/>
    <w:rsid w:val="2416559B"/>
    <w:rsid w:val="242B6642"/>
    <w:rsid w:val="24703FBC"/>
    <w:rsid w:val="24854692"/>
    <w:rsid w:val="24D05714"/>
    <w:rsid w:val="24F606AC"/>
    <w:rsid w:val="250332F8"/>
    <w:rsid w:val="25110FAE"/>
    <w:rsid w:val="25253091"/>
    <w:rsid w:val="255641C8"/>
    <w:rsid w:val="257E1E5A"/>
    <w:rsid w:val="258E1084"/>
    <w:rsid w:val="25DB5129"/>
    <w:rsid w:val="25E13D10"/>
    <w:rsid w:val="25E43E8F"/>
    <w:rsid w:val="26591E4D"/>
    <w:rsid w:val="266A2E42"/>
    <w:rsid w:val="267C0631"/>
    <w:rsid w:val="269404CF"/>
    <w:rsid w:val="26997893"/>
    <w:rsid w:val="26F173F5"/>
    <w:rsid w:val="26F62EAC"/>
    <w:rsid w:val="27341DB9"/>
    <w:rsid w:val="273C1112"/>
    <w:rsid w:val="27433919"/>
    <w:rsid w:val="274F39B2"/>
    <w:rsid w:val="27A4650D"/>
    <w:rsid w:val="27AE736E"/>
    <w:rsid w:val="27BE0D0E"/>
    <w:rsid w:val="27C14D9D"/>
    <w:rsid w:val="27DF39CB"/>
    <w:rsid w:val="27F330BB"/>
    <w:rsid w:val="27FD20A3"/>
    <w:rsid w:val="280D2DF4"/>
    <w:rsid w:val="284D2379"/>
    <w:rsid w:val="28655FF3"/>
    <w:rsid w:val="286609F5"/>
    <w:rsid w:val="286B6E8F"/>
    <w:rsid w:val="28795BCE"/>
    <w:rsid w:val="287C746C"/>
    <w:rsid w:val="28A20E72"/>
    <w:rsid w:val="29323E76"/>
    <w:rsid w:val="297B5976"/>
    <w:rsid w:val="29975481"/>
    <w:rsid w:val="29DA343C"/>
    <w:rsid w:val="29E4049E"/>
    <w:rsid w:val="2A0432E4"/>
    <w:rsid w:val="2A1C0F47"/>
    <w:rsid w:val="2A1E36CF"/>
    <w:rsid w:val="2A49028B"/>
    <w:rsid w:val="2A945FAC"/>
    <w:rsid w:val="2ABE639B"/>
    <w:rsid w:val="2AD97B12"/>
    <w:rsid w:val="2B00236C"/>
    <w:rsid w:val="2B0A75CE"/>
    <w:rsid w:val="2B171EE4"/>
    <w:rsid w:val="2B1D5FAB"/>
    <w:rsid w:val="2B275DB5"/>
    <w:rsid w:val="2B2F5006"/>
    <w:rsid w:val="2B346B07"/>
    <w:rsid w:val="2B3E7E2F"/>
    <w:rsid w:val="2B522706"/>
    <w:rsid w:val="2B7D762D"/>
    <w:rsid w:val="2BE52DD3"/>
    <w:rsid w:val="2BF57B55"/>
    <w:rsid w:val="2C2E2943"/>
    <w:rsid w:val="2C370702"/>
    <w:rsid w:val="2C4B52D3"/>
    <w:rsid w:val="2C6D266B"/>
    <w:rsid w:val="2CDD6E7E"/>
    <w:rsid w:val="2CF87CD8"/>
    <w:rsid w:val="2D0232BB"/>
    <w:rsid w:val="2D045D08"/>
    <w:rsid w:val="2D2C1195"/>
    <w:rsid w:val="2D7D16B0"/>
    <w:rsid w:val="2E4A0476"/>
    <w:rsid w:val="2E562512"/>
    <w:rsid w:val="2E720974"/>
    <w:rsid w:val="2EC626DE"/>
    <w:rsid w:val="2EC658E5"/>
    <w:rsid w:val="2ED86775"/>
    <w:rsid w:val="2ED94D9A"/>
    <w:rsid w:val="2F015EEA"/>
    <w:rsid w:val="2F2B21F0"/>
    <w:rsid w:val="2F2C08FB"/>
    <w:rsid w:val="2F3D5F39"/>
    <w:rsid w:val="2F455B03"/>
    <w:rsid w:val="2F4A1DD6"/>
    <w:rsid w:val="2F5248CC"/>
    <w:rsid w:val="2F785639"/>
    <w:rsid w:val="2F8E5B95"/>
    <w:rsid w:val="2FB7058A"/>
    <w:rsid w:val="2FC3156B"/>
    <w:rsid w:val="2FEF5CA4"/>
    <w:rsid w:val="2FFA0463"/>
    <w:rsid w:val="30311F98"/>
    <w:rsid w:val="30434A1F"/>
    <w:rsid w:val="30480634"/>
    <w:rsid w:val="304948A7"/>
    <w:rsid w:val="304A30B7"/>
    <w:rsid w:val="3058256D"/>
    <w:rsid w:val="30623AAA"/>
    <w:rsid w:val="307C71A3"/>
    <w:rsid w:val="30BD577F"/>
    <w:rsid w:val="30DA6E5E"/>
    <w:rsid w:val="30FC3EAE"/>
    <w:rsid w:val="31043042"/>
    <w:rsid w:val="3165140E"/>
    <w:rsid w:val="31767CAB"/>
    <w:rsid w:val="31DB35D9"/>
    <w:rsid w:val="32095CD4"/>
    <w:rsid w:val="32754605"/>
    <w:rsid w:val="32A5347B"/>
    <w:rsid w:val="32C66783"/>
    <w:rsid w:val="32F567DB"/>
    <w:rsid w:val="334D5BF5"/>
    <w:rsid w:val="338035AE"/>
    <w:rsid w:val="33AD7074"/>
    <w:rsid w:val="33C12BB0"/>
    <w:rsid w:val="34014CC9"/>
    <w:rsid w:val="34070BAA"/>
    <w:rsid w:val="343706EB"/>
    <w:rsid w:val="344E43B3"/>
    <w:rsid w:val="347544C8"/>
    <w:rsid w:val="34A15431"/>
    <w:rsid w:val="34AD43F3"/>
    <w:rsid w:val="34BB30CA"/>
    <w:rsid w:val="34D26677"/>
    <w:rsid w:val="35076941"/>
    <w:rsid w:val="35171219"/>
    <w:rsid w:val="35512D07"/>
    <w:rsid w:val="35773CA0"/>
    <w:rsid w:val="3578047C"/>
    <w:rsid w:val="35A64C46"/>
    <w:rsid w:val="35AA59EC"/>
    <w:rsid w:val="35BF5852"/>
    <w:rsid w:val="35D501BC"/>
    <w:rsid w:val="35E93BB3"/>
    <w:rsid w:val="35EA18A9"/>
    <w:rsid w:val="360878B6"/>
    <w:rsid w:val="36174266"/>
    <w:rsid w:val="36280263"/>
    <w:rsid w:val="364B1BF6"/>
    <w:rsid w:val="36676D0F"/>
    <w:rsid w:val="3674010B"/>
    <w:rsid w:val="36752753"/>
    <w:rsid w:val="36AC20B1"/>
    <w:rsid w:val="36BA6CA8"/>
    <w:rsid w:val="36BD06E2"/>
    <w:rsid w:val="36D210AC"/>
    <w:rsid w:val="36E404B7"/>
    <w:rsid w:val="372639DF"/>
    <w:rsid w:val="3728034B"/>
    <w:rsid w:val="37376C70"/>
    <w:rsid w:val="37784A8F"/>
    <w:rsid w:val="378160BF"/>
    <w:rsid w:val="3787198A"/>
    <w:rsid w:val="37962C4A"/>
    <w:rsid w:val="37A9619D"/>
    <w:rsid w:val="37AD1C1A"/>
    <w:rsid w:val="37D053FD"/>
    <w:rsid w:val="37DC3704"/>
    <w:rsid w:val="37F57F98"/>
    <w:rsid w:val="3812321B"/>
    <w:rsid w:val="383006F3"/>
    <w:rsid w:val="383C58FF"/>
    <w:rsid w:val="38411606"/>
    <w:rsid w:val="388D1222"/>
    <w:rsid w:val="38A57571"/>
    <w:rsid w:val="38D512EF"/>
    <w:rsid w:val="38F85C43"/>
    <w:rsid w:val="39096CCB"/>
    <w:rsid w:val="390F4B13"/>
    <w:rsid w:val="39236ACE"/>
    <w:rsid w:val="392432BE"/>
    <w:rsid w:val="39393E3D"/>
    <w:rsid w:val="39470E41"/>
    <w:rsid w:val="39685A04"/>
    <w:rsid w:val="39862EF0"/>
    <w:rsid w:val="399B21F0"/>
    <w:rsid w:val="39E11CF5"/>
    <w:rsid w:val="39E97788"/>
    <w:rsid w:val="3A10210A"/>
    <w:rsid w:val="3A4C5591"/>
    <w:rsid w:val="3A662480"/>
    <w:rsid w:val="3B0752BB"/>
    <w:rsid w:val="3B0D0C60"/>
    <w:rsid w:val="3B0F15A3"/>
    <w:rsid w:val="3B1F13F5"/>
    <w:rsid w:val="3B224FC3"/>
    <w:rsid w:val="3B2C6211"/>
    <w:rsid w:val="3B431FE5"/>
    <w:rsid w:val="3B547DD5"/>
    <w:rsid w:val="3B9037DB"/>
    <w:rsid w:val="3BA16E40"/>
    <w:rsid w:val="3BB508B7"/>
    <w:rsid w:val="3BC70066"/>
    <w:rsid w:val="3C0E48A1"/>
    <w:rsid w:val="3C557C4A"/>
    <w:rsid w:val="3C742B13"/>
    <w:rsid w:val="3C864411"/>
    <w:rsid w:val="3CAC02DA"/>
    <w:rsid w:val="3CB07069"/>
    <w:rsid w:val="3CE9031B"/>
    <w:rsid w:val="3CEB1CB0"/>
    <w:rsid w:val="3D1C334C"/>
    <w:rsid w:val="3D344362"/>
    <w:rsid w:val="3D530520"/>
    <w:rsid w:val="3D9F7917"/>
    <w:rsid w:val="3DB36281"/>
    <w:rsid w:val="3DEA38F6"/>
    <w:rsid w:val="3E103F39"/>
    <w:rsid w:val="3E127422"/>
    <w:rsid w:val="3E1B741E"/>
    <w:rsid w:val="3E6E73FF"/>
    <w:rsid w:val="3E8D29A1"/>
    <w:rsid w:val="3E915C55"/>
    <w:rsid w:val="3EAA45DA"/>
    <w:rsid w:val="3ECB1868"/>
    <w:rsid w:val="3EFA671B"/>
    <w:rsid w:val="3F222D71"/>
    <w:rsid w:val="3F66629D"/>
    <w:rsid w:val="3F840733"/>
    <w:rsid w:val="3FAB0567"/>
    <w:rsid w:val="3FF90250"/>
    <w:rsid w:val="4000052B"/>
    <w:rsid w:val="401A6987"/>
    <w:rsid w:val="413C3B3A"/>
    <w:rsid w:val="414429B5"/>
    <w:rsid w:val="41696097"/>
    <w:rsid w:val="419F0B14"/>
    <w:rsid w:val="41CC6756"/>
    <w:rsid w:val="41CF5EF7"/>
    <w:rsid w:val="41DF1FBE"/>
    <w:rsid w:val="41E00E8E"/>
    <w:rsid w:val="41ED03B3"/>
    <w:rsid w:val="421F7C2D"/>
    <w:rsid w:val="42212F22"/>
    <w:rsid w:val="425B2D2D"/>
    <w:rsid w:val="427C652B"/>
    <w:rsid w:val="42953666"/>
    <w:rsid w:val="42A41642"/>
    <w:rsid w:val="42B75B58"/>
    <w:rsid w:val="42ED6E26"/>
    <w:rsid w:val="43010D0D"/>
    <w:rsid w:val="431A50EB"/>
    <w:rsid w:val="432736BC"/>
    <w:rsid w:val="43795299"/>
    <w:rsid w:val="438066F6"/>
    <w:rsid w:val="439126E1"/>
    <w:rsid w:val="43B564A2"/>
    <w:rsid w:val="43B7066A"/>
    <w:rsid w:val="43F346AB"/>
    <w:rsid w:val="43FF7A05"/>
    <w:rsid w:val="440612FC"/>
    <w:rsid w:val="442B3201"/>
    <w:rsid w:val="44620222"/>
    <w:rsid w:val="44917138"/>
    <w:rsid w:val="44987EE6"/>
    <w:rsid w:val="44AA4F4A"/>
    <w:rsid w:val="44C75EA4"/>
    <w:rsid w:val="451133D3"/>
    <w:rsid w:val="45364F05"/>
    <w:rsid w:val="4557299B"/>
    <w:rsid w:val="45576887"/>
    <w:rsid w:val="45B26485"/>
    <w:rsid w:val="45F60406"/>
    <w:rsid w:val="46125032"/>
    <w:rsid w:val="4627406A"/>
    <w:rsid w:val="46A36D38"/>
    <w:rsid w:val="46AF75EA"/>
    <w:rsid w:val="46CF37C4"/>
    <w:rsid w:val="46D52711"/>
    <w:rsid w:val="46D963FC"/>
    <w:rsid w:val="46EC347E"/>
    <w:rsid w:val="47214EDF"/>
    <w:rsid w:val="47356FBE"/>
    <w:rsid w:val="47D06A35"/>
    <w:rsid w:val="47F27463"/>
    <w:rsid w:val="47F9603C"/>
    <w:rsid w:val="482E20D9"/>
    <w:rsid w:val="48627B3C"/>
    <w:rsid w:val="48954CED"/>
    <w:rsid w:val="48BF45D4"/>
    <w:rsid w:val="48DD3AFF"/>
    <w:rsid w:val="48F567EB"/>
    <w:rsid w:val="490F67CE"/>
    <w:rsid w:val="49362C3A"/>
    <w:rsid w:val="493A5912"/>
    <w:rsid w:val="496A3433"/>
    <w:rsid w:val="497B1E39"/>
    <w:rsid w:val="49A777C0"/>
    <w:rsid w:val="49D1022B"/>
    <w:rsid w:val="4A127DB5"/>
    <w:rsid w:val="4A890CF7"/>
    <w:rsid w:val="4A9C7EDC"/>
    <w:rsid w:val="4AB524B6"/>
    <w:rsid w:val="4AB91E0F"/>
    <w:rsid w:val="4ABB3E80"/>
    <w:rsid w:val="4AC5070C"/>
    <w:rsid w:val="4B093234"/>
    <w:rsid w:val="4B0E7FA0"/>
    <w:rsid w:val="4B205FCA"/>
    <w:rsid w:val="4B2916DA"/>
    <w:rsid w:val="4B8A523F"/>
    <w:rsid w:val="4B92297F"/>
    <w:rsid w:val="4BA2306C"/>
    <w:rsid w:val="4BD878B4"/>
    <w:rsid w:val="4BED1E50"/>
    <w:rsid w:val="4C0B7C5F"/>
    <w:rsid w:val="4C356733"/>
    <w:rsid w:val="4C6664D9"/>
    <w:rsid w:val="4C8A1956"/>
    <w:rsid w:val="4C934CC8"/>
    <w:rsid w:val="4CA61A08"/>
    <w:rsid w:val="4D1D096E"/>
    <w:rsid w:val="4D3608DC"/>
    <w:rsid w:val="4DAC4351"/>
    <w:rsid w:val="4DAC4800"/>
    <w:rsid w:val="4E4935D5"/>
    <w:rsid w:val="4E5E0096"/>
    <w:rsid w:val="4E6A4B6D"/>
    <w:rsid w:val="4E934BDE"/>
    <w:rsid w:val="4EBC4D27"/>
    <w:rsid w:val="4ED3121C"/>
    <w:rsid w:val="4EDC031A"/>
    <w:rsid w:val="4EF56A8F"/>
    <w:rsid w:val="4EFC3348"/>
    <w:rsid w:val="4F0448F4"/>
    <w:rsid w:val="4F0452A1"/>
    <w:rsid w:val="4F877D4B"/>
    <w:rsid w:val="4F9F514C"/>
    <w:rsid w:val="4FA3310F"/>
    <w:rsid w:val="4FD50B66"/>
    <w:rsid w:val="4FE41EB1"/>
    <w:rsid w:val="4FE9387C"/>
    <w:rsid w:val="4FF3560C"/>
    <w:rsid w:val="500C2981"/>
    <w:rsid w:val="50174735"/>
    <w:rsid w:val="502A10FD"/>
    <w:rsid w:val="50A45238"/>
    <w:rsid w:val="50D337E9"/>
    <w:rsid w:val="510A2FB8"/>
    <w:rsid w:val="511D0E02"/>
    <w:rsid w:val="51295939"/>
    <w:rsid w:val="51725FF4"/>
    <w:rsid w:val="51846CF3"/>
    <w:rsid w:val="51940D0E"/>
    <w:rsid w:val="51BC7459"/>
    <w:rsid w:val="51F223E7"/>
    <w:rsid w:val="51F83758"/>
    <w:rsid w:val="5201783C"/>
    <w:rsid w:val="521A2EDD"/>
    <w:rsid w:val="523D61E6"/>
    <w:rsid w:val="524C59EB"/>
    <w:rsid w:val="525D6962"/>
    <w:rsid w:val="527B14DD"/>
    <w:rsid w:val="52B60CA8"/>
    <w:rsid w:val="530F186B"/>
    <w:rsid w:val="5349492B"/>
    <w:rsid w:val="53513ED7"/>
    <w:rsid w:val="537B0887"/>
    <w:rsid w:val="53810242"/>
    <w:rsid w:val="538D73D2"/>
    <w:rsid w:val="53C14D6F"/>
    <w:rsid w:val="53C74C41"/>
    <w:rsid w:val="53DB66D6"/>
    <w:rsid w:val="541F2591"/>
    <w:rsid w:val="54214814"/>
    <w:rsid w:val="545C5A07"/>
    <w:rsid w:val="546E57E8"/>
    <w:rsid w:val="547A7A7B"/>
    <w:rsid w:val="54B534BC"/>
    <w:rsid w:val="54F72CAF"/>
    <w:rsid w:val="55276463"/>
    <w:rsid w:val="55690BF5"/>
    <w:rsid w:val="557D7174"/>
    <w:rsid w:val="557E5D22"/>
    <w:rsid w:val="55830C82"/>
    <w:rsid w:val="55F70124"/>
    <w:rsid w:val="56326503"/>
    <w:rsid w:val="567B1415"/>
    <w:rsid w:val="569C1A91"/>
    <w:rsid w:val="56AF111A"/>
    <w:rsid w:val="56BA409A"/>
    <w:rsid w:val="56E22D67"/>
    <w:rsid w:val="56F049FE"/>
    <w:rsid w:val="57095C56"/>
    <w:rsid w:val="572062E1"/>
    <w:rsid w:val="57255849"/>
    <w:rsid w:val="57B8489D"/>
    <w:rsid w:val="583B3851"/>
    <w:rsid w:val="58A83976"/>
    <w:rsid w:val="58A957A1"/>
    <w:rsid w:val="58AB44A7"/>
    <w:rsid w:val="58DA7EEA"/>
    <w:rsid w:val="590F1EF4"/>
    <w:rsid w:val="59276D67"/>
    <w:rsid w:val="595F33B1"/>
    <w:rsid w:val="59A461A5"/>
    <w:rsid w:val="59CC3858"/>
    <w:rsid w:val="59E52814"/>
    <w:rsid w:val="59F00655"/>
    <w:rsid w:val="59F64778"/>
    <w:rsid w:val="5A3A375E"/>
    <w:rsid w:val="5A7F3AB5"/>
    <w:rsid w:val="5A83416A"/>
    <w:rsid w:val="5A851CC1"/>
    <w:rsid w:val="5AA4368F"/>
    <w:rsid w:val="5AE50DF3"/>
    <w:rsid w:val="5AEE56F8"/>
    <w:rsid w:val="5AF76DF4"/>
    <w:rsid w:val="5AF93B6B"/>
    <w:rsid w:val="5B1D265B"/>
    <w:rsid w:val="5B595C61"/>
    <w:rsid w:val="5B9F0644"/>
    <w:rsid w:val="5BFB52F1"/>
    <w:rsid w:val="5C4111AA"/>
    <w:rsid w:val="5C6E3228"/>
    <w:rsid w:val="5C921C6F"/>
    <w:rsid w:val="5C9F31B5"/>
    <w:rsid w:val="5CCA4EFE"/>
    <w:rsid w:val="5CDB3A5A"/>
    <w:rsid w:val="5CDD7962"/>
    <w:rsid w:val="5D074947"/>
    <w:rsid w:val="5D0B07E3"/>
    <w:rsid w:val="5D1F2877"/>
    <w:rsid w:val="5D68545F"/>
    <w:rsid w:val="5D686DA8"/>
    <w:rsid w:val="5D7E5CB2"/>
    <w:rsid w:val="5D877226"/>
    <w:rsid w:val="5D99085F"/>
    <w:rsid w:val="5DAC3CE3"/>
    <w:rsid w:val="5DB85B5A"/>
    <w:rsid w:val="5DE93139"/>
    <w:rsid w:val="5E024141"/>
    <w:rsid w:val="5E0A5AE3"/>
    <w:rsid w:val="5E434313"/>
    <w:rsid w:val="5E467CD7"/>
    <w:rsid w:val="5E7B1688"/>
    <w:rsid w:val="5E9C6077"/>
    <w:rsid w:val="5EC045F3"/>
    <w:rsid w:val="5EC07A6F"/>
    <w:rsid w:val="5EC54C25"/>
    <w:rsid w:val="5F12630B"/>
    <w:rsid w:val="5F4C6C3B"/>
    <w:rsid w:val="5F753B6F"/>
    <w:rsid w:val="5F9529FF"/>
    <w:rsid w:val="5FC436F3"/>
    <w:rsid w:val="60040EFA"/>
    <w:rsid w:val="60157323"/>
    <w:rsid w:val="603057E0"/>
    <w:rsid w:val="60413299"/>
    <w:rsid w:val="60576219"/>
    <w:rsid w:val="60B80872"/>
    <w:rsid w:val="60D24DF0"/>
    <w:rsid w:val="60D60CB8"/>
    <w:rsid w:val="61586A66"/>
    <w:rsid w:val="61594301"/>
    <w:rsid w:val="617A5F38"/>
    <w:rsid w:val="61BA2FA9"/>
    <w:rsid w:val="61F40CFF"/>
    <w:rsid w:val="61FE3933"/>
    <w:rsid w:val="623E0321"/>
    <w:rsid w:val="627143D0"/>
    <w:rsid w:val="627F18E6"/>
    <w:rsid w:val="62A12700"/>
    <w:rsid w:val="63185A08"/>
    <w:rsid w:val="63254056"/>
    <w:rsid w:val="63A96ABA"/>
    <w:rsid w:val="63B11655"/>
    <w:rsid w:val="63C94F54"/>
    <w:rsid w:val="63CD139E"/>
    <w:rsid w:val="640D71D9"/>
    <w:rsid w:val="640F5C44"/>
    <w:rsid w:val="641B6C1D"/>
    <w:rsid w:val="6435745E"/>
    <w:rsid w:val="644D7933"/>
    <w:rsid w:val="651806C7"/>
    <w:rsid w:val="655F20EB"/>
    <w:rsid w:val="659E08F0"/>
    <w:rsid w:val="65FF7451"/>
    <w:rsid w:val="6640233F"/>
    <w:rsid w:val="66637E3F"/>
    <w:rsid w:val="66664CDC"/>
    <w:rsid w:val="66886B9C"/>
    <w:rsid w:val="66976AB8"/>
    <w:rsid w:val="66A3383B"/>
    <w:rsid w:val="66B31457"/>
    <w:rsid w:val="66B72719"/>
    <w:rsid w:val="670169AD"/>
    <w:rsid w:val="67021B53"/>
    <w:rsid w:val="67456093"/>
    <w:rsid w:val="67583D78"/>
    <w:rsid w:val="67955879"/>
    <w:rsid w:val="67A10204"/>
    <w:rsid w:val="67B51A77"/>
    <w:rsid w:val="67FE7257"/>
    <w:rsid w:val="681B4309"/>
    <w:rsid w:val="684316C3"/>
    <w:rsid w:val="68532957"/>
    <w:rsid w:val="685655F3"/>
    <w:rsid w:val="685B615F"/>
    <w:rsid w:val="68770E81"/>
    <w:rsid w:val="68BC63C5"/>
    <w:rsid w:val="68BC7893"/>
    <w:rsid w:val="68DD3AE7"/>
    <w:rsid w:val="6957144F"/>
    <w:rsid w:val="6959507C"/>
    <w:rsid w:val="695C5E52"/>
    <w:rsid w:val="696A1E06"/>
    <w:rsid w:val="698308CD"/>
    <w:rsid w:val="69957ED4"/>
    <w:rsid w:val="69A708AF"/>
    <w:rsid w:val="69D0219D"/>
    <w:rsid w:val="6A114F5F"/>
    <w:rsid w:val="6A782E59"/>
    <w:rsid w:val="6A8D0A8A"/>
    <w:rsid w:val="6AA858C3"/>
    <w:rsid w:val="6AA96239"/>
    <w:rsid w:val="6AB63580"/>
    <w:rsid w:val="6B054AC4"/>
    <w:rsid w:val="6B333BB3"/>
    <w:rsid w:val="6B435B20"/>
    <w:rsid w:val="6B536CFA"/>
    <w:rsid w:val="6B562F62"/>
    <w:rsid w:val="6B785296"/>
    <w:rsid w:val="6B8C33C1"/>
    <w:rsid w:val="6BFD1A7C"/>
    <w:rsid w:val="6C036BB3"/>
    <w:rsid w:val="6C0C59DE"/>
    <w:rsid w:val="6C38559C"/>
    <w:rsid w:val="6C5E3800"/>
    <w:rsid w:val="6C637823"/>
    <w:rsid w:val="6C8040F3"/>
    <w:rsid w:val="6CFF13C7"/>
    <w:rsid w:val="6D0066D5"/>
    <w:rsid w:val="6D011335"/>
    <w:rsid w:val="6D130D6D"/>
    <w:rsid w:val="6D156C77"/>
    <w:rsid w:val="6D6759D5"/>
    <w:rsid w:val="6DCC11F4"/>
    <w:rsid w:val="6DE940EA"/>
    <w:rsid w:val="6E4A1735"/>
    <w:rsid w:val="6E786426"/>
    <w:rsid w:val="6E9F3015"/>
    <w:rsid w:val="6EAB3975"/>
    <w:rsid w:val="6EC67B69"/>
    <w:rsid w:val="6ED07197"/>
    <w:rsid w:val="6EF65E5D"/>
    <w:rsid w:val="6F2F4E01"/>
    <w:rsid w:val="6F5C4ECE"/>
    <w:rsid w:val="6F6324B5"/>
    <w:rsid w:val="6F6618A9"/>
    <w:rsid w:val="6F690801"/>
    <w:rsid w:val="6FB872BB"/>
    <w:rsid w:val="6FBB77A6"/>
    <w:rsid w:val="70010C4E"/>
    <w:rsid w:val="707F200A"/>
    <w:rsid w:val="70A248F8"/>
    <w:rsid w:val="70A66401"/>
    <w:rsid w:val="70E37655"/>
    <w:rsid w:val="71240E1C"/>
    <w:rsid w:val="713652FF"/>
    <w:rsid w:val="71473DDD"/>
    <w:rsid w:val="71935E7E"/>
    <w:rsid w:val="719C4D36"/>
    <w:rsid w:val="71CA7136"/>
    <w:rsid w:val="71F728B6"/>
    <w:rsid w:val="72263617"/>
    <w:rsid w:val="72337D19"/>
    <w:rsid w:val="72455033"/>
    <w:rsid w:val="724645C6"/>
    <w:rsid w:val="724A3704"/>
    <w:rsid w:val="72562322"/>
    <w:rsid w:val="725A2444"/>
    <w:rsid w:val="72CF696A"/>
    <w:rsid w:val="7306587D"/>
    <w:rsid w:val="730D6C0C"/>
    <w:rsid w:val="73131D48"/>
    <w:rsid w:val="73905147"/>
    <w:rsid w:val="73C03F52"/>
    <w:rsid w:val="73F66C66"/>
    <w:rsid w:val="74111B71"/>
    <w:rsid w:val="74277859"/>
    <w:rsid w:val="745D49B7"/>
    <w:rsid w:val="746622AE"/>
    <w:rsid w:val="74687E72"/>
    <w:rsid w:val="749D0501"/>
    <w:rsid w:val="74C3250F"/>
    <w:rsid w:val="74C65E93"/>
    <w:rsid w:val="74CE1173"/>
    <w:rsid w:val="74F56012"/>
    <w:rsid w:val="75090CA9"/>
    <w:rsid w:val="752A6C73"/>
    <w:rsid w:val="75442A9A"/>
    <w:rsid w:val="75635C34"/>
    <w:rsid w:val="756878A7"/>
    <w:rsid w:val="757A76E3"/>
    <w:rsid w:val="75865612"/>
    <w:rsid w:val="75A97285"/>
    <w:rsid w:val="75AF069F"/>
    <w:rsid w:val="75B907D3"/>
    <w:rsid w:val="75DA23F1"/>
    <w:rsid w:val="760A11E0"/>
    <w:rsid w:val="7623633D"/>
    <w:rsid w:val="762750DA"/>
    <w:rsid w:val="762B71EB"/>
    <w:rsid w:val="7640716A"/>
    <w:rsid w:val="766916F1"/>
    <w:rsid w:val="766F7295"/>
    <w:rsid w:val="767B680C"/>
    <w:rsid w:val="767C50CE"/>
    <w:rsid w:val="7681705B"/>
    <w:rsid w:val="76A20B9E"/>
    <w:rsid w:val="76B43A24"/>
    <w:rsid w:val="76D43F70"/>
    <w:rsid w:val="772A7571"/>
    <w:rsid w:val="77306D95"/>
    <w:rsid w:val="77770AF7"/>
    <w:rsid w:val="782468AB"/>
    <w:rsid w:val="782853E1"/>
    <w:rsid w:val="78444C68"/>
    <w:rsid w:val="7883527A"/>
    <w:rsid w:val="78886D34"/>
    <w:rsid w:val="789206AF"/>
    <w:rsid w:val="78E1757D"/>
    <w:rsid w:val="79077C59"/>
    <w:rsid w:val="791677D6"/>
    <w:rsid w:val="792D4A81"/>
    <w:rsid w:val="792E713A"/>
    <w:rsid w:val="793E2876"/>
    <w:rsid w:val="79403815"/>
    <w:rsid w:val="794A6D84"/>
    <w:rsid w:val="795D373B"/>
    <w:rsid w:val="79AC560E"/>
    <w:rsid w:val="79B24DFB"/>
    <w:rsid w:val="79E02738"/>
    <w:rsid w:val="79E2370F"/>
    <w:rsid w:val="79E86061"/>
    <w:rsid w:val="79EA7204"/>
    <w:rsid w:val="79FB56D5"/>
    <w:rsid w:val="7A06571B"/>
    <w:rsid w:val="7A34506E"/>
    <w:rsid w:val="7A540837"/>
    <w:rsid w:val="7A7374FF"/>
    <w:rsid w:val="7A933FD1"/>
    <w:rsid w:val="7ABF3750"/>
    <w:rsid w:val="7ACC355C"/>
    <w:rsid w:val="7AD241A1"/>
    <w:rsid w:val="7AE123E1"/>
    <w:rsid w:val="7AEF2C3E"/>
    <w:rsid w:val="7B451E3C"/>
    <w:rsid w:val="7B9854E0"/>
    <w:rsid w:val="7BB74E0E"/>
    <w:rsid w:val="7BC11C3E"/>
    <w:rsid w:val="7BC8735D"/>
    <w:rsid w:val="7BD55F21"/>
    <w:rsid w:val="7C33484A"/>
    <w:rsid w:val="7C530D14"/>
    <w:rsid w:val="7CA83B93"/>
    <w:rsid w:val="7CB365DB"/>
    <w:rsid w:val="7CB577F2"/>
    <w:rsid w:val="7CF02C75"/>
    <w:rsid w:val="7DA475AA"/>
    <w:rsid w:val="7DB51DD9"/>
    <w:rsid w:val="7DD26A4C"/>
    <w:rsid w:val="7DF95094"/>
    <w:rsid w:val="7DFA631C"/>
    <w:rsid w:val="7E061087"/>
    <w:rsid w:val="7E325ED8"/>
    <w:rsid w:val="7E5661BF"/>
    <w:rsid w:val="7E754829"/>
    <w:rsid w:val="7EB56E39"/>
    <w:rsid w:val="7EE336AF"/>
    <w:rsid w:val="7F197B07"/>
    <w:rsid w:val="7F2F2E35"/>
    <w:rsid w:val="7F7A2044"/>
    <w:rsid w:val="7F8223F7"/>
    <w:rsid w:val="7FBD3767"/>
    <w:rsid w:val="7FDD5BB8"/>
    <w:rsid w:val="7FF556EA"/>
    <w:rsid w:val="7FFF3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autoRedefine/>
    <w:qFormat/>
    <w:uiPriority w:val="0"/>
    <w:pPr>
      <w:keepNext/>
      <w:keepLines/>
      <w:pageBreakBefore/>
      <w:spacing w:before="156" w:beforeLines="50" w:after="156" w:afterLines="50" w:line="600" w:lineRule="exact"/>
      <w:ind w:firstLine="0" w:firstLineChars="0"/>
      <w:jc w:val="center"/>
      <w:outlineLvl w:val="0"/>
    </w:pPr>
    <w:rPr>
      <w:rFonts w:ascii="黑体" w:hAnsi="Calibri" w:eastAsia="黑体"/>
      <w:bCs/>
      <w:kern w:val="44"/>
      <w:sz w:val="32"/>
      <w:szCs w:val="44"/>
    </w:rPr>
  </w:style>
  <w:style w:type="paragraph" w:styleId="3">
    <w:name w:val="heading 2"/>
    <w:basedOn w:val="1"/>
    <w:next w:val="1"/>
    <w:autoRedefine/>
    <w:qFormat/>
    <w:uiPriority w:val="0"/>
    <w:pPr>
      <w:keepNext/>
      <w:keepLines/>
      <w:spacing w:before="156" w:beforeLines="50" w:after="156" w:afterLines="50" w:line="600" w:lineRule="exact"/>
      <w:ind w:firstLine="0" w:firstLineChars="0"/>
      <w:jc w:val="center"/>
      <w:outlineLvl w:val="1"/>
    </w:pPr>
    <w:rPr>
      <w:rFonts w:ascii="宋体" w:hAnsi="宋体"/>
      <w:b/>
      <w:bCs/>
      <w:color w:val="000000"/>
      <w:sz w:val="32"/>
      <w:szCs w:val="30"/>
    </w:rPr>
  </w:style>
  <w:style w:type="paragraph" w:styleId="4">
    <w:name w:val="heading 3"/>
    <w:basedOn w:val="1"/>
    <w:next w:val="1"/>
    <w:autoRedefine/>
    <w:qFormat/>
    <w:uiPriority w:val="1"/>
    <w:pPr>
      <w:ind w:left="1057"/>
      <w:outlineLvl w:val="3"/>
    </w:pPr>
    <w:rPr>
      <w:rFonts w:ascii="宋体" w:hAnsi="宋体" w:eastAsia="宋体" w:cs="宋体"/>
      <w:b/>
      <w:bCs/>
      <w:sz w:val="24"/>
      <w:szCs w:val="24"/>
      <w:lang w:val="zh-CN" w:eastAsia="zh-CN" w:bidi="zh-CN"/>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autoRedefine/>
    <w:unhideWhenUsed/>
    <w:qFormat/>
    <w:uiPriority w:val="0"/>
    <w:pPr>
      <w:spacing w:after="120"/>
    </w:pPr>
  </w:style>
  <w:style w:type="paragraph" w:styleId="6">
    <w:name w:val="Body Text Indent"/>
    <w:basedOn w:val="1"/>
    <w:autoRedefine/>
    <w:qFormat/>
    <w:uiPriority w:val="99"/>
    <w:pPr>
      <w:spacing w:after="120"/>
      <w:ind w:left="420" w:leftChars="200"/>
    </w:pPr>
  </w:style>
  <w:style w:type="paragraph" w:styleId="7">
    <w:name w:val="Plain Text"/>
    <w:basedOn w:val="1"/>
    <w:autoRedefine/>
    <w:unhideWhenUsed/>
    <w:qFormat/>
    <w:uiPriority w:val="0"/>
    <w:rPr>
      <w:rFonts w:ascii="宋体" w:hAnsi="Courier New"/>
      <w:sz w:val="21"/>
    </w:rPr>
  </w:style>
  <w:style w:type="paragraph" w:styleId="8">
    <w:name w:val="footer"/>
    <w:basedOn w:val="1"/>
    <w:link w:val="27"/>
    <w:autoRedefine/>
    <w:unhideWhenUsed/>
    <w:qFormat/>
    <w:uiPriority w:val="99"/>
    <w:pPr>
      <w:tabs>
        <w:tab w:val="center" w:pos="4153"/>
        <w:tab w:val="right" w:pos="8306"/>
      </w:tabs>
      <w:jc w:val="left"/>
    </w:pPr>
    <w:rPr>
      <w:rFonts w:ascii="Calibri" w:hAnsi="Calibri"/>
      <w:kern w:val="0"/>
      <w:sz w:val="18"/>
      <w:szCs w:val="18"/>
    </w:rPr>
  </w:style>
  <w:style w:type="paragraph" w:styleId="9">
    <w:name w:val="header"/>
    <w:basedOn w:val="1"/>
    <w:autoRedefine/>
    <w:unhideWhenUsed/>
    <w:qFormat/>
    <w:uiPriority w:val="0"/>
    <w:pPr>
      <w:tabs>
        <w:tab w:val="center" w:pos="4153"/>
        <w:tab w:val="right" w:pos="8306"/>
      </w:tabs>
      <w:jc w:val="center"/>
    </w:pPr>
    <w:rPr>
      <w:rFonts w:ascii="Calibri" w:hAnsi="Calibri"/>
      <w:sz w:val="18"/>
      <w:szCs w:val="18"/>
    </w:rPr>
  </w:style>
  <w:style w:type="paragraph" w:styleId="10">
    <w:name w:val="toc 1"/>
    <w:basedOn w:val="1"/>
    <w:next w:val="1"/>
    <w:autoRedefine/>
    <w:qFormat/>
    <w:uiPriority w:val="39"/>
    <w:pPr>
      <w:adjustRightInd/>
      <w:snapToGrid/>
      <w:spacing w:before="120" w:after="120" w:line="240" w:lineRule="auto"/>
      <w:ind w:firstLine="0" w:firstLineChars="0"/>
      <w:jc w:val="left"/>
    </w:pPr>
    <w:rPr>
      <w:b/>
      <w:bCs/>
      <w:caps/>
    </w:rPr>
  </w:style>
  <w:style w:type="paragraph" w:styleId="11">
    <w:name w:val="toc 2"/>
    <w:basedOn w:val="1"/>
    <w:next w:val="1"/>
    <w:autoRedefine/>
    <w:qFormat/>
    <w:uiPriority w:val="39"/>
    <w:pPr>
      <w:adjustRightInd/>
      <w:snapToGrid/>
      <w:spacing w:line="240" w:lineRule="auto"/>
      <w:ind w:left="301" w:firstLine="0" w:firstLineChars="0"/>
      <w:jc w:val="left"/>
    </w:pPr>
    <w:rPr>
      <w:smallCaps/>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autoRedefine/>
    <w:qFormat/>
    <w:uiPriority w:val="0"/>
  </w:style>
  <w:style w:type="character" w:styleId="16">
    <w:name w:val="FollowedHyperlink"/>
    <w:basedOn w:val="14"/>
    <w:autoRedefine/>
    <w:qFormat/>
    <w:uiPriority w:val="0"/>
    <w:rPr>
      <w:rFonts w:hint="eastAsia" w:ascii="微软雅黑" w:hAnsi="微软雅黑" w:eastAsia="微软雅黑" w:cs="微软雅黑"/>
      <w:color w:val="666666"/>
      <w:sz w:val="18"/>
      <w:szCs w:val="18"/>
      <w:u w:val="none"/>
    </w:rPr>
  </w:style>
  <w:style w:type="character" w:styleId="17">
    <w:name w:val="Hyperlink"/>
    <w:basedOn w:val="14"/>
    <w:autoRedefine/>
    <w:qFormat/>
    <w:uiPriority w:val="0"/>
    <w:rPr>
      <w:rFonts w:ascii="微软雅黑" w:hAnsi="微软雅黑" w:eastAsia="微软雅黑" w:cs="微软雅黑"/>
      <w:color w:val="666666"/>
      <w:sz w:val="18"/>
      <w:szCs w:val="18"/>
      <w:u w:val="none"/>
    </w:rPr>
  </w:style>
  <w:style w:type="paragraph" w:customStyle="1" w:styleId="1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_正文格式"/>
    <w:basedOn w:val="1"/>
    <w:autoRedefine/>
    <w:qFormat/>
    <w:uiPriority w:val="0"/>
    <w:pPr>
      <w:adjustRightInd/>
      <w:snapToGrid/>
      <w:spacing w:line="560" w:lineRule="exact"/>
    </w:pPr>
    <w:rPr>
      <w:rFonts w:ascii="Calibri" w:hAnsi="Calibri" w:eastAsia="仿宋_GB2312"/>
      <w:sz w:val="28"/>
      <w:szCs w:val="24"/>
    </w:rPr>
  </w:style>
  <w:style w:type="character" w:customStyle="1" w:styleId="20">
    <w:name w:val="表头 Char Char"/>
    <w:autoRedefine/>
    <w:qFormat/>
    <w:uiPriority w:val="0"/>
    <w:rPr>
      <w:rFonts w:ascii="黑体" w:hAnsi="Calibri" w:eastAsia="黑体"/>
      <w:kern w:val="0"/>
    </w:rPr>
  </w:style>
  <w:style w:type="paragraph" w:customStyle="1" w:styleId="21">
    <w:name w:val="表头"/>
    <w:basedOn w:val="1"/>
    <w:link w:val="25"/>
    <w:autoRedefine/>
    <w:qFormat/>
    <w:uiPriority w:val="0"/>
    <w:pPr>
      <w:adjustRightInd/>
      <w:snapToGrid/>
      <w:ind w:firstLine="0" w:firstLineChars="0"/>
      <w:jc w:val="center"/>
    </w:pPr>
    <w:rPr>
      <w:rFonts w:ascii="黑体" w:hAnsi="Calibri" w:eastAsia="黑体"/>
      <w:kern w:val="0"/>
    </w:rPr>
  </w:style>
  <w:style w:type="paragraph" w:customStyle="1" w:styleId="22">
    <w:name w:val="p0"/>
    <w:basedOn w:val="1"/>
    <w:autoRedefine/>
    <w:qFormat/>
    <w:uiPriority w:val="0"/>
    <w:pPr>
      <w:widowControl/>
      <w:adjustRightInd/>
      <w:snapToGrid/>
      <w:spacing w:line="240" w:lineRule="auto"/>
      <w:ind w:firstLine="0" w:firstLineChars="0"/>
    </w:pPr>
    <w:rPr>
      <w:kern w:val="0"/>
      <w:sz w:val="21"/>
      <w:szCs w:val="21"/>
    </w:rPr>
  </w:style>
  <w:style w:type="character" w:customStyle="1" w:styleId="23">
    <w:name w:val="font41"/>
    <w:autoRedefine/>
    <w:qFormat/>
    <w:uiPriority w:val="0"/>
    <w:rPr>
      <w:rFonts w:hint="eastAsia" w:ascii="宋体" w:hAnsi="宋体" w:eastAsia="宋体" w:cs="宋体"/>
      <w:color w:val="000000"/>
      <w:sz w:val="21"/>
      <w:szCs w:val="21"/>
      <w:u w:val="none"/>
    </w:rPr>
  </w:style>
  <w:style w:type="character" w:customStyle="1" w:styleId="24">
    <w:name w:val="font71"/>
    <w:autoRedefine/>
    <w:qFormat/>
    <w:uiPriority w:val="0"/>
    <w:rPr>
      <w:rFonts w:hint="eastAsia" w:ascii="Times New Roman" w:hAnsi="Times New Roman" w:cs="Times New Roman"/>
      <w:color w:val="000000"/>
      <w:sz w:val="21"/>
      <w:szCs w:val="21"/>
      <w:u w:val="none"/>
    </w:rPr>
  </w:style>
  <w:style w:type="character" w:customStyle="1" w:styleId="25">
    <w:name w:val="表头 Char"/>
    <w:link w:val="21"/>
    <w:autoRedefine/>
    <w:qFormat/>
    <w:uiPriority w:val="0"/>
    <w:rPr>
      <w:rFonts w:eastAsia="黑体"/>
      <w:sz w:val="24"/>
      <w:lang w:bidi="ar-SA"/>
    </w:rPr>
  </w:style>
  <w:style w:type="paragraph" w:styleId="26">
    <w:name w:val="List Paragraph"/>
    <w:basedOn w:val="1"/>
    <w:autoRedefine/>
    <w:qFormat/>
    <w:uiPriority w:val="0"/>
    <w:pPr>
      <w:ind w:firstLine="420"/>
    </w:pPr>
  </w:style>
  <w:style w:type="character" w:customStyle="1" w:styleId="27">
    <w:name w:val="页脚 字符"/>
    <w:basedOn w:val="14"/>
    <w:link w:val="8"/>
    <w:autoRedefine/>
    <w:qFormat/>
    <w:uiPriority w:val="99"/>
    <w:rPr>
      <w:rFonts w:ascii="Calibri" w:hAnsi="Calibri"/>
      <w:sz w:val="18"/>
      <w:szCs w:val="18"/>
    </w:rPr>
  </w:style>
  <w:style w:type="character" w:customStyle="1" w:styleId="28">
    <w:name w:val="font01"/>
    <w:basedOn w:val="14"/>
    <w:autoRedefine/>
    <w:qFormat/>
    <w:uiPriority w:val="0"/>
    <w:rPr>
      <w:rFonts w:hint="default" w:ascii="Times New Roman" w:hAnsi="Times New Roman" w:cs="Times New Roman"/>
      <w:color w:val="000000"/>
      <w:sz w:val="20"/>
      <w:szCs w:val="20"/>
      <w:u w:val="none"/>
    </w:rPr>
  </w:style>
  <w:style w:type="character" w:customStyle="1" w:styleId="29">
    <w:name w:val="font31"/>
    <w:basedOn w:val="14"/>
    <w:autoRedefine/>
    <w:qFormat/>
    <w:uiPriority w:val="0"/>
    <w:rPr>
      <w:rFonts w:hint="default" w:ascii="Times New Roman" w:hAnsi="Times New Roman" w:cs="Times New Roman"/>
      <w:color w:val="000000"/>
      <w:sz w:val="21"/>
      <w:szCs w:val="21"/>
      <w:u w:val="none"/>
      <w:vertAlign w:val="superscript"/>
    </w:rPr>
  </w:style>
  <w:style w:type="character" w:customStyle="1" w:styleId="30">
    <w:name w:val="font11"/>
    <w:basedOn w:val="14"/>
    <w:autoRedefine/>
    <w:qFormat/>
    <w:uiPriority w:val="0"/>
    <w:rPr>
      <w:rFonts w:hint="default" w:ascii="Times New Roman" w:hAnsi="Times New Roman" w:cs="Times New Roman"/>
      <w:color w:val="000000"/>
      <w:sz w:val="21"/>
      <w:szCs w:val="21"/>
      <w:u w:val="none"/>
    </w:rPr>
  </w:style>
  <w:style w:type="character" w:customStyle="1" w:styleId="31">
    <w:name w:val="font21"/>
    <w:basedOn w:val="14"/>
    <w:autoRedefine/>
    <w:qFormat/>
    <w:uiPriority w:val="0"/>
    <w:rPr>
      <w:rFonts w:hint="default" w:ascii="Times New Roman" w:hAnsi="Times New Roman" w:cs="Times New Roman"/>
      <w:color w:val="000000"/>
      <w:sz w:val="21"/>
      <w:szCs w:val="21"/>
      <w:u w:val="none"/>
    </w:rPr>
  </w:style>
  <w:style w:type="character" w:customStyle="1" w:styleId="32">
    <w:name w:val="font51"/>
    <w:basedOn w:val="14"/>
    <w:autoRedefine/>
    <w:qFormat/>
    <w:uiPriority w:val="0"/>
    <w:rPr>
      <w:rFonts w:hint="eastAsia" w:ascii="宋体" w:hAnsi="宋体" w:eastAsia="宋体" w:cs="宋体"/>
      <w:b/>
      <w:color w:val="000000"/>
      <w:sz w:val="21"/>
      <w:szCs w:val="21"/>
      <w:u w:val="none"/>
    </w:rPr>
  </w:style>
  <w:style w:type="paragraph" w:customStyle="1" w:styleId="33">
    <w:name w:val="Table Paragraph"/>
    <w:basedOn w:val="1"/>
    <w:autoRedefine/>
    <w:qFormat/>
    <w:uiPriority w:val="1"/>
    <w:pPr>
      <w:jc w:val="center"/>
    </w:pPr>
    <w:rPr>
      <w:rFonts w:ascii="宋体" w:hAnsi="宋体" w:eastAsia="宋体" w:cs="宋体"/>
      <w:lang w:val="zh-CN" w:eastAsia="zh-CN" w:bidi="zh-CN"/>
    </w:rPr>
  </w:style>
  <w:style w:type="character" w:customStyle="1" w:styleId="34">
    <w:name w:val="font81"/>
    <w:basedOn w:val="14"/>
    <w:autoRedefine/>
    <w:qFormat/>
    <w:uiPriority w:val="0"/>
    <w:rPr>
      <w:rFonts w:hint="default" w:ascii="Times New Roman" w:hAnsi="Times New Roman" w:cs="Times New Roman"/>
      <w:color w:val="0000FF"/>
      <w:sz w:val="21"/>
      <w:szCs w:val="21"/>
      <w:u w:val="none"/>
      <w:vertAlign w:val="superscript"/>
    </w:rPr>
  </w:style>
  <w:style w:type="paragraph" w:customStyle="1" w:styleId="35">
    <w:name w:val="ParaAttribute24"/>
    <w:autoRedefine/>
    <w:qFormat/>
    <w:uiPriority w:val="0"/>
    <w:pPr>
      <w:widowControl w:val="0"/>
      <w:wordWrap w:val="0"/>
      <w:spacing w:line="269" w:lineRule="exact"/>
      <w:ind w:left="0"/>
      <w:jc w:val="left"/>
    </w:pPr>
    <w:rPr>
      <w:rFonts w:ascii="Times New Roman" w:hAnsi="Times New Roman" w:eastAsia="宋体" w:cs="Times New Roman"/>
    </w:rPr>
  </w:style>
  <w:style w:type="character" w:customStyle="1" w:styleId="36">
    <w:name w:val="CharAttribute14"/>
    <w:autoRedefine/>
    <w:qFormat/>
    <w:uiPriority w:val="0"/>
    <w:rPr>
      <w:rFonts w:ascii="Times New Roman" w:hAnsi="Times New Roman" w:eastAsia="Times New Roman"/>
      <w:sz w:val="24"/>
    </w:rPr>
  </w:style>
  <w:style w:type="character" w:customStyle="1" w:styleId="37">
    <w:name w:val="CharAttribute12"/>
    <w:autoRedefine/>
    <w:qFormat/>
    <w:uiPriority w:val="0"/>
    <w:rPr>
      <w:rFonts w:ascii="Times New Roman" w:hAnsi="Times New Roman" w:eastAsia="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D0012-4780-4DA1-BEF1-101651F367FE}">
  <ds:schemaRefs/>
</ds:datastoreItem>
</file>

<file path=docProps/app.xml><?xml version="1.0" encoding="utf-8"?>
<Properties xmlns="http://schemas.openxmlformats.org/officeDocument/2006/extended-properties" xmlns:vt="http://schemas.openxmlformats.org/officeDocument/2006/docPropsVTypes">
  <Template>Normal</Template>
  <Pages>34</Pages>
  <Words>9855</Words>
  <Characters>12525</Characters>
  <Lines>254</Lines>
  <Paragraphs>71</Paragraphs>
  <TotalTime>0</TotalTime>
  <ScaleCrop>false</ScaleCrop>
  <LinksUpToDate>false</LinksUpToDate>
  <CharactersWithSpaces>13007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2020-03-31T08:54:00Z</dcterms:created>
  <dc:creator>Administrator</dc:creator>
  <cp:lastModifiedBy>RedKui</cp:lastModifiedBy>
  <dcterms:modified xsi:type="dcterms:W3CDTF">2024-04-10T01:14:37Z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85F3551F8B3847BAA7103EDB58080BE9_13</vt:lpwstr>
  </property>
</Properties>
</file>