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default" w:ascii="Times New Roman" w:hAnsi="Times New Roman" w:eastAsia="黑体" w:cs="Times New Roman"/>
          <w:highlight w:val="none"/>
        </w:rPr>
      </w:pPr>
    </w:p>
    <w:p>
      <w:pPr>
        <w:pStyle w:val="2"/>
        <w:spacing w:line="360" w:lineRule="auto"/>
        <w:rPr>
          <w:rFonts w:hint="default" w:ascii="Times New Roman" w:hAnsi="Times New Roman" w:cs="Times New Roman"/>
          <w:color w:val="auto"/>
          <w:highlight w:val="none"/>
        </w:rPr>
      </w:pPr>
    </w:p>
    <w:p>
      <w:pPr>
        <w:pStyle w:val="2"/>
        <w:spacing w:line="360" w:lineRule="auto"/>
        <w:rPr>
          <w:rFonts w:hint="default" w:ascii="Times New Roman" w:hAnsi="Times New Roman" w:cs="Times New Roman"/>
          <w:color w:val="auto"/>
          <w:highlight w:val="none"/>
        </w:rPr>
      </w:pPr>
    </w:p>
    <w:p>
      <w:pPr>
        <w:ind w:firstLine="0" w:firstLineChars="0"/>
        <w:jc w:val="center"/>
        <w:rPr>
          <w:rFonts w:hint="default" w:ascii="Times New Roman" w:hAnsi="Times New Roman" w:eastAsia="黑体" w:cs="Times New Roman"/>
          <w:b/>
          <w:bCs/>
          <w:w w:val="85"/>
          <w:sz w:val="48"/>
          <w:szCs w:val="48"/>
          <w:highlight w:val="none"/>
          <w:lang w:eastAsia="zh-CN"/>
        </w:rPr>
      </w:pPr>
      <w:r>
        <w:rPr>
          <w:rFonts w:hint="default" w:ascii="Times New Roman" w:hAnsi="Times New Roman" w:eastAsia="黑体" w:cs="Times New Roman"/>
          <w:b/>
          <w:bCs/>
          <w:w w:val="85"/>
          <w:sz w:val="48"/>
          <w:szCs w:val="48"/>
          <w:highlight w:val="none"/>
          <w:lang w:eastAsia="zh-CN"/>
        </w:rPr>
        <w:t>宁城县生鑫矿业有限公司七家矿区铁矿</w:t>
      </w:r>
    </w:p>
    <w:p>
      <w:pPr>
        <w:ind w:firstLine="0" w:firstLineChars="0"/>
        <w:jc w:val="center"/>
        <w:rPr>
          <w:rFonts w:hint="default" w:ascii="Times New Roman" w:hAnsi="Times New Roman" w:eastAsia="黑体" w:cs="Times New Roman"/>
          <w:b/>
          <w:bCs/>
          <w:sz w:val="48"/>
          <w:szCs w:val="48"/>
          <w:highlight w:val="none"/>
        </w:rPr>
      </w:pPr>
      <w:r>
        <w:rPr>
          <w:rFonts w:hint="default" w:ascii="Times New Roman" w:hAnsi="Times New Roman" w:eastAsia="黑体" w:cs="Times New Roman"/>
          <w:b/>
          <w:bCs/>
          <w:w w:val="85"/>
          <w:sz w:val="48"/>
          <w:szCs w:val="48"/>
          <w:highlight w:val="none"/>
        </w:rPr>
        <w:t>202</w:t>
      </w:r>
      <w:r>
        <w:rPr>
          <w:rFonts w:hint="default" w:ascii="Times New Roman" w:hAnsi="Times New Roman" w:eastAsia="黑体" w:cs="Times New Roman"/>
          <w:b/>
          <w:bCs/>
          <w:w w:val="85"/>
          <w:sz w:val="48"/>
          <w:szCs w:val="48"/>
          <w:highlight w:val="none"/>
          <w:lang w:val="en-US" w:eastAsia="zh-CN"/>
        </w:rPr>
        <w:t>4</w:t>
      </w:r>
      <w:r>
        <w:rPr>
          <w:rFonts w:hint="default" w:ascii="Times New Roman" w:hAnsi="Times New Roman" w:eastAsia="黑体" w:cs="Times New Roman"/>
          <w:b/>
          <w:bCs/>
          <w:w w:val="85"/>
          <w:sz w:val="48"/>
          <w:szCs w:val="48"/>
          <w:highlight w:val="none"/>
        </w:rPr>
        <w:t>年度矿山地质环境治理计划书</w:t>
      </w:r>
    </w:p>
    <w:p>
      <w:pPr>
        <w:ind w:firstLine="0" w:firstLineChars="0"/>
        <w:jc w:val="center"/>
        <w:rPr>
          <w:rFonts w:hint="default" w:ascii="Times New Roman" w:hAnsi="Times New Roman" w:cs="Times New Roman"/>
          <w:b/>
          <w:sz w:val="36"/>
          <w:szCs w:val="36"/>
          <w:highlight w:val="none"/>
        </w:rPr>
      </w:pPr>
    </w:p>
    <w:p>
      <w:pPr>
        <w:ind w:firstLine="0" w:firstLineChars="0"/>
        <w:jc w:val="center"/>
        <w:rPr>
          <w:rFonts w:hint="default" w:ascii="Times New Roman" w:hAnsi="Times New Roman" w:cs="Times New Roman"/>
          <w:b/>
          <w:sz w:val="36"/>
          <w:szCs w:val="36"/>
          <w:highlight w:val="none"/>
        </w:rPr>
      </w:pPr>
    </w:p>
    <w:p>
      <w:pPr>
        <w:ind w:firstLine="0" w:firstLineChars="0"/>
        <w:jc w:val="center"/>
        <w:rPr>
          <w:rFonts w:hint="default" w:ascii="Times New Roman" w:hAnsi="Times New Roman" w:cs="Times New Roman"/>
          <w:b/>
          <w:sz w:val="36"/>
          <w:szCs w:val="36"/>
          <w:highlight w:val="none"/>
        </w:rPr>
      </w:pPr>
    </w:p>
    <w:p>
      <w:pPr>
        <w:ind w:firstLine="0" w:firstLineChars="0"/>
        <w:jc w:val="center"/>
        <w:rPr>
          <w:rFonts w:hint="default" w:ascii="Times New Roman" w:hAnsi="Times New Roman" w:cs="Times New Roman"/>
          <w:sz w:val="28"/>
          <w:highlight w:val="none"/>
        </w:rPr>
      </w:pPr>
    </w:p>
    <w:p>
      <w:pPr>
        <w:ind w:firstLine="0" w:firstLineChars="0"/>
        <w:jc w:val="center"/>
        <w:rPr>
          <w:rFonts w:hint="default" w:ascii="Times New Roman" w:hAnsi="Times New Roman" w:cs="Times New Roman"/>
          <w:sz w:val="28"/>
          <w:highlight w:val="none"/>
        </w:rPr>
      </w:pPr>
    </w:p>
    <w:p>
      <w:pPr>
        <w:ind w:firstLine="0" w:firstLineChars="0"/>
        <w:jc w:val="center"/>
        <w:rPr>
          <w:rFonts w:hint="default" w:ascii="Times New Roman" w:hAnsi="Times New Roman" w:cs="Times New Roman"/>
          <w:sz w:val="28"/>
          <w:highlight w:val="none"/>
        </w:rPr>
      </w:pPr>
    </w:p>
    <w:p>
      <w:pPr>
        <w:ind w:firstLine="0" w:firstLineChars="0"/>
        <w:jc w:val="center"/>
        <w:rPr>
          <w:rFonts w:hint="default" w:ascii="Times New Roman" w:hAnsi="Times New Roman" w:cs="Times New Roman"/>
          <w:sz w:val="28"/>
          <w:highlight w:val="none"/>
        </w:rPr>
      </w:pPr>
    </w:p>
    <w:p>
      <w:pPr>
        <w:ind w:firstLine="0" w:firstLineChars="0"/>
        <w:jc w:val="center"/>
        <w:rPr>
          <w:rFonts w:hint="default" w:ascii="Times New Roman" w:hAnsi="Times New Roman" w:cs="Times New Roman"/>
          <w:sz w:val="28"/>
          <w:highlight w:val="none"/>
        </w:rPr>
      </w:pPr>
    </w:p>
    <w:p>
      <w:pPr>
        <w:ind w:firstLine="0" w:firstLineChars="0"/>
        <w:jc w:val="center"/>
        <w:rPr>
          <w:rFonts w:hint="default" w:ascii="Times New Roman" w:hAnsi="Times New Roman" w:cs="Times New Roman"/>
          <w:sz w:val="28"/>
          <w:highlight w:val="none"/>
        </w:rPr>
      </w:pPr>
    </w:p>
    <w:p>
      <w:pPr>
        <w:ind w:firstLine="0" w:firstLineChars="0"/>
        <w:jc w:val="center"/>
        <w:rPr>
          <w:rFonts w:hint="default" w:ascii="Times New Roman" w:hAnsi="Times New Roman" w:cs="Times New Roman"/>
          <w:sz w:val="28"/>
          <w:highlight w:val="none"/>
        </w:rPr>
      </w:pPr>
    </w:p>
    <w:p>
      <w:pPr>
        <w:ind w:firstLine="0" w:firstLineChars="0"/>
        <w:rPr>
          <w:rFonts w:hint="default" w:ascii="Times New Roman" w:hAnsi="Times New Roman" w:cs="Times New Roman"/>
          <w:sz w:val="28"/>
          <w:highlight w:val="none"/>
        </w:rPr>
      </w:pPr>
    </w:p>
    <w:p>
      <w:pPr>
        <w:ind w:firstLine="0" w:firstLineChars="0"/>
        <w:jc w:val="center"/>
        <w:rPr>
          <w:rFonts w:hint="default" w:ascii="Times New Roman" w:hAnsi="Times New Roman" w:cs="Times New Roman"/>
          <w:sz w:val="28"/>
          <w:highlight w:val="none"/>
        </w:rPr>
      </w:pPr>
    </w:p>
    <w:p>
      <w:pPr>
        <w:pStyle w:val="2"/>
        <w:spacing w:line="360" w:lineRule="auto"/>
        <w:rPr>
          <w:rFonts w:hint="default" w:ascii="Times New Roman" w:hAnsi="Times New Roman" w:cs="Times New Roman"/>
          <w:color w:val="auto"/>
          <w:sz w:val="28"/>
          <w:highlight w:val="none"/>
        </w:rPr>
      </w:pPr>
    </w:p>
    <w:p>
      <w:pPr>
        <w:pStyle w:val="2"/>
        <w:spacing w:line="360" w:lineRule="auto"/>
        <w:rPr>
          <w:rFonts w:hint="default" w:ascii="Times New Roman" w:hAnsi="Times New Roman" w:cs="Times New Roman"/>
          <w:color w:val="auto"/>
          <w:sz w:val="28"/>
          <w:highlight w:val="none"/>
        </w:rPr>
      </w:pPr>
    </w:p>
    <w:p>
      <w:pPr>
        <w:pStyle w:val="2"/>
        <w:spacing w:line="360" w:lineRule="auto"/>
        <w:rPr>
          <w:rFonts w:hint="default" w:ascii="Times New Roman" w:hAnsi="Times New Roman" w:cs="Times New Roman"/>
          <w:color w:val="auto"/>
          <w:sz w:val="28"/>
          <w:highlight w:val="none"/>
        </w:rPr>
      </w:pPr>
    </w:p>
    <w:p>
      <w:pPr>
        <w:ind w:firstLine="0" w:firstLineChars="0"/>
        <w:jc w:val="center"/>
        <w:rPr>
          <w:rFonts w:hint="default" w:ascii="Times New Roman" w:hAnsi="Times New Roman" w:eastAsia="黑体" w:cs="Times New Roman"/>
          <w:spacing w:val="20"/>
          <w:sz w:val="30"/>
          <w:szCs w:val="30"/>
          <w:highlight w:val="none"/>
          <w:lang w:eastAsia="zh-CN"/>
        </w:rPr>
      </w:pPr>
      <w:r>
        <w:rPr>
          <w:rFonts w:hint="default" w:ascii="Times New Roman" w:hAnsi="Times New Roman" w:eastAsia="黑体" w:cs="Times New Roman"/>
          <w:spacing w:val="20"/>
          <w:sz w:val="30"/>
          <w:szCs w:val="30"/>
          <w:highlight w:val="none"/>
          <w:lang w:eastAsia="zh-CN"/>
        </w:rPr>
        <w:t>宁城县生鑫矿业有限公司</w:t>
      </w:r>
    </w:p>
    <w:p>
      <w:pPr>
        <w:ind w:firstLine="0" w:firstLineChars="0"/>
        <w:jc w:val="center"/>
        <w:rPr>
          <w:rFonts w:hint="default" w:ascii="Times New Roman" w:hAnsi="Times New Roman" w:eastAsia="黑体" w:cs="Times New Roman"/>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黑体" w:cs="Times New Roman"/>
          <w:spacing w:val="20"/>
          <w:sz w:val="30"/>
          <w:szCs w:val="30"/>
          <w:highlight w:val="none"/>
        </w:rPr>
        <w:t>二〇二</w:t>
      </w:r>
      <w:r>
        <w:rPr>
          <w:rFonts w:hint="default" w:ascii="Times New Roman" w:hAnsi="Times New Roman" w:eastAsia="黑体" w:cs="Times New Roman"/>
          <w:spacing w:val="20"/>
          <w:sz w:val="30"/>
          <w:szCs w:val="30"/>
          <w:highlight w:val="none"/>
          <w:lang w:val="en-US" w:eastAsia="zh-CN"/>
        </w:rPr>
        <w:t>四</w:t>
      </w:r>
      <w:r>
        <w:rPr>
          <w:rFonts w:hint="default" w:ascii="Times New Roman" w:hAnsi="Times New Roman" w:eastAsia="黑体" w:cs="Times New Roman"/>
          <w:spacing w:val="20"/>
          <w:sz w:val="30"/>
          <w:szCs w:val="30"/>
          <w:highlight w:val="none"/>
        </w:rPr>
        <w:t>年</w:t>
      </w:r>
      <w:r>
        <w:rPr>
          <w:rFonts w:hint="default" w:ascii="Times New Roman" w:hAnsi="Times New Roman" w:eastAsia="黑体" w:cs="Times New Roman"/>
          <w:spacing w:val="20"/>
          <w:sz w:val="30"/>
          <w:szCs w:val="30"/>
          <w:highlight w:val="none"/>
          <w:lang w:val="en-US" w:eastAsia="zh-CN"/>
        </w:rPr>
        <w:t>三</w:t>
      </w:r>
      <w:r>
        <w:rPr>
          <w:rFonts w:hint="default" w:ascii="Times New Roman" w:hAnsi="Times New Roman" w:eastAsia="黑体" w:cs="Times New Roman"/>
          <w:spacing w:val="20"/>
          <w:sz w:val="30"/>
          <w:szCs w:val="30"/>
          <w:highlight w:val="none"/>
        </w:rPr>
        <w:t>月</w:t>
      </w:r>
    </w:p>
    <w:p>
      <w:pPr>
        <w:widowControl/>
        <w:topLinePunct/>
        <w:adjustRightInd/>
        <w:snapToGrid/>
        <w:spacing w:line="800" w:lineRule="exact"/>
        <w:ind w:firstLine="0" w:firstLineChars="0"/>
        <w:jc w:val="center"/>
        <w:rPr>
          <w:rFonts w:hint="default" w:ascii="Times New Roman" w:hAnsi="Times New Roman" w:cs="Times New Roman"/>
          <w:b/>
          <w:w w:val="93"/>
          <w:kern w:val="0"/>
          <w:sz w:val="32"/>
          <w:szCs w:val="32"/>
          <w:highlight w:val="yellow"/>
        </w:rPr>
      </w:pPr>
    </w:p>
    <w:p>
      <w:pPr>
        <w:widowControl/>
        <w:topLinePunct/>
        <w:adjustRightInd/>
        <w:snapToGrid/>
        <w:spacing w:line="800" w:lineRule="exact"/>
        <w:ind w:firstLine="0" w:firstLineChars="0"/>
        <w:jc w:val="center"/>
        <w:rPr>
          <w:rFonts w:hint="default" w:ascii="Times New Roman" w:hAnsi="Times New Roman" w:cs="Times New Roman"/>
          <w:b/>
          <w:w w:val="93"/>
          <w:kern w:val="0"/>
          <w:sz w:val="36"/>
          <w:szCs w:val="36"/>
          <w:highlight w:val="yellow"/>
          <w:lang w:eastAsia="zh-CN"/>
        </w:rPr>
      </w:pPr>
      <w:r>
        <w:rPr>
          <w:rFonts w:hint="default" w:ascii="Times New Roman" w:hAnsi="Times New Roman" w:cs="Times New Roman"/>
          <w:b/>
          <w:w w:val="93"/>
          <w:kern w:val="0"/>
          <w:sz w:val="36"/>
          <w:szCs w:val="36"/>
          <w:highlight w:val="yellow"/>
          <w:lang w:eastAsia="zh-CN"/>
        </w:rPr>
        <w:t>宁城县生鑫矿业有限公司七家矿区铁矿</w:t>
      </w:r>
    </w:p>
    <w:p>
      <w:pPr>
        <w:widowControl/>
        <w:topLinePunct/>
        <w:adjustRightInd/>
        <w:snapToGrid/>
        <w:spacing w:line="800" w:lineRule="exact"/>
        <w:ind w:firstLine="0" w:firstLineChars="0"/>
        <w:jc w:val="center"/>
        <w:rPr>
          <w:rFonts w:hint="default" w:ascii="Times New Roman" w:hAnsi="Times New Roman" w:cs="Times New Roman"/>
          <w:b/>
          <w:kern w:val="0"/>
          <w:sz w:val="36"/>
          <w:szCs w:val="36"/>
          <w:highlight w:val="yellow"/>
        </w:rPr>
      </w:pPr>
      <w:r>
        <w:rPr>
          <w:rFonts w:hint="default" w:ascii="Times New Roman" w:hAnsi="Times New Roman" w:cs="Times New Roman"/>
          <w:b/>
          <w:w w:val="93"/>
          <w:kern w:val="0"/>
          <w:sz w:val="36"/>
          <w:szCs w:val="36"/>
          <w:highlight w:val="yellow"/>
        </w:rPr>
        <w:t>202</w:t>
      </w:r>
      <w:r>
        <w:rPr>
          <w:rFonts w:hint="default" w:ascii="Times New Roman" w:hAnsi="Times New Roman" w:cs="Times New Roman"/>
          <w:b/>
          <w:w w:val="93"/>
          <w:kern w:val="0"/>
          <w:sz w:val="36"/>
          <w:szCs w:val="36"/>
          <w:highlight w:val="yellow"/>
          <w:lang w:val="en-US" w:eastAsia="zh-CN"/>
        </w:rPr>
        <w:t>4</w:t>
      </w:r>
      <w:r>
        <w:rPr>
          <w:rFonts w:hint="default" w:ascii="Times New Roman" w:hAnsi="Times New Roman" w:cs="Times New Roman"/>
          <w:b/>
          <w:w w:val="93"/>
          <w:kern w:val="0"/>
          <w:sz w:val="36"/>
          <w:szCs w:val="36"/>
          <w:highlight w:val="yellow"/>
        </w:rPr>
        <w:t>年度</w:t>
      </w:r>
      <w:r>
        <w:rPr>
          <w:rFonts w:hint="default" w:ascii="Times New Roman" w:hAnsi="Times New Roman" w:cs="Times New Roman"/>
          <w:b/>
          <w:sz w:val="36"/>
          <w:szCs w:val="36"/>
          <w:highlight w:val="yellow"/>
        </w:rPr>
        <w:t>矿山地质环境治理计划书</w:t>
      </w:r>
    </w:p>
    <w:p>
      <w:pPr>
        <w:spacing w:line="800" w:lineRule="exact"/>
        <w:ind w:firstLine="0" w:firstLineChars="0"/>
        <w:rPr>
          <w:rFonts w:hint="default" w:ascii="Times New Roman" w:hAnsi="Times New Roman" w:eastAsia="仿宋_GB2312" w:cs="Times New Roman"/>
          <w:b/>
          <w:sz w:val="32"/>
          <w:highlight w:val="yellow"/>
        </w:rPr>
      </w:pPr>
    </w:p>
    <w:p>
      <w:pPr>
        <w:spacing w:line="700" w:lineRule="exact"/>
        <w:ind w:firstLine="675" w:firstLineChars="210"/>
        <w:rPr>
          <w:rFonts w:hint="default" w:ascii="Times New Roman" w:hAnsi="Times New Roman" w:cs="Times New Roman"/>
          <w:b/>
          <w:sz w:val="32"/>
          <w:highlight w:val="yellow"/>
        </w:rPr>
      </w:pPr>
    </w:p>
    <w:p>
      <w:pPr>
        <w:spacing w:line="700" w:lineRule="exact"/>
        <w:ind w:firstLine="675" w:firstLineChars="210"/>
        <w:rPr>
          <w:rFonts w:hint="default" w:ascii="Times New Roman" w:hAnsi="Times New Roman" w:cs="Times New Roman"/>
          <w:b/>
          <w:sz w:val="32"/>
          <w:highlight w:val="yellow"/>
        </w:rPr>
      </w:pPr>
    </w:p>
    <w:p>
      <w:pPr>
        <w:spacing w:line="700" w:lineRule="exact"/>
        <w:ind w:firstLine="675" w:firstLineChars="210"/>
        <w:rPr>
          <w:rFonts w:hint="default" w:ascii="Times New Roman" w:hAnsi="Times New Roman" w:cs="Times New Roman"/>
          <w:b/>
          <w:sz w:val="32"/>
          <w:highlight w:val="yellow"/>
        </w:rPr>
      </w:pPr>
    </w:p>
    <w:p>
      <w:pPr>
        <w:spacing w:line="700" w:lineRule="exact"/>
        <w:ind w:firstLine="675" w:firstLineChars="210"/>
        <w:rPr>
          <w:rFonts w:hint="default" w:ascii="Times New Roman" w:hAnsi="Times New Roman" w:cs="Times New Roman"/>
          <w:b/>
          <w:sz w:val="32"/>
          <w:highlight w:val="yellow"/>
        </w:rPr>
      </w:pPr>
    </w:p>
    <w:p>
      <w:pPr>
        <w:spacing w:line="700" w:lineRule="exact"/>
        <w:ind w:firstLine="675" w:firstLineChars="210"/>
        <w:rPr>
          <w:rFonts w:hint="default" w:ascii="Times New Roman" w:hAnsi="Times New Roman" w:cs="Times New Roman"/>
          <w:b/>
          <w:sz w:val="32"/>
          <w:highlight w:val="yellow"/>
        </w:rPr>
      </w:pPr>
    </w:p>
    <w:p>
      <w:pPr>
        <w:spacing w:line="700" w:lineRule="exact"/>
        <w:ind w:firstLine="675" w:firstLineChars="210"/>
        <w:rPr>
          <w:rFonts w:hint="default" w:ascii="Times New Roman" w:hAnsi="Times New Roman" w:cs="Times New Roman"/>
          <w:b/>
          <w:sz w:val="32"/>
          <w:highlight w:val="yellow"/>
        </w:rPr>
      </w:pPr>
    </w:p>
    <w:p>
      <w:pPr>
        <w:spacing w:line="700" w:lineRule="exact"/>
        <w:ind w:firstLine="675" w:firstLineChars="210"/>
        <w:rPr>
          <w:rFonts w:hint="default" w:ascii="Times New Roman" w:hAnsi="Times New Roman" w:cs="Times New Roman"/>
          <w:b/>
          <w:sz w:val="32"/>
          <w:highlight w:val="yellow"/>
        </w:rPr>
      </w:pPr>
    </w:p>
    <w:p>
      <w:pPr>
        <w:spacing w:line="700" w:lineRule="exact"/>
        <w:ind w:firstLine="675" w:firstLineChars="210"/>
        <w:rPr>
          <w:rFonts w:hint="default" w:ascii="Times New Roman" w:hAnsi="Times New Roman" w:cs="Times New Roman"/>
          <w:b/>
          <w:color w:val="000000" w:themeColor="text1"/>
          <w:sz w:val="32"/>
          <w:highlight w:val="yellow"/>
          <w14:textFill>
            <w14:solidFill>
              <w14:schemeClr w14:val="tx1"/>
            </w14:solidFill>
          </w14:textFill>
        </w:rPr>
      </w:pPr>
    </w:p>
    <w:p>
      <w:pPr>
        <w:spacing w:line="480" w:lineRule="auto"/>
        <w:ind w:firstLine="0" w:firstLineChars="0"/>
        <w:rPr>
          <w:rFonts w:hint="default" w:ascii="Times New Roman" w:hAnsi="Times New Roman" w:cs="Times New Roman"/>
          <w:color w:val="000000" w:themeColor="text1"/>
          <w:sz w:val="30"/>
          <w:szCs w:val="30"/>
          <w:highlight w:val="yellow"/>
          <w:lang w:val="en-US" w:eastAsia="zh-CN"/>
          <w14:textFill>
            <w14:solidFill>
              <w14:schemeClr w14:val="tx1"/>
            </w14:solidFill>
          </w14:textFill>
        </w:rPr>
      </w:pPr>
      <w:bookmarkStart w:id="0" w:name="_Toc192412209"/>
      <w:bookmarkStart w:id="1" w:name="_Toc192410264"/>
      <w:r>
        <w:rPr>
          <w:rFonts w:hint="default" w:ascii="Times New Roman" w:hAnsi="Times New Roman" w:cs="Times New Roman"/>
          <w:color w:val="000000" w:themeColor="text1"/>
          <w:sz w:val="30"/>
          <w:szCs w:val="30"/>
          <w:highlight w:val="yellow"/>
          <w:lang w:val="en-US" w:eastAsia="zh-CN"/>
          <w14:textFill>
            <w14:solidFill>
              <w14:schemeClr w14:val="tx1"/>
            </w14:solidFill>
          </w14:textFill>
        </w:rPr>
        <w:t>项目负责人：</w:t>
      </w:r>
      <w:bookmarkEnd w:id="0"/>
      <w:bookmarkEnd w:id="1"/>
      <w:bookmarkStart w:id="2" w:name="_Toc192410265"/>
      <w:bookmarkStart w:id="3" w:name="_Toc192412210"/>
      <w:r>
        <w:rPr>
          <w:rFonts w:hint="default" w:ascii="Times New Roman" w:hAnsi="Times New Roman" w:cs="Times New Roman"/>
          <w:color w:val="000000" w:themeColor="text1"/>
          <w:sz w:val="30"/>
          <w:szCs w:val="30"/>
          <w:highlight w:val="yellow"/>
          <w:lang w:val="en-US" w:eastAsia="zh-CN"/>
          <w14:textFill>
            <w14:solidFill>
              <w14:schemeClr w14:val="tx1"/>
            </w14:solidFill>
          </w14:textFill>
        </w:rPr>
        <w:t>张超</w:t>
      </w:r>
    </w:p>
    <w:bookmarkEnd w:id="2"/>
    <w:bookmarkEnd w:id="3"/>
    <w:p>
      <w:pPr>
        <w:spacing w:line="480" w:lineRule="auto"/>
        <w:ind w:firstLine="0" w:firstLineChars="0"/>
        <w:rPr>
          <w:rFonts w:hint="default" w:ascii="Times New Roman" w:hAnsi="Times New Roman" w:cs="Times New Roman"/>
          <w:color w:val="000000" w:themeColor="text1"/>
          <w:sz w:val="30"/>
          <w:szCs w:val="30"/>
          <w:highlight w:val="yellow"/>
          <w:lang w:val="en-US" w:eastAsia="zh-CN"/>
          <w14:textFill>
            <w14:solidFill>
              <w14:schemeClr w14:val="tx1"/>
            </w14:solidFill>
          </w14:textFill>
        </w:rPr>
      </w:pPr>
      <w:bookmarkStart w:id="4" w:name="_Toc192410270"/>
      <w:bookmarkStart w:id="5" w:name="_Toc192412215"/>
      <w:r>
        <w:rPr>
          <w:rFonts w:hint="default" w:ascii="Times New Roman" w:hAnsi="Times New Roman" w:cs="Times New Roman"/>
          <w:color w:val="000000" w:themeColor="text1"/>
          <w:sz w:val="30"/>
          <w:szCs w:val="30"/>
          <w:highlight w:val="yellow"/>
          <w:lang w:val="en-US" w:eastAsia="zh-CN"/>
          <w14:textFill>
            <w14:solidFill>
              <w14:schemeClr w14:val="tx1"/>
            </w14:solidFill>
          </w14:textFill>
        </w:rPr>
        <w:t>法定代表人：</w:t>
      </w:r>
      <w:r>
        <w:rPr>
          <w:rFonts w:hint="eastAsia" w:cs="Times New Roman"/>
          <w:color w:val="000000" w:themeColor="text1"/>
          <w:sz w:val="30"/>
          <w:szCs w:val="30"/>
          <w:highlight w:val="yellow"/>
          <w:lang w:val="en-US" w:eastAsia="zh-CN"/>
          <w14:textFill>
            <w14:solidFill>
              <w14:schemeClr w14:val="tx1"/>
            </w14:solidFill>
          </w14:textFill>
        </w:rPr>
        <w:t>张超</w:t>
      </w:r>
    </w:p>
    <w:p>
      <w:pPr>
        <w:spacing w:line="480" w:lineRule="auto"/>
        <w:ind w:firstLine="0" w:firstLineChars="0"/>
        <w:rPr>
          <w:rFonts w:hint="default" w:ascii="Times New Roman" w:hAnsi="Times New Roman" w:eastAsia="宋体" w:cs="Times New Roman"/>
          <w:sz w:val="30"/>
          <w:szCs w:val="30"/>
          <w:highlight w:val="yellow"/>
          <w:lang w:eastAsia="zh-CN"/>
        </w:rPr>
      </w:pPr>
      <w:r>
        <w:rPr>
          <w:rFonts w:hint="default" w:ascii="Times New Roman" w:hAnsi="Times New Roman" w:cs="Times New Roman"/>
          <w:sz w:val="30"/>
          <w:szCs w:val="30"/>
          <w:highlight w:val="yellow"/>
        </w:rPr>
        <w:t>编制单位：</w:t>
      </w:r>
      <w:bookmarkEnd w:id="4"/>
      <w:bookmarkEnd w:id="5"/>
      <w:bookmarkStart w:id="6" w:name="_Toc192410271"/>
      <w:bookmarkStart w:id="7" w:name="_Toc192412216"/>
      <w:r>
        <w:rPr>
          <w:rFonts w:hint="default" w:ascii="Times New Roman" w:hAnsi="Times New Roman" w:cs="Times New Roman"/>
          <w:sz w:val="30"/>
          <w:szCs w:val="30"/>
          <w:highlight w:val="yellow"/>
          <w:lang w:val="en-US" w:eastAsia="zh-CN"/>
        </w:rPr>
        <w:t>宁城县生鑫矿业有限公司</w:t>
      </w:r>
    </w:p>
    <w:p>
      <w:pPr>
        <w:spacing w:line="480" w:lineRule="auto"/>
        <w:ind w:firstLine="0" w:firstLineChars="0"/>
        <w:rPr>
          <w:rFonts w:hint="default" w:ascii="Times New Roman" w:hAnsi="Times New Roman" w:cs="Times New Roman"/>
          <w:sz w:val="32"/>
          <w:highlight w:val="yellow"/>
        </w:rPr>
      </w:pPr>
      <w:r>
        <w:rPr>
          <w:rFonts w:hint="default" w:ascii="Times New Roman" w:hAnsi="Times New Roman" w:cs="Times New Roman"/>
          <w:sz w:val="30"/>
          <w:szCs w:val="30"/>
          <w:highlight w:val="yellow"/>
        </w:rPr>
        <w:t>编制日期：</w:t>
      </w:r>
      <w:bookmarkEnd w:id="6"/>
      <w:bookmarkEnd w:id="7"/>
      <w:r>
        <w:rPr>
          <w:rFonts w:hint="default" w:ascii="Times New Roman" w:hAnsi="Times New Roman" w:cs="Times New Roman"/>
          <w:sz w:val="30"/>
          <w:szCs w:val="30"/>
          <w:highlight w:val="yellow"/>
        </w:rPr>
        <w:t>二零二</w:t>
      </w:r>
      <w:r>
        <w:rPr>
          <w:rFonts w:hint="default" w:ascii="Times New Roman" w:hAnsi="Times New Roman" w:cs="Times New Roman"/>
          <w:sz w:val="30"/>
          <w:szCs w:val="30"/>
          <w:highlight w:val="yellow"/>
          <w:lang w:val="en-US" w:eastAsia="zh-CN"/>
        </w:rPr>
        <w:t>四</w:t>
      </w:r>
      <w:r>
        <w:rPr>
          <w:rFonts w:hint="default" w:ascii="Times New Roman" w:hAnsi="Times New Roman" w:cs="Times New Roman"/>
          <w:sz w:val="30"/>
          <w:szCs w:val="30"/>
          <w:highlight w:val="yellow"/>
        </w:rPr>
        <w:t>年</w:t>
      </w:r>
      <w:r>
        <w:rPr>
          <w:rFonts w:hint="default" w:ascii="Times New Roman" w:hAnsi="Times New Roman" w:cs="Times New Roman"/>
          <w:sz w:val="30"/>
          <w:szCs w:val="30"/>
          <w:highlight w:val="yellow"/>
          <w:lang w:val="en-US" w:eastAsia="zh-CN"/>
        </w:rPr>
        <w:t>三</w:t>
      </w:r>
      <w:r>
        <w:rPr>
          <w:rFonts w:hint="default" w:ascii="Times New Roman" w:hAnsi="Times New Roman" w:cs="Times New Roman"/>
          <w:sz w:val="30"/>
          <w:szCs w:val="30"/>
          <w:highlight w:val="yellow"/>
        </w:rPr>
        <w:t>月</w:t>
      </w:r>
    </w:p>
    <w:p>
      <w:pPr>
        <w:spacing w:line="800" w:lineRule="exact"/>
        <w:ind w:firstLine="630" w:firstLineChars="196"/>
        <w:rPr>
          <w:rFonts w:hint="default" w:ascii="Times New Roman" w:hAnsi="Times New Roman" w:eastAsia="仿宋_GB2312" w:cs="Times New Roman"/>
          <w:b/>
          <w:sz w:val="32"/>
          <w:highlight w:val="yellow"/>
        </w:rPr>
        <w:sectPr>
          <w:footerReference r:id="rId11" w:type="default"/>
          <w:pgSz w:w="11906" w:h="16838"/>
          <w:pgMar w:top="1440" w:right="1797" w:bottom="1440" w:left="1797" w:header="851" w:footer="992" w:gutter="0"/>
          <w:cols w:space="720" w:num="1"/>
          <w:docGrid w:linePitch="312" w:charSpace="0"/>
        </w:sectPr>
      </w:pPr>
    </w:p>
    <w:p>
      <w:pPr>
        <w:ind w:firstLine="0" w:firstLineChars="0"/>
        <w:jc w:val="center"/>
        <w:rPr>
          <w:rFonts w:hint="default" w:ascii="Times New Roman" w:hAnsi="Times New Roman" w:cs="Times New Roman"/>
          <w:b/>
          <w:sz w:val="32"/>
          <w:highlight w:val="none"/>
        </w:rPr>
      </w:pPr>
      <w:r>
        <w:rPr>
          <w:rFonts w:hint="default" w:ascii="Times New Roman" w:hAnsi="Times New Roman" w:cs="Times New Roman"/>
          <w:b/>
          <w:sz w:val="32"/>
          <w:highlight w:val="none"/>
        </w:rPr>
        <w:t>目  录</w:t>
      </w:r>
    </w:p>
    <w:p>
      <w:pPr>
        <w:pStyle w:val="10"/>
        <w:tabs>
          <w:tab w:val="right" w:leader="dot" w:pos="8312"/>
        </w:tabs>
        <w:rPr>
          <w:highlight w:val="none"/>
        </w:rPr>
      </w:pPr>
      <w:r>
        <w:rPr>
          <w:rFonts w:hint="default" w:ascii="Times New Roman" w:hAnsi="Times New Roman" w:eastAsia="仿宋_GB2312" w:cs="Times New Roman"/>
          <w:bCs w:val="0"/>
          <w:caps w:val="0"/>
          <w:szCs w:val="24"/>
          <w:highlight w:val="none"/>
        </w:rPr>
        <w:fldChar w:fldCharType="begin"/>
      </w:r>
      <w:r>
        <w:rPr>
          <w:rFonts w:hint="default" w:ascii="Times New Roman" w:hAnsi="Times New Roman" w:eastAsia="仿宋_GB2312" w:cs="Times New Roman"/>
          <w:bCs w:val="0"/>
          <w:caps w:val="0"/>
          <w:szCs w:val="24"/>
          <w:highlight w:val="none"/>
        </w:rPr>
        <w:instrText xml:space="preserve"> TOC \o "1-2" \h \z \u </w:instrText>
      </w:r>
      <w:r>
        <w:rPr>
          <w:rFonts w:hint="default" w:ascii="Times New Roman" w:hAnsi="Times New Roman" w:eastAsia="仿宋_GB2312" w:cs="Times New Roman"/>
          <w:bCs w:val="0"/>
          <w:caps w:val="0"/>
          <w:szCs w:val="24"/>
          <w:highlight w:val="none"/>
        </w:rPr>
        <w:fldChar w:fldCharType="separate"/>
      </w:r>
      <w:r>
        <w:rPr>
          <w:rFonts w:hint="default" w:ascii="Times New Roman" w:hAnsi="Times New Roman" w:eastAsia="仿宋_GB2312" w:cs="Times New Roman"/>
          <w:bCs w:val="0"/>
          <w:caps w:val="0"/>
          <w:szCs w:val="24"/>
          <w:highlight w:val="none"/>
        </w:rPr>
        <w:fldChar w:fldCharType="begin"/>
      </w:r>
      <w:r>
        <w:rPr>
          <w:rFonts w:hint="default" w:ascii="Times New Roman" w:hAnsi="Times New Roman" w:eastAsia="仿宋_GB2312" w:cs="Times New Roman"/>
          <w:bCs w:val="0"/>
          <w:caps w:val="0"/>
          <w:szCs w:val="24"/>
          <w:highlight w:val="none"/>
        </w:rPr>
        <w:instrText xml:space="preserve"> HYPERLINK \l _Toc28864 </w:instrText>
      </w:r>
      <w:r>
        <w:rPr>
          <w:rFonts w:hint="default" w:ascii="Times New Roman" w:hAnsi="Times New Roman" w:eastAsia="仿宋_GB2312" w:cs="Times New Roman"/>
          <w:bCs w:val="0"/>
          <w:caps w:val="0"/>
          <w:szCs w:val="24"/>
          <w:highlight w:val="none"/>
        </w:rPr>
        <w:fldChar w:fldCharType="separate"/>
      </w:r>
      <w:r>
        <w:rPr>
          <w:rFonts w:hint="eastAsia" w:ascii="Times New Roman" w:hAnsi="Times New Roman" w:cs="Times New Roman"/>
          <w:szCs w:val="36"/>
          <w:highlight w:val="none"/>
        </w:rPr>
        <w:t xml:space="preserve">一、 </w:t>
      </w:r>
      <w:r>
        <w:rPr>
          <w:rFonts w:hint="default" w:ascii="Times New Roman" w:hAnsi="Times New Roman" w:cs="Times New Roman"/>
          <w:szCs w:val="36"/>
          <w:highlight w:val="none"/>
        </w:rPr>
        <w:t>矿山基本情况</w:t>
      </w:r>
      <w:r>
        <w:rPr>
          <w:highlight w:val="none"/>
        </w:rPr>
        <w:tab/>
      </w:r>
      <w:r>
        <w:rPr>
          <w:highlight w:val="none"/>
        </w:rPr>
        <w:fldChar w:fldCharType="begin"/>
      </w:r>
      <w:r>
        <w:rPr>
          <w:highlight w:val="none"/>
        </w:rPr>
        <w:instrText xml:space="preserve"> PAGEREF _Toc28864 \h </w:instrText>
      </w:r>
      <w:r>
        <w:rPr>
          <w:highlight w:val="none"/>
        </w:rPr>
        <w:fldChar w:fldCharType="separate"/>
      </w:r>
      <w:r>
        <w:rPr>
          <w:highlight w:val="none"/>
        </w:rPr>
        <w:t>1</w:t>
      </w:r>
      <w:r>
        <w:rPr>
          <w:highlight w:val="none"/>
        </w:rPr>
        <w:fldChar w:fldCharType="end"/>
      </w:r>
      <w:r>
        <w:rPr>
          <w:rFonts w:hint="default" w:ascii="Times New Roman" w:hAnsi="Times New Roman" w:eastAsia="仿宋_GB2312" w:cs="Times New Roman"/>
          <w:bCs w:val="0"/>
          <w:caps w:val="0"/>
          <w:szCs w:val="24"/>
          <w:highlight w:val="none"/>
        </w:rPr>
        <w:fldChar w:fldCharType="end"/>
      </w:r>
    </w:p>
    <w:p>
      <w:pPr>
        <w:pStyle w:val="10"/>
        <w:tabs>
          <w:tab w:val="right" w:leader="dot" w:pos="8312"/>
        </w:tabs>
        <w:rPr>
          <w:highlight w:val="none"/>
        </w:rPr>
      </w:pPr>
      <w:r>
        <w:rPr>
          <w:rFonts w:hint="default" w:ascii="Times New Roman" w:hAnsi="Times New Roman" w:eastAsia="仿宋_GB2312" w:cs="Times New Roman"/>
          <w:bCs/>
          <w:caps/>
          <w:szCs w:val="24"/>
          <w:highlight w:val="none"/>
        </w:rPr>
        <w:fldChar w:fldCharType="begin"/>
      </w:r>
      <w:r>
        <w:rPr>
          <w:rFonts w:hint="default" w:ascii="Times New Roman" w:hAnsi="Times New Roman" w:eastAsia="仿宋_GB2312" w:cs="Times New Roman"/>
          <w:bCs/>
          <w:caps/>
          <w:szCs w:val="24"/>
          <w:highlight w:val="none"/>
        </w:rPr>
        <w:instrText xml:space="preserve"> HYPERLINK \l _Toc10962 </w:instrText>
      </w:r>
      <w:r>
        <w:rPr>
          <w:rFonts w:hint="default" w:ascii="Times New Roman" w:hAnsi="Times New Roman" w:eastAsia="仿宋_GB2312" w:cs="Times New Roman"/>
          <w:bCs/>
          <w:caps/>
          <w:szCs w:val="24"/>
          <w:highlight w:val="none"/>
        </w:rPr>
        <w:fldChar w:fldCharType="separate"/>
      </w:r>
      <w:r>
        <w:rPr>
          <w:rFonts w:hint="default" w:ascii="Times New Roman" w:hAnsi="Times New Roman" w:cs="Times New Roman"/>
          <w:szCs w:val="36"/>
          <w:highlight w:val="none"/>
        </w:rPr>
        <w:t>二、矿山地质环境治理方案的编制与执行情况</w:t>
      </w:r>
      <w:r>
        <w:rPr>
          <w:highlight w:val="none"/>
        </w:rPr>
        <w:tab/>
      </w:r>
      <w:r>
        <w:rPr>
          <w:highlight w:val="none"/>
        </w:rPr>
        <w:fldChar w:fldCharType="begin"/>
      </w:r>
      <w:r>
        <w:rPr>
          <w:highlight w:val="none"/>
        </w:rPr>
        <w:instrText xml:space="preserve"> PAGEREF _Toc10962 \h </w:instrText>
      </w:r>
      <w:r>
        <w:rPr>
          <w:highlight w:val="none"/>
        </w:rPr>
        <w:fldChar w:fldCharType="separate"/>
      </w:r>
      <w:r>
        <w:rPr>
          <w:highlight w:val="none"/>
        </w:rPr>
        <w:t>2</w:t>
      </w:r>
      <w:r>
        <w:rPr>
          <w:highlight w:val="none"/>
        </w:rPr>
        <w:fldChar w:fldCharType="end"/>
      </w:r>
      <w:r>
        <w:rPr>
          <w:rFonts w:hint="default" w:ascii="Times New Roman" w:hAnsi="Times New Roman" w:eastAsia="仿宋_GB2312" w:cs="Times New Roman"/>
          <w:bCs/>
          <w:caps/>
          <w:szCs w:val="24"/>
          <w:highlight w:val="none"/>
        </w:rPr>
        <w:fldChar w:fldCharType="end"/>
      </w:r>
    </w:p>
    <w:p>
      <w:pPr>
        <w:pStyle w:val="11"/>
        <w:tabs>
          <w:tab w:val="right" w:leader="dot" w:pos="8312"/>
        </w:tabs>
        <w:rPr>
          <w:highlight w:val="none"/>
        </w:rPr>
      </w:pPr>
      <w:r>
        <w:rPr>
          <w:rFonts w:hint="default" w:ascii="Times New Roman" w:hAnsi="Times New Roman" w:eastAsia="仿宋_GB2312" w:cs="Times New Roman"/>
          <w:bCs/>
          <w:caps/>
          <w:szCs w:val="24"/>
          <w:highlight w:val="none"/>
        </w:rPr>
        <w:fldChar w:fldCharType="begin"/>
      </w:r>
      <w:r>
        <w:rPr>
          <w:rFonts w:hint="default" w:ascii="Times New Roman" w:hAnsi="Times New Roman" w:eastAsia="仿宋_GB2312" w:cs="Times New Roman"/>
          <w:bCs/>
          <w:caps/>
          <w:szCs w:val="24"/>
          <w:highlight w:val="none"/>
        </w:rPr>
        <w:instrText xml:space="preserve"> HYPERLINK \l _Toc13679 </w:instrText>
      </w:r>
      <w:r>
        <w:rPr>
          <w:rFonts w:hint="default" w:ascii="Times New Roman" w:hAnsi="Times New Roman" w:eastAsia="仿宋_GB2312" w:cs="Times New Roman"/>
          <w:bCs/>
          <w:caps/>
          <w:szCs w:val="24"/>
          <w:highlight w:val="none"/>
        </w:rPr>
        <w:fldChar w:fldCharType="separate"/>
      </w:r>
      <w:r>
        <w:rPr>
          <w:rFonts w:hint="default" w:ascii="Times New Roman" w:hAnsi="Times New Roman" w:cs="Times New Roman"/>
          <w:highlight w:val="none"/>
        </w:rPr>
        <w:t>（一）方案编制概况</w:t>
      </w:r>
      <w:r>
        <w:rPr>
          <w:highlight w:val="none"/>
        </w:rPr>
        <w:tab/>
      </w:r>
      <w:r>
        <w:rPr>
          <w:highlight w:val="none"/>
        </w:rPr>
        <w:fldChar w:fldCharType="begin"/>
      </w:r>
      <w:r>
        <w:rPr>
          <w:highlight w:val="none"/>
        </w:rPr>
        <w:instrText xml:space="preserve"> PAGEREF _Toc13679 \h </w:instrText>
      </w:r>
      <w:r>
        <w:rPr>
          <w:highlight w:val="none"/>
        </w:rPr>
        <w:fldChar w:fldCharType="separate"/>
      </w:r>
      <w:r>
        <w:rPr>
          <w:highlight w:val="none"/>
        </w:rPr>
        <w:t>2</w:t>
      </w:r>
      <w:r>
        <w:rPr>
          <w:highlight w:val="none"/>
        </w:rPr>
        <w:fldChar w:fldCharType="end"/>
      </w:r>
      <w:r>
        <w:rPr>
          <w:rFonts w:hint="default" w:ascii="Times New Roman" w:hAnsi="Times New Roman" w:eastAsia="仿宋_GB2312" w:cs="Times New Roman"/>
          <w:bCs/>
          <w:caps/>
          <w:szCs w:val="24"/>
          <w:highlight w:val="none"/>
        </w:rPr>
        <w:fldChar w:fldCharType="end"/>
      </w:r>
    </w:p>
    <w:p>
      <w:pPr>
        <w:pStyle w:val="11"/>
        <w:tabs>
          <w:tab w:val="right" w:leader="dot" w:pos="8312"/>
        </w:tabs>
        <w:rPr>
          <w:highlight w:val="none"/>
        </w:rPr>
      </w:pPr>
      <w:r>
        <w:rPr>
          <w:rFonts w:hint="default" w:ascii="Times New Roman" w:hAnsi="Times New Roman" w:eastAsia="仿宋_GB2312" w:cs="Times New Roman"/>
          <w:bCs/>
          <w:caps/>
          <w:szCs w:val="24"/>
          <w:highlight w:val="none"/>
        </w:rPr>
        <w:fldChar w:fldCharType="begin"/>
      </w:r>
      <w:r>
        <w:rPr>
          <w:rFonts w:hint="default" w:ascii="Times New Roman" w:hAnsi="Times New Roman" w:eastAsia="仿宋_GB2312" w:cs="Times New Roman"/>
          <w:bCs/>
          <w:caps/>
          <w:szCs w:val="24"/>
          <w:highlight w:val="none"/>
        </w:rPr>
        <w:instrText xml:space="preserve"> HYPERLINK \l _Toc23821 </w:instrText>
      </w:r>
      <w:r>
        <w:rPr>
          <w:rFonts w:hint="default" w:ascii="Times New Roman" w:hAnsi="Times New Roman" w:eastAsia="仿宋_GB2312" w:cs="Times New Roman"/>
          <w:bCs/>
          <w:caps/>
          <w:szCs w:val="24"/>
          <w:highlight w:val="none"/>
        </w:rPr>
        <w:fldChar w:fldCharType="separate"/>
      </w:r>
      <w:r>
        <w:rPr>
          <w:rFonts w:hint="eastAsia" w:ascii="Times New Roman" w:hAnsi="Times New Roman" w:cs="Times New Roman"/>
          <w:highlight w:val="none"/>
        </w:rPr>
        <w:t xml:space="preserve">（二） </w:t>
      </w:r>
      <w:r>
        <w:rPr>
          <w:rFonts w:hint="default" w:ascii="Times New Roman" w:hAnsi="Times New Roman" w:cs="Times New Roman"/>
          <w:highlight w:val="none"/>
        </w:rPr>
        <w:t>治理方案规划的近期治理工程内容</w:t>
      </w:r>
      <w:r>
        <w:rPr>
          <w:rFonts w:hint="default" w:ascii="Times New Roman" w:hAnsi="Times New Roman" w:cs="Times New Roman"/>
          <w:highlight w:val="none"/>
          <w:lang w:val="en-US" w:eastAsia="zh-CN"/>
        </w:rPr>
        <w:t>及执行情况</w:t>
      </w:r>
      <w:r>
        <w:rPr>
          <w:highlight w:val="none"/>
        </w:rPr>
        <w:tab/>
      </w:r>
      <w:r>
        <w:rPr>
          <w:highlight w:val="none"/>
        </w:rPr>
        <w:fldChar w:fldCharType="begin"/>
      </w:r>
      <w:r>
        <w:rPr>
          <w:highlight w:val="none"/>
        </w:rPr>
        <w:instrText xml:space="preserve"> PAGEREF _Toc23821 \h </w:instrText>
      </w:r>
      <w:r>
        <w:rPr>
          <w:highlight w:val="none"/>
        </w:rPr>
        <w:fldChar w:fldCharType="separate"/>
      </w:r>
      <w:r>
        <w:rPr>
          <w:highlight w:val="none"/>
        </w:rPr>
        <w:t>2</w:t>
      </w:r>
      <w:r>
        <w:rPr>
          <w:highlight w:val="none"/>
        </w:rPr>
        <w:fldChar w:fldCharType="end"/>
      </w:r>
      <w:r>
        <w:rPr>
          <w:rFonts w:hint="default" w:ascii="Times New Roman" w:hAnsi="Times New Roman" w:eastAsia="仿宋_GB2312" w:cs="Times New Roman"/>
          <w:bCs/>
          <w:caps/>
          <w:szCs w:val="24"/>
          <w:highlight w:val="none"/>
        </w:rPr>
        <w:fldChar w:fldCharType="end"/>
      </w:r>
    </w:p>
    <w:p>
      <w:pPr>
        <w:pStyle w:val="10"/>
        <w:tabs>
          <w:tab w:val="right" w:leader="dot" w:pos="8312"/>
        </w:tabs>
        <w:rPr>
          <w:highlight w:val="none"/>
        </w:rPr>
      </w:pPr>
      <w:r>
        <w:rPr>
          <w:rFonts w:hint="default" w:ascii="Times New Roman" w:hAnsi="Times New Roman" w:eastAsia="仿宋_GB2312" w:cs="Times New Roman"/>
          <w:bCs/>
          <w:caps/>
          <w:szCs w:val="24"/>
          <w:highlight w:val="none"/>
        </w:rPr>
        <w:fldChar w:fldCharType="begin"/>
      </w:r>
      <w:r>
        <w:rPr>
          <w:rFonts w:hint="default" w:ascii="Times New Roman" w:hAnsi="Times New Roman" w:eastAsia="仿宋_GB2312" w:cs="Times New Roman"/>
          <w:bCs/>
          <w:caps/>
          <w:szCs w:val="24"/>
          <w:highlight w:val="none"/>
        </w:rPr>
        <w:instrText xml:space="preserve"> HYPERLINK \l _Toc31236 </w:instrText>
      </w:r>
      <w:r>
        <w:rPr>
          <w:rFonts w:hint="default" w:ascii="Times New Roman" w:hAnsi="Times New Roman" w:eastAsia="仿宋_GB2312" w:cs="Times New Roman"/>
          <w:bCs/>
          <w:caps/>
          <w:szCs w:val="24"/>
          <w:highlight w:val="none"/>
        </w:rPr>
        <w:fldChar w:fldCharType="separate"/>
      </w:r>
      <w:r>
        <w:rPr>
          <w:rFonts w:hint="default" w:ascii="Times New Roman" w:hAnsi="Times New Roman" w:cs="Times New Roman"/>
          <w:szCs w:val="36"/>
          <w:highlight w:val="none"/>
        </w:rPr>
        <w:t>三、本年度矿山生产计划</w:t>
      </w:r>
      <w:r>
        <w:rPr>
          <w:highlight w:val="none"/>
        </w:rPr>
        <w:tab/>
      </w:r>
      <w:r>
        <w:rPr>
          <w:highlight w:val="none"/>
        </w:rPr>
        <w:fldChar w:fldCharType="begin"/>
      </w:r>
      <w:r>
        <w:rPr>
          <w:highlight w:val="none"/>
        </w:rPr>
        <w:instrText xml:space="preserve"> PAGEREF _Toc31236 \h </w:instrText>
      </w:r>
      <w:r>
        <w:rPr>
          <w:highlight w:val="none"/>
        </w:rPr>
        <w:fldChar w:fldCharType="separate"/>
      </w:r>
      <w:r>
        <w:rPr>
          <w:highlight w:val="none"/>
        </w:rPr>
        <w:t>7</w:t>
      </w:r>
      <w:r>
        <w:rPr>
          <w:highlight w:val="none"/>
        </w:rPr>
        <w:fldChar w:fldCharType="end"/>
      </w:r>
      <w:r>
        <w:rPr>
          <w:rFonts w:hint="default" w:ascii="Times New Roman" w:hAnsi="Times New Roman" w:eastAsia="仿宋_GB2312" w:cs="Times New Roman"/>
          <w:bCs/>
          <w:caps/>
          <w:szCs w:val="24"/>
          <w:highlight w:val="none"/>
        </w:rPr>
        <w:fldChar w:fldCharType="end"/>
      </w:r>
    </w:p>
    <w:p>
      <w:pPr>
        <w:pStyle w:val="10"/>
        <w:tabs>
          <w:tab w:val="right" w:leader="dot" w:pos="8312"/>
        </w:tabs>
        <w:rPr>
          <w:highlight w:val="none"/>
        </w:rPr>
      </w:pPr>
      <w:r>
        <w:rPr>
          <w:rFonts w:hint="default" w:ascii="Times New Roman" w:hAnsi="Times New Roman" w:eastAsia="仿宋_GB2312" w:cs="Times New Roman"/>
          <w:bCs/>
          <w:caps/>
          <w:szCs w:val="24"/>
          <w:highlight w:val="none"/>
        </w:rPr>
        <w:fldChar w:fldCharType="begin"/>
      </w:r>
      <w:r>
        <w:rPr>
          <w:rFonts w:hint="default" w:ascii="Times New Roman" w:hAnsi="Times New Roman" w:eastAsia="仿宋_GB2312" w:cs="Times New Roman"/>
          <w:bCs/>
          <w:caps/>
          <w:szCs w:val="24"/>
          <w:highlight w:val="none"/>
        </w:rPr>
        <w:instrText xml:space="preserve"> HYPERLINK \l _Toc26906 </w:instrText>
      </w:r>
      <w:r>
        <w:rPr>
          <w:rFonts w:hint="default" w:ascii="Times New Roman" w:hAnsi="Times New Roman" w:eastAsia="仿宋_GB2312" w:cs="Times New Roman"/>
          <w:bCs/>
          <w:caps/>
          <w:szCs w:val="24"/>
          <w:highlight w:val="none"/>
        </w:rPr>
        <w:fldChar w:fldCharType="separate"/>
      </w:r>
      <w:r>
        <w:rPr>
          <w:rFonts w:hint="default" w:ascii="Times New Roman" w:hAnsi="Times New Roman" w:cs="Times New Roman"/>
          <w:szCs w:val="36"/>
          <w:highlight w:val="none"/>
        </w:rPr>
        <w:t>四、矿山地质环境问题</w:t>
      </w:r>
      <w:r>
        <w:rPr>
          <w:highlight w:val="none"/>
        </w:rPr>
        <w:tab/>
      </w:r>
      <w:r>
        <w:rPr>
          <w:highlight w:val="none"/>
        </w:rPr>
        <w:fldChar w:fldCharType="begin"/>
      </w:r>
      <w:r>
        <w:rPr>
          <w:highlight w:val="none"/>
        </w:rPr>
        <w:instrText xml:space="preserve"> PAGEREF _Toc26906 \h </w:instrText>
      </w:r>
      <w:r>
        <w:rPr>
          <w:highlight w:val="none"/>
        </w:rPr>
        <w:fldChar w:fldCharType="separate"/>
      </w:r>
      <w:r>
        <w:rPr>
          <w:highlight w:val="none"/>
        </w:rPr>
        <w:t>8</w:t>
      </w:r>
      <w:r>
        <w:rPr>
          <w:highlight w:val="none"/>
        </w:rPr>
        <w:fldChar w:fldCharType="end"/>
      </w:r>
      <w:r>
        <w:rPr>
          <w:rFonts w:hint="default" w:ascii="Times New Roman" w:hAnsi="Times New Roman" w:eastAsia="仿宋_GB2312" w:cs="Times New Roman"/>
          <w:bCs/>
          <w:caps/>
          <w:szCs w:val="24"/>
          <w:highlight w:val="none"/>
        </w:rPr>
        <w:fldChar w:fldCharType="end"/>
      </w:r>
    </w:p>
    <w:p>
      <w:pPr>
        <w:pStyle w:val="11"/>
        <w:tabs>
          <w:tab w:val="right" w:leader="dot" w:pos="8312"/>
        </w:tabs>
        <w:rPr>
          <w:highlight w:val="none"/>
        </w:rPr>
      </w:pPr>
      <w:r>
        <w:rPr>
          <w:rFonts w:hint="default" w:ascii="Times New Roman" w:hAnsi="Times New Roman" w:eastAsia="仿宋_GB2312" w:cs="Times New Roman"/>
          <w:bCs/>
          <w:caps/>
          <w:szCs w:val="24"/>
          <w:highlight w:val="none"/>
        </w:rPr>
        <w:fldChar w:fldCharType="begin"/>
      </w:r>
      <w:r>
        <w:rPr>
          <w:rFonts w:hint="default" w:ascii="Times New Roman" w:hAnsi="Times New Roman" w:eastAsia="仿宋_GB2312" w:cs="Times New Roman"/>
          <w:bCs/>
          <w:caps/>
          <w:szCs w:val="24"/>
          <w:highlight w:val="none"/>
        </w:rPr>
        <w:instrText xml:space="preserve"> HYPERLINK \l _Toc1430 </w:instrText>
      </w:r>
      <w:r>
        <w:rPr>
          <w:rFonts w:hint="default" w:ascii="Times New Roman" w:hAnsi="Times New Roman" w:eastAsia="仿宋_GB2312" w:cs="Times New Roman"/>
          <w:bCs/>
          <w:caps/>
          <w:szCs w:val="24"/>
          <w:highlight w:val="none"/>
        </w:rPr>
        <w:fldChar w:fldCharType="separate"/>
      </w:r>
      <w:r>
        <w:rPr>
          <w:rFonts w:hint="default" w:ascii="Times New Roman" w:hAnsi="Times New Roman" w:cs="Times New Roman"/>
          <w:highlight w:val="none"/>
        </w:rPr>
        <w:t>（一）矿山地质环境问题现状</w:t>
      </w:r>
      <w:r>
        <w:rPr>
          <w:highlight w:val="none"/>
        </w:rPr>
        <w:tab/>
      </w:r>
      <w:r>
        <w:rPr>
          <w:highlight w:val="none"/>
        </w:rPr>
        <w:fldChar w:fldCharType="begin"/>
      </w:r>
      <w:r>
        <w:rPr>
          <w:highlight w:val="none"/>
        </w:rPr>
        <w:instrText xml:space="preserve"> PAGEREF _Toc1430 \h </w:instrText>
      </w:r>
      <w:r>
        <w:rPr>
          <w:highlight w:val="none"/>
        </w:rPr>
        <w:fldChar w:fldCharType="separate"/>
      </w:r>
      <w:r>
        <w:rPr>
          <w:highlight w:val="none"/>
        </w:rPr>
        <w:t>8</w:t>
      </w:r>
      <w:r>
        <w:rPr>
          <w:highlight w:val="none"/>
        </w:rPr>
        <w:fldChar w:fldCharType="end"/>
      </w:r>
      <w:r>
        <w:rPr>
          <w:rFonts w:hint="default" w:ascii="Times New Roman" w:hAnsi="Times New Roman" w:eastAsia="仿宋_GB2312" w:cs="Times New Roman"/>
          <w:bCs/>
          <w:caps/>
          <w:szCs w:val="24"/>
          <w:highlight w:val="none"/>
        </w:rPr>
        <w:fldChar w:fldCharType="end"/>
      </w:r>
    </w:p>
    <w:p>
      <w:pPr>
        <w:pStyle w:val="11"/>
        <w:tabs>
          <w:tab w:val="right" w:leader="dot" w:pos="8312"/>
        </w:tabs>
        <w:rPr>
          <w:highlight w:val="none"/>
        </w:rPr>
      </w:pPr>
      <w:r>
        <w:rPr>
          <w:rFonts w:hint="default" w:ascii="Times New Roman" w:hAnsi="Times New Roman" w:eastAsia="仿宋_GB2312" w:cs="Times New Roman"/>
          <w:bCs/>
          <w:caps/>
          <w:szCs w:val="24"/>
          <w:highlight w:val="none"/>
        </w:rPr>
        <w:fldChar w:fldCharType="begin"/>
      </w:r>
      <w:r>
        <w:rPr>
          <w:rFonts w:hint="default" w:ascii="Times New Roman" w:hAnsi="Times New Roman" w:eastAsia="仿宋_GB2312" w:cs="Times New Roman"/>
          <w:bCs/>
          <w:caps/>
          <w:szCs w:val="24"/>
          <w:highlight w:val="none"/>
        </w:rPr>
        <w:instrText xml:space="preserve"> HYPERLINK \l _Toc32726 </w:instrText>
      </w:r>
      <w:r>
        <w:rPr>
          <w:rFonts w:hint="default" w:ascii="Times New Roman" w:hAnsi="Times New Roman" w:eastAsia="仿宋_GB2312" w:cs="Times New Roman"/>
          <w:bCs/>
          <w:caps/>
          <w:szCs w:val="24"/>
          <w:highlight w:val="none"/>
        </w:rPr>
        <w:fldChar w:fldCharType="separate"/>
      </w:r>
      <w:r>
        <w:rPr>
          <w:rFonts w:hint="default" w:ascii="Times New Roman" w:hAnsi="Times New Roman" w:cs="Times New Roman"/>
          <w:highlight w:val="none"/>
        </w:rPr>
        <w:t>（二）矿山地质环境问题预测</w:t>
      </w:r>
      <w:r>
        <w:rPr>
          <w:highlight w:val="none"/>
        </w:rPr>
        <w:tab/>
      </w:r>
      <w:r>
        <w:rPr>
          <w:highlight w:val="none"/>
        </w:rPr>
        <w:fldChar w:fldCharType="begin"/>
      </w:r>
      <w:r>
        <w:rPr>
          <w:highlight w:val="none"/>
        </w:rPr>
        <w:instrText xml:space="preserve"> PAGEREF _Toc32726 \h </w:instrText>
      </w:r>
      <w:r>
        <w:rPr>
          <w:highlight w:val="none"/>
        </w:rPr>
        <w:fldChar w:fldCharType="separate"/>
      </w:r>
      <w:r>
        <w:rPr>
          <w:highlight w:val="none"/>
        </w:rPr>
        <w:t>16</w:t>
      </w:r>
      <w:r>
        <w:rPr>
          <w:highlight w:val="none"/>
        </w:rPr>
        <w:fldChar w:fldCharType="end"/>
      </w:r>
      <w:r>
        <w:rPr>
          <w:rFonts w:hint="default" w:ascii="Times New Roman" w:hAnsi="Times New Roman" w:eastAsia="仿宋_GB2312" w:cs="Times New Roman"/>
          <w:bCs/>
          <w:caps/>
          <w:szCs w:val="24"/>
          <w:highlight w:val="none"/>
        </w:rPr>
        <w:fldChar w:fldCharType="end"/>
      </w:r>
    </w:p>
    <w:p>
      <w:pPr>
        <w:pStyle w:val="10"/>
        <w:tabs>
          <w:tab w:val="right" w:leader="dot" w:pos="8312"/>
        </w:tabs>
        <w:rPr>
          <w:highlight w:val="none"/>
        </w:rPr>
      </w:pPr>
      <w:r>
        <w:rPr>
          <w:rFonts w:hint="default" w:ascii="Times New Roman" w:hAnsi="Times New Roman" w:eastAsia="仿宋_GB2312" w:cs="Times New Roman"/>
          <w:bCs/>
          <w:caps/>
          <w:szCs w:val="24"/>
          <w:highlight w:val="none"/>
        </w:rPr>
        <w:fldChar w:fldCharType="begin"/>
      </w:r>
      <w:r>
        <w:rPr>
          <w:rFonts w:hint="default" w:ascii="Times New Roman" w:hAnsi="Times New Roman" w:eastAsia="仿宋_GB2312" w:cs="Times New Roman"/>
          <w:bCs/>
          <w:caps/>
          <w:szCs w:val="24"/>
          <w:highlight w:val="none"/>
        </w:rPr>
        <w:instrText xml:space="preserve"> HYPERLINK \l _Toc15146 </w:instrText>
      </w:r>
      <w:r>
        <w:rPr>
          <w:rFonts w:hint="default" w:ascii="Times New Roman" w:hAnsi="Times New Roman" w:eastAsia="仿宋_GB2312" w:cs="Times New Roman"/>
          <w:bCs/>
          <w:caps/>
          <w:szCs w:val="24"/>
          <w:highlight w:val="none"/>
        </w:rPr>
        <w:fldChar w:fldCharType="separate"/>
      </w:r>
      <w:r>
        <w:rPr>
          <w:rFonts w:hint="default" w:ascii="Times New Roman" w:hAnsi="Times New Roman" w:cs="Times New Roman"/>
          <w:szCs w:val="36"/>
          <w:highlight w:val="none"/>
        </w:rPr>
        <w:t>五、矿山地质环境防治工程</w:t>
      </w:r>
      <w:r>
        <w:rPr>
          <w:highlight w:val="none"/>
        </w:rPr>
        <w:tab/>
      </w:r>
      <w:r>
        <w:rPr>
          <w:highlight w:val="none"/>
        </w:rPr>
        <w:fldChar w:fldCharType="begin"/>
      </w:r>
      <w:r>
        <w:rPr>
          <w:highlight w:val="none"/>
        </w:rPr>
        <w:instrText xml:space="preserve"> PAGEREF _Toc15146 \h </w:instrText>
      </w:r>
      <w:r>
        <w:rPr>
          <w:highlight w:val="none"/>
        </w:rPr>
        <w:fldChar w:fldCharType="separate"/>
      </w:r>
      <w:r>
        <w:rPr>
          <w:highlight w:val="none"/>
        </w:rPr>
        <w:t>18</w:t>
      </w:r>
      <w:r>
        <w:rPr>
          <w:highlight w:val="none"/>
        </w:rPr>
        <w:fldChar w:fldCharType="end"/>
      </w:r>
      <w:r>
        <w:rPr>
          <w:rFonts w:hint="default" w:ascii="Times New Roman" w:hAnsi="Times New Roman" w:eastAsia="仿宋_GB2312" w:cs="Times New Roman"/>
          <w:bCs/>
          <w:caps/>
          <w:szCs w:val="24"/>
          <w:highlight w:val="none"/>
        </w:rPr>
        <w:fldChar w:fldCharType="end"/>
      </w:r>
    </w:p>
    <w:p>
      <w:pPr>
        <w:pStyle w:val="11"/>
        <w:tabs>
          <w:tab w:val="right" w:leader="dot" w:pos="8312"/>
        </w:tabs>
        <w:rPr>
          <w:highlight w:val="none"/>
        </w:rPr>
      </w:pPr>
      <w:r>
        <w:rPr>
          <w:rFonts w:hint="default" w:ascii="Times New Roman" w:hAnsi="Times New Roman" w:eastAsia="仿宋_GB2312" w:cs="Times New Roman"/>
          <w:bCs/>
          <w:caps/>
          <w:szCs w:val="24"/>
          <w:highlight w:val="none"/>
        </w:rPr>
        <w:fldChar w:fldCharType="begin"/>
      </w:r>
      <w:r>
        <w:rPr>
          <w:rFonts w:hint="default" w:ascii="Times New Roman" w:hAnsi="Times New Roman" w:eastAsia="仿宋_GB2312" w:cs="Times New Roman"/>
          <w:bCs/>
          <w:caps/>
          <w:szCs w:val="24"/>
          <w:highlight w:val="none"/>
        </w:rPr>
        <w:instrText xml:space="preserve"> HYPERLINK \l _Toc32614 </w:instrText>
      </w:r>
      <w:r>
        <w:rPr>
          <w:rFonts w:hint="default" w:ascii="Times New Roman" w:hAnsi="Times New Roman" w:eastAsia="仿宋_GB2312" w:cs="Times New Roman"/>
          <w:bCs/>
          <w:caps/>
          <w:szCs w:val="24"/>
          <w:highlight w:val="none"/>
        </w:rPr>
        <w:fldChar w:fldCharType="separate"/>
      </w:r>
      <w:r>
        <w:rPr>
          <w:rFonts w:hint="default" w:ascii="Times New Roman" w:hAnsi="Times New Roman" w:cs="Times New Roman"/>
          <w:highlight w:val="none"/>
        </w:rPr>
        <w:t>（一）矿山地质环境治理区的确定</w:t>
      </w:r>
      <w:r>
        <w:rPr>
          <w:highlight w:val="none"/>
        </w:rPr>
        <w:tab/>
      </w:r>
      <w:r>
        <w:rPr>
          <w:highlight w:val="none"/>
        </w:rPr>
        <w:fldChar w:fldCharType="begin"/>
      </w:r>
      <w:r>
        <w:rPr>
          <w:highlight w:val="none"/>
        </w:rPr>
        <w:instrText xml:space="preserve"> PAGEREF _Toc32614 \h </w:instrText>
      </w:r>
      <w:r>
        <w:rPr>
          <w:highlight w:val="none"/>
        </w:rPr>
        <w:fldChar w:fldCharType="separate"/>
      </w:r>
      <w:r>
        <w:rPr>
          <w:highlight w:val="none"/>
        </w:rPr>
        <w:t>18</w:t>
      </w:r>
      <w:r>
        <w:rPr>
          <w:highlight w:val="none"/>
        </w:rPr>
        <w:fldChar w:fldCharType="end"/>
      </w:r>
      <w:r>
        <w:rPr>
          <w:rFonts w:hint="default" w:ascii="Times New Roman" w:hAnsi="Times New Roman" w:eastAsia="仿宋_GB2312" w:cs="Times New Roman"/>
          <w:bCs/>
          <w:caps/>
          <w:szCs w:val="24"/>
          <w:highlight w:val="none"/>
        </w:rPr>
        <w:fldChar w:fldCharType="end"/>
      </w:r>
    </w:p>
    <w:p>
      <w:pPr>
        <w:pStyle w:val="11"/>
        <w:tabs>
          <w:tab w:val="right" w:leader="dot" w:pos="8312"/>
        </w:tabs>
        <w:rPr>
          <w:highlight w:val="none"/>
        </w:rPr>
      </w:pPr>
      <w:r>
        <w:rPr>
          <w:rFonts w:hint="default" w:ascii="Times New Roman" w:hAnsi="Times New Roman" w:eastAsia="仿宋_GB2312" w:cs="Times New Roman"/>
          <w:bCs/>
          <w:caps/>
          <w:szCs w:val="24"/>
          <w:highlight w:val="none"/>
        </w:rPr>
        <w:fldChar w:fldCharType="begin"/>
      </w:r>
      <w:r>
        <w:rPr>
          <w:rFonts w:hint="default" w:ascii="Times New Roman" w:hAnsi="Times New Roman" w:eastAsia="仿宋_GB2312" w:cs="Times New Roman"/>
          <w:bCs/>
          <w:caps/>
          <w:szCs w:val="24"/>
          <w:highlight w:val="none"/>
        </w:rPr>
        <w:instrText xml:space="preserve"> HYPERLINK \l _Toc12985 </w:instrText>
      </w:r>
      <w:r>
        <w:rPr>
          <w:rFonts w:hint="default" w:ascii="Times New Roman" w:hAnsi="Times New Roman" w:eastAsia="仿宋_GB2312" w:cs="Times New Roman"/>
          <w:bCs/>
          <w:caps/>
          <w:szCs w:val="24"/>
          <w:highlight w:val="none"/>
        </w:rPr>
        <w:fldChar w:fldCharType="separate"/>
      </w:r>
      <w:r>
        <w:rPr>
          <w:rFonts w:hint="default" w:ascii="Times New Roman" w:hAnsi="Times New Roman" w:cs="Times New Roman"/>
          <w:highlight w:val="none"/>
        </w:rPr>
        <w:t>（二）矿山地质环境治理工程</w:t>
      </w:r>
      <w:r>
        <w:rPr>
          <w:highlight w:val="none"/>
        </w:rPr>
        <w:tab/>
      </w:r>
      <w:r>
        <w:rPr>
          <w:highlight w:val="none"/>
        </w:rPr>
        <w:fldChar w:fldCharType="begin"/>
      </w:r>
      <w:r>
        <w:rPr>
          <w:highlight w:val="none"/>
        </w:rPr>
        <w:instrText xml:space="preserve"> PAGEREF _Toc12985 \h </w:instrText>
      </w:r>
      <w:r>
        <w:rPr>
          <w:highlight w:val="none"/>
        </w:rPr>
        <w:fldChar w:fldCharType="separate"/>
      </w:r>
      <w:r>
        <w:rPr>
          <w:highlight w:val="none"/>
        </w:rPr>
        <w:t>18</w:t>
      </w:r>
      <w:r>
        <w:rPr>
          <w:highlight w:val="none"/>
        </w:rPr>
        <w:fldChar w:fldCharType="end"/>
      </w:r>
      <w:r>
        <w:rPr>
          <w:rFonts w:hint="default" w:ascii="Times New Roman" w:hAnsi="Times New Roman" w:eastAsia="仿宋_GB2312" w:cs="Times New Roman"/>
          <w:bCs/>
          <w:caps/>
          <w:szCs w:val="24"/>
          <w:highlight w:val="none"/>
        </w:rPr>
        <w:fldChar w:fldCharType="end"/>
      </w:r>
    </w:p>
    <w:p>
      <w:pPr>
        <w:pStyle w:val="11"/>
        <w:tabs>
          <w:tab w:val="right" w:leader="dot" w:pos="8312"/>
        </w:tabs>
        <w:rPr>
          <w:highlight w:val="none"/>
        </w:rPr>
      </w:pPr>
      <w:r>
        <w:rPr>
          <w:rFonts w:hint="default" w:ascii="Times New Roman" w:hAnsi="Times New Roman" w:eastAsia="仿宋_GB2312" w:cs="Times New Roman"/>
          <w:bCs/>
          <w:caps/>
          <w:szCs w:val="24"/>
          <w:highlight w:val="none"/>
        </w:rPr>
        <w:fldChar w:fldCharType="begin"/>
      </w:r>
      <w:r>
        <w:rPr>
          <w:rFonts w:hint="default" w:ascii="Times New Roman" w:hAnsi="Times New Roman" w:eastAsia="仿宋_GB2312" w:cs="Times New Roman"/>
          <w:bCs/>
          <w:caps/>
          <w:szCs w:val="24"/>
          <w:highlight w:val="none"/>
        </w:rPr>
        <w:instrText xml:space="preserve"> HYPERLINK \l _Toc12448 </w:instrText>
      </w:r>
      <w:r>
        <w:rPr>
          <w:rFonts w:hint="default" w:ascii="Times New Roman" w:hAnsi="Times New Roman" w:eastAsia="仿宋_GB2312" w:cs="Times New Roman"/>
          <w:bCs/>
          <w:caps/>
          <w:szCs w:val="24"/>
          <w:highlight w:val="none"/>
        </w:rPr>
        <w:fldChar w:fldCharType="separate"/>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三</w:t>
      </w:r>
      <w:r>
        <w:rPr>
          <w:rFonts w:hint="default" w:ascii="Times New Roman" w:hAnsi="Times New Roman" w:cs="Times New Roman"/>
          <w:highlight w:val="none"/>
          <w:lang w:eastAsia="zh-CN"/>
        </w:rPr>
        <w:t>）</w:t>
      </w:r>
      <w:r>
        <w:rPr>
          <w:rFonts w:hint="default" w:ascii="Times New Roman" w:hAnsi="Times New Roman" w:cs="Times New Roman"/>
          <w:highlight w:val="none"/>
        </w:rPr>
        <w:t>矿山地质环境监测工程</w:t>
      </w:r>
      <w:r>
        <w:rPr>
          <w:highlight w:val="none"/>
        </w:rPr>
        <w:tab/>
      </w:r>
      <w:r>
        <w:rPr>
          <w:highlight w:val="none"/>
        </w:rPr>
        <w:fldChar w:fldCharType="begin"/>
      </w:r>
      <w:r>
        <w:rPr>
          <w:highlight w:val="none"/>
        </w:rPr>
        <w:instrText xml:space="preserve"> PAGEREF _Toc12448 \h </w:instrText>
      </w:r>
      <w:r>
        <w:rPr>
          <w:highlight w:val="none"/>
        </w:rPr>
        <w:fldChar w:fldCharType="separate"/>
      </w:r>
      <w:r>
        <w:rPr>
          <w:highlight w:val="none"/>
        </w:rPr>
        <w:t>18</w:t>
      </w:r>
      <w:r>
        <w:rPr>
          <w:highlight w:val="none"/>
        </w:rPr>
        <w:fldChar w:fldCharType="end"/>
      </w:r>
      <w:r>
        <w:rPr>
          <w:rFonts w:hint="default" w:ascii="Times New Roman" w:hAnsi="Times New Roman" w:eastAsia="仿宋_GB2312" w:cs="Times New Roman"/>
          <w:bCs/>
          <w:caps/>
          <w:szCs w:val="24"/>
          <w:highlight w:val="none"/>
        </w:rPr>
        <w:fldChar w:fldCharType="end"/>
      </w:r>
    </w:p>
    <w:p>
      <w:pPr>
        <w:pStyle w:val="11"/>
        <w:tabs>
          <w:tab w:val="right" w:leader="dot" w:pos="8312"/>
        </w:tabs>
        <w:rPr>
          <w:highlight w:val="none"/>
        </w:rPr>
      </w:pPr>
      <w:r>
        <w:rPr>
          <w:rFonts w:hint="default" w:ascii="Times New Roman" w:hAnsi="Times New Roman" w:eastAsia="仿宋_GB2312" w:cs="Times New Roman"/>
          <w:bCs/>
          <w:caps/>
          <w:szCs w:val="24"/>
          <w:highlight w:val="none"/>
        </w:rPr>
        <w:fldChar w:fldCharType="begin"/>
      </w:r>
      <w:r>
        <w:rPr>
          <w:rFonts w:hint="default" w:ascii="Times New Roman" w:hAnsi="Times New Roman" w:eastAsia="仿宋_GB2312" w:cs="Times New Roman"/>
          <w:bCs/>
          <w:caps/>
          <w:szCs w:val="24"/>
          <w:highlight w:val="none"/>
        </w:rPr>
        <w:instrText xml:space="preserve"> HYPERLINK \l _Toc26489 </w:instrText>
      </w:r>
      <w:r>
        <w:rPr>
          <w:rFonts w:hint="default" w:ascii="Times New Roman" w:hAnsi="Times New Roman" w:eastAsia="仿宋_GB2312" w:cs="Times New Roman"/>
          <w:bCs/>
          <w:caps/>
          <w:szCs w:val="24"/>
          <w:highlight w:val="none"/>
        </w:rPr>
        <w:fldChar w:fldCharType="separate"/>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四</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管护</w:t>
      </w:r>
      <w:r>
        <w:rPr>
          <w:rFonts w:hint="default" w:ascii="Times New Roman" w:hAnsi="Times New Roman" w:cs="Times New Roman"/>
          <w:highlight w:val="none"/>
        </w:rPr>
        <w:t>工程</w:t>
      </w:r>
      <w:r>
        <w:rPr>
          <w:highlight w:val="none"/>
        </w:rPr>
        <w:tab/>
      </w:r>
      <w:r>
        <w:rPr>
          <w:highlight w:val="none"/>
        </w:rPr>
        <w:fldChar w:fldCharType="begin"/>
      </w:r>
      <w:r>
        <w:rPr>
          <w:highlight w:val="none"/>
        </w:rPr>
        <w:instrText xml:space="preserve"> PAGEREF _Toc26489 \h </w:instrText>
      </w:r>
      <w:r>
        <w:rPr>
          <w:highlight w:val="none"/>
        </w:rPr>
        <w:fldChar w:fldCharType="separate"/>
      </w:r>
      <w:r>
        <w:rPr>
          <w:highlight w:val="none"/>
        </w:rPr>
        <w:t>23</w:t>
      </w:r>
      <w:r>
        <w:rPr>
          <w:highlight w:val="none"/>
        </w:rPr>
        <w:fldChar w:fldCharType="end"/>
      </w:r>
      <w:r>
        <w:rPr>
          <w:rFonts w:hint="default" w:ascii="Times New Roman" w:hAnsi="Times New Roman" w:eastAsia="仿宋_GB2312" w:cs="Times New Roman"/>
          <w:bCs/>
          <w:caps/>
          <w:szCs w:val="24"/>
          <w:highlight w:val="none"/>
        </w:rPr>
        <w:fldChar w:fldCharType="end"/>
      </w:r>
    </w:p>
    <w:p>
      <w:pPr>
        <w:pStyle w:val="10"/>
        <w:tabs>
          <w:tab w:val="right" w:leader="dot" w:pos="8312"/>
        </w:tabs>
        <w:rPr>
          <w:highlight w:val="none"/>
        </w:rPr>
      </w:pPr>
      <w:r>
        <w:rPr>
          <w:rFonts w:hint="default" w:ascii="Times New Roman" w:hAnsi="Times New Roman" w:eastAsia="仿宋_GB2312" w:cs="Times New Roman"/>
          <w:bCs/>
          <w:caps/>
          <w:szCs w:val="24"/>
          <w:highlight w:val="none"/>
        </w:rPr>
        <w:fldChar w:fldCharType="begin"/>
      </w:r>
      <w:r>
        <w:rPr>
          <w:rFonts w:hint="default" w:ascii="Times New Roman" w:hAnsi="Times New Roman" w:eastAsia="仿宋_GB2312" w:cs="Times New Roman"/>
          <w:bCs/>
          <w:caps/>
          <w:szCs w:val="24"/>
          <w:highlight w:val="none"/>
        </w:rPr>
        <w:instrText xml:space="preserve"> HYPERLINK \l _Toc2224 </w:instrText>
      </w:r>
      <w:r>
        <w:rPr>
          <w:rFonts w:hint="default" w:ascii="Times New Roman" w:hAnsi="Times New Roman" w:eastAsia="仿宋_GB2312" w:cs="Times New Roman"/>
          <w:bCs/>
          <w:caps/>
          <w:szCs w:val="24"/>
          <w:highlight w:val="none"/>
        </w:rPr>
        <w:fldChar w:fldCharType="separate"/>
      </w:r>
      <w:r>
        <w:rPr>
          <w:rFonts w:hint="default" w:ascii="Times New Roman" w:hAnsi="Times New Roman" w:cs="Times New Roman"/>
          <w:szCs w:val="36"/>
          <w:highlight w:val="none"/>
        </w:rPr>
        <w:t>六、经费预算</w:t>
      </w:r>
      <w:r>
        <w:rPr>
          <w:highlight w:val="none"/>
        </w:rPr>
        <w:tab/>
      </w:r>
      <w:r>
        <w:rPr>
          <w:highlight w:val="none"/>
        </w:rPr>
        <w:fldChar w:fldCharType="begin"/>
      </w:r>
      <w:r>
        <w:rPr>
          <w:highlight w:val="none"/>
        </w:rPr>
        <w:instrText xml:space="preserve"> PAGEREF _Toc2224 \h </w:instrText>
      </w:r>
      <w:r>
        <w:rPr>
          <w:highlight w:val="none"/>
        </w:rPr>
        <w:fldChar w:fldCharType="separate"/>
      </w:r>
      <w:r>
        <w:rPr>
          <w:highlight w:val="none"/>
        </w:rPr>
        <w:t>24</w:t>
      </w:r>
      <w:r>
        <w:rPr>
          <w:highlight w:val="none"/>
        </w:rPr>
        <w:fldChar w:fldCharType="end"/>
      </w:r>
      <w:r>
        <w:rPr>
          <w:rFonts w:hint="default" w:ascii="Times New Roman" w:hAnsi="Times New Roman" w:eastAsia="仿宋_GB2312" w:cs="Times New Roman"/>
          <w:bCs/>
          <w:caps/>
          <w:szCs w:val="24"/>
          <w:highlight w:val="none"/>
        </w:rPr>
        <w:fldChar w:fldCharType="end"/>
      </w:r>
    </w:p>
    <w:p>
      <w:pPr>
        <w:pStyle w:val="11"/>
        <w:tabs>
          <w:tab w:val="right" w:leader="dot" w:pos="8312"/>
        </w:tabs>
        <w:rPr>
          <w:highlight w:val="none"/>
        </w:rPr>
      </w:pPr>
      <w:r>
        <w:rPr>
          <w:rFonts w:hint="default" w:ascii="Times New Roman" w:hAnsi="Times New Roman" w:eastAsia="仿宋_GB2312" w:cs="Times New Roman"/>
          <w:bCs/>
          <w:caps/>
          <w:szCs w:val="24"/>
          <w:highlight w:val="none"/>
        </w:rPr>
        <w:fldChar w:fldCharType="begin"/>
      </w:r>
      <w:r>
        <w:rPr>
          <w:rFonts w:hint="default" w:ascii="Times New Roman" w:hAnsi="Times New Roman" w:eastAsia="仿宋_GB2312" w:cs="Times New Roman"/>
          <w:bCs/>
          <w:caps/>
          <w:szCs w:val="24"/>
          <w:highlight w:val="none"/>
        </w:rPr>
        <w:instrText xml:space="preserve"> HYPERLINK \l _Toc3444 </w:instrText>
      </w:r>
      <w:r>
        <w:rPr>
          <w:rFonts w:hint="default" w:ascii="Times New Roman" w:hAnsi="Times New Roman" w:eastAsia="仿宋_GB2312" w:cs="Times New Roman"/>
          <w:bCs/>
          <w:caps/>
          <w:szCs w:val="24"/>
          <w:highlight w:val="none"/>
        </w:rPr>
        <w:fldChar w:fldCharType="separate"/>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一</w:t>
      </w:r>
      <w:r>
        <w:rPr>
          <w:rFonts w:hint="default" w:ascii="Times New Roman" w:hAnsi="Times New Roman" w:cs="Times New Roman"/>
          <w:highlight w:val="none"/>
          <w:lang w:eastAsia="zh-CN"/>
        </w:rPr>
        <w:t>）</w:t>
      </w:r>
      <w:r>
        <w:rPr>
          <w:rFonts w:hint="default" w:ascii="Times New Roman" w:hAnsi="Times New Roman" w:cs="Times New Roman"/>
          <w:highlight w:val="none"/>
        </w:rPr>
        <w:t xml:space="preserve">  工程经费概算编制依据</w:t>
      </w:r>
      <w:r>
        <w:rPr>
          <w:highlight w:val="none"/>
        </w:rPr>
        <w:tab/>
      </w:r>
      <w:r>
        <w:rPr>
          <w:highlight w:val="none"/>
        </w:rPr>
        <w:fldChar w:fldCharType="begin"/>
      </w:r>
      <w:r>
        <w:rPr>
          <w:highlight w:val="none"/>
        </w:rPr>
        <w:instrText xml:space="preserve"> PAGEREF _Toc3444 \h </w:instrText>
      </w:r>
      <w:r>
        <w:rPr>
          <w:highlight w:val="none"/>
        </w:rPr>
        <w:fldChar w:fldCharType="separate"/>
      </w:r>
      <w:r>
        <w:rPr>
          <w:highlight w:val="none"/>
        </w:rPr>
        <w:t>24</w:t>
      </w:r>
      <w:r>
        <w:rPr>
          <w:highlight w:val="none"/>
        </w:rPr>
        <w:fldChar w:fldCharType="end"/>
      </w:r>
      <w:r>
        <w:rPr>
          <w:rFonts w:hint="default" w:ascii="Times New Roman" w:hAnsi="Times New Roman" w:eastAsia="仿宋_GB2312" w:cs="Times New Roman"/>
          <w:bCs/>
          <w:caps/>
          <w:szCs w:val="24"/>
          <w:highlight w:val="none"/>
        </w:rPr>
        <w:fldChar w:fldCharType="end"/>
      </w:r>
    </w:p>
    <w:p>
      <w:pPr>
        <w:pStyle w:val="11"/>
        <w:tabs>
          <w:tab w:val="right" w:leader="dot" w:pos="8312"/>
        </w:tabs>
        <w:rPr>
          <w:highlight w:val="none"/>
        </w:rPr>
      </w:pPr>
      <w:r>
        <w:rPr>
          <w:rFonts w:hint="default" w:ascii="Times New Roman" w:hAnsi="Times New Roman" w:eastAsia="仿宋_GB2312" w:cs="Times New Roman"/>
          <w:bCs/>
          <w:caps/>
          <w:szCs w:val="24"/>
          <w:highlight w:val="none"/>
        </w:rPr>
        <w:fldChar w:fldCharType="begin"/>
      </w:r>
      <w:r>
        <w:rPr>
          <w:rFonts w:hint="default" w:ascii="Times New Roman" w:hAnsi="Times New Roman" w:eastAsia="仿宋_GB2312" w:cs="Times New Roman"/>
          <w:bCs/>
          <w:caps/>
          <w:szCs w:val="24"/>
          <w:highlight w:val="none"/>
        </w:rPr>
        <w:instrText xml:space="preserve"> HYPERLINK \l _Toc22752 </w:instrText>
      </w:r>
      <w:r>
        <w:rPr>
          <w:rFonts w:hint="default" w:ascii="Times New Roman" w:hAnsi="Times New Roman" w:eastAsia="仿宋_GB2312" w:cs="Times New Roman"/>
          <w:bCs/>
          <w:caps/>
          <w:szCs w:val="24"/>
          <w:highlight w:val="none"/>
        </w:rPr>
        <w:fldChar w:fldCharType="separate"/>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二</w:t>
      </w:r>
      <w:r>
        <w:rPr>
          <w:rFonts w:hint="default" w:ascii="Times New Roman" w:hAnsi="Times New Roman" w:cs="Times New Roman"/>
          <w:highlight w:val="none"/>
          <w:lang w:eastAsia="zh-CN"/>
        </w:rPr>
        <w:t>）</w:t>
      </w:r>
      <w:r>
        <w:rPr>
          <w:rFonts w:hint="default" w:ascii="Times New Roman" w:hAnsi="Times New Roman" w:cs="Times New Roman"/>
          <w:highlight w:val="none"/>
        </w:rPr>
        <w:t xml:space="preserve">  工程经费概算编制说明</w:t>
      </w:r>
      <w:r>
        <w:rPr>
          <w:highlight w:val="none"/>
        </w:rPr>
        <w:tab/>
      </w:r>
      <w:r>
        <w:rPr>
          <w:highlight w:val="none"/>
        </w:rPr>
        <w:fldChar w:fldCharType="begin"/>
      </w:r>
      <w:r>
        <w:rPr>
          <w:highlight w:val="none"/>
        </w:rPr>
        <w:instrText xml:space="preserve"> PAGEREF _Toc22752 \h </w:instrText>
      </w:r>
      <w:r>
        <w:rPr>
          <w:highlight w:val="none"/>
        </w:rPr>
        <w:fldChar w:fldCharType="separate"/>
      </w:r>
      <w:r>
        <w:rPr>
          <w:highlight w:val="none"/>
        </w:rPr>
        <w:t>24</w:t>
      </w:r>
      <w:r>
        <w:rPr>
          <w:highlight w:val="none"/>
        </w:rPr>
        <w:fldChar w:fldCharType="end"/>
      </w:r>
      <w:r>
        <w:rPr>
          <w:rFonts w:hint="default" w:ascii="Times New Roman" w:hAnsi="Times New Roman" w:eastAsia="仿宋_GB2312" w:cs="Times New Roman"/>
          <w:bCs/>
          <w:caps/>
          <w:szCs w:val="24"/>
          <w:highlight w:val="none"/>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仿宋_GB2312" w:cs="Times New Roman"/>
          <w:bCs/>
          <w:caps/>
          <w:szCs w:val="24"/>
          <w:highlight w:val="none"/>
        </w:rPr>
      </w:pPr>
      <w:r>
        <w:rPr>
          <w:rFonts w:hint="default" w:ascii="Times New Roman" w:hAnsi="Times New Roman" w:eastAsia="仿宋_GB2312" w:cs="Times New Roman"/>
          <w:bCs/>
          <w:caps/>
          <w:szCs w:val="24"/>
          <w:highlight w:val="none"/>
        </w:rPr>
        <w:fldChar w:fldCharType="end"/>
      </w:r>
    </w:p>
    <w:p>
      <w:pPr>
        <w:pStyle w:val="2"/>
        <w:rPr>
          <w:rFonts w:hint="default" w:ascii="Times New Roman" w:hAnsi="Times New Roman" w:cs="Times New Roman"/>
          <w:highlight w:val="none"/>
        </w:rPr>
      </w:pPr>
    </w:p>
    <w:p>
      <w:pPr>
        <w:spacing w:before="120" w:beforeLines="50"/>
        <w:ind w:firstLine="0" w:firstLineChars="0"/>
        <w:rPr>
          <w:rFonts w:hint="default" w:ascii="Times New Roman" w:hAnsi="Times New Roman" w:cs="Times New Roman"/>
          <w:bCs/>
          <w:caps/>
          <w:sz w:val="32"/>
          <w:highlight w:val="none"/>
        </w:rPr>
      </w:pPr>
      <w:r>
        <w:rPr>
          <w:rFonts w:hint="default" w:ascii="Times New Roman" w:hAnsi="Times New Roman" w:cs="Times New Roman"/>
          <w:b/>
          <w:sz w:val="28"/>
          <w:szCs w:val="28"/>
          <w:highlight w:val="none"/>
        </w:rPr>
        <w:t>附  图</w:t>
      </w:r>
    </w:p>
    <w:p>
      <w:pPr>
        <w:numPr>
          <w:ilvl w:val="0"/>
          <w:numId w:val="1"/>
        </w:numPr>
        <w:adjustRightInd/>
        <w:ind w:firstLine="480"/>
        <w:jc w:val="left"/>
        <w:rPr>
          <w:rFonts w:hint="default" w:ascii="Times New Roman" w:hAnsi="Times New Roman" w:cs="Times New Roman"/>
          <w:szCs w:val="24"/>
          <w:highlight w:val="none"/>
        </w:rPr>
      </w:pPr>
      <w:r>
        <w:rPr>
          <w:rFonts w:hint="default" w:ascii="Times New Roman" w:hAnsi="Times New Roman" w:cs="Times New Roman"/>
          <w:bCs/>
          <w:szCs w:val="24"/>
          <w:highlight w:val="none"/>
          <w:lang w:eastAsia="zh-CN"/>
        </w:rPr>
        <w:t>宁城县生鑫矿业有限公司七家矿区铁矿</w:t>
      </w:r>
      <w:r>
        <w:rPr>
          <w:rFonts w:hint="default" w:ascii="Times New Roman" w:hAnsi="Times New Roman" w:cs="Times New Roman"/>
          <w:bCs/>
          <w:szCs w:val="24"/>
          <w:highlight w:val="none"/>
        </w:rPr>
        <w:t>202</w:t>
      </w:r>
      <w:r>
        <w:rPr>
          <w:rFonts w:hint="default" w:ascii="Times New Roman" w:hAnsi="Times New Roman" w:cs="Times New Roman"/>
          <w:bCs/>
          <w:szCs w:val="24"/>
          <w:highlight w:val="none"/>
          <w:lang w:val="en-US" w:eastAsia="zh-CN"/>
        </w:rPr>
        <w:t>4</w:t>
      </w:r>
      <w:r>
        <w:rPr>
          <w:rFonts w:hint="default" w:ascii="Times New Roman" w:hAnsi="Times New Roman" w:cs="Times New Roman"/>
          <w:bCs/>
          <w:szCs w:val="24"/>
          <w:highlight w:val="none"/>
        </w:rPr>
        <w:t>年度矿山地质环境治理工程部署图</w:t>
      </w:r>
      <w:r>
        <w:rPr>
          <w:rFonts w:hint="default" w:ascii="Times New Roman" w:hAnsi="Times New Roman" w:cs="Times New Roman"/>
          <w:szCs w:val="24"/>
          <w:highlight w:val="none"/>
          <w:lang w:eastAsia="zh-CN"/>
        </w:rPr>
        <w:t>（</w:t>
      </w:r>
      <w:r>
        <w:rPr>
          <w:rFonts w:hint="default" w:ascii="Times New Roman" w:hAnsi="Times New Roman" w:cs="Times New Roman"/>
          <w:szCs w:val="24"/>
          <w:highlight w:val="none"/>
        </w:rPr>
        <w:t>比例尺1:</w:t>
      </w:r>
      <w:r>
        <w:rPr>
          <w:rFonts w:hint="default" w:ascii="Times New Roman" w:hAnsi="Times New Roman" w:cs="Times New Roman"/>
          <w:szCs w:val="24"/>
          <w:highlight w:val="none"/>
          <w:lang w:val="en-US" w:eastAsia="zh-CN"/>
        </w:rPr>
        <w:t>1</w:t>
      </w:r>
      <w:r>
        <w:rPr>
          <w:rFonts w:hint="default" w:ascii="Times New Roman" w:hAnsi="Times New Roman" w:cs="Times New Roman"/>
          <w:szCs w:val="24"/>
          <w:highlight w:val="none"/>
        </w:rPr>
        <w:t>000</w:t>
      </w:r>
      <w:r>
        <w:rPr>
          <w:rFonts w:hint="default" w:ascii="Times New Roman" w:hAnsi="Times New Roman" w:cs="Times New Roman"/>
          <w:szCs w:val="24"/>
          <w:highlight w:val="none"/>
          <w:lang w:eastAsia="zh-CN"/>
        </w:rPr>
        <w:t>）</w:t>
      </w:r>
    </w:p>
    <w:p>
      <w:pPr>
        <w:tabs>
          <w:tab w:val="left" w:pos="426"/>
        </w:tabs>
        <w:ind w:firstLine="0" w:firstLineChars="0"/>
        <w:rPr>
          <w:rFonts w:hint="default" w:ascii="Times New Roman" w:hAnsi="Times New Roman" w:cs="Times New Roman"/>
          <w:szCs w:val="24"/>
          <w:highlight w:val="none"/>
        </w:rPr>
      </w:pPr>
    </w:p>
    <w:p>
      <w:pPr>
        <w:ind w:right="-518" w:rightChars="-216" w:firstLine="0" w:firstLineChars="0"/>
        <w:textAlignment w:val="center"/>
        <w:rPr>
          <w:rFonts w:hint="default" w:ascii="Times New Roman" w:hAnsi="Times New Roman" w:cs="Times New Roman"/>
          <w:szCs w:val="24"/>
          <w:highlight w:val="none"/>
        </w:rPr>
      </w:pPr>
    </w:p>
    <w:p>
      <w:pPr>
        <w:pStyle w:val="3"/>
        <w:spacing w:before="120" w:after="120" w:line="360" w:lineRule="auto"/>
        <w:jc w:val="both"/>
        <w:rPr>
          <w:rFonts w:hint="default" w:ascii="Times New Roman" w:hAnsi="Times New Roman" w:cs="Times New Roman"/>
          <w:sz w:val="36"/>
          <w:szCs w:val="36"/>
          <w:highlight w:val="none"/>
        </w:rPr>
        <w:sectPr>
          <w:footerReference r:id="rId12"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linePitch="326" w:charSpace="0"/>
        </w:sectPr>
      </w:pPr>
    </w:p>
    <w:p>
      <w:pPr>
        <w:pStyle w:val="3"/>
        <w:numPr>
          <w:ilvl w:val="0"/>
          <w:numId w:val="2"/>
        </w:numPr>
        <w:spacing w:before="120" w:after="120" w:line="360" w:lineRule="auto"/>
        <w:rPr>
          <w:rFonts w:hint="default" w:ascii="Times New Roman" w:hAnsi="Times New Roman" w:cs="Times New Roman"/>
          <w:sz w:val="36"/>
          <w:szCs w:val="36"/>
          <w:highlight w:val="none"/>
        </w:rPr>
      </w:pPr>
      <w:bookmarkStart w:id="8" w:name="_Toc28864"/>
      <w:r>
        <w:rPr>
          <w:rFonts w:hint="default" w:ascii="Times New Roman" w:hAnsi="Times New Roman" w:cs="Times New Roman"/>
          <w:sz w:val="36"/>
          <w:szCs w:val="36"/>
          <w:highlight w:val="none"/>
        </w:rPr>
        <w:t>矿山基本情况</w:t>
      </w:r>
      <w:bookmarkEnd w:id="8"/>
    </w:p>
    <w:tbl>
      <w:tblPr>
        <w:tblStyle w:val="14"/>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1040"/>
        <w:gridCol w:w="2822"/>
        <w:gridCol w:w="157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8500" w:type="dxa"/>
            <w:gridSpan w:val="5"/>
            <w:vAlign w:val="center"/>
          </w:tcPr>
          <w:p>
            <w:pPr>
              <w:spacing w:line="240" w:lineRule="auto"/>
              <w:ind w:firstLine="42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矿山企业基本信息表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508"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矿山名称</w:t>
            </w:r>
          </w:p>
        </w:tc>
        <w:tc>
          <w:tcPr>
            <w:tcW w:w="6992" w:type="dxa"/>
            <w:gridSpan w:val="4"/>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lang w:eastAsia="zh-CN"/>
              </w:rPr>
              <w:t>宁城县生鑫矿业有限公司</w:t>
            </w:r>
            <w:r>
              <w:rPr>
                <w:rFonts w:hint="default" w:ascii="Times New Roman" w:hAnsi="Times New Roman" w:cs="Times New Roman" w:eastAsiaTheme="minorEastAsia"/>
                <w:bCs/>
                <w:sz w:val="21"/>
                <w:szCs w:val="21"/>
                <w:highlight w:val="yellow"/>
                <w:lang w:eastAsia="zh-CN"/>
              </w:rPr>
              <w:t>七家矿区铁矿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508"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采矿权人</w:t>
            </w:r>
          </w:p>
        </w:tc>
        <w:tc>
          <w:tcPr>
            <w:tcW w:w="3862" w:type="dxa"/>
            <w:gridSpan w:val="2"/>
            <w:vAlign w:val="center"/>
          </w:tcPr>
          <w:p>
            <w:pPr>
              <w:spacing w:line="240" w:lineRule="auto"/>
              <w:ind w:firstLine="0" w:firstLineChars="0"/>
              <w:jc w:val="center"/>
              <w:rPr>
                <w:rFonts w:hint="default" w:ascii="Times New Roman" w:hAnsi="Times New Roman" w:cs="Times New Roman" w:eastAsiaTheme="minorEastAsia"/>
                <w:color w:val="000000" w:themeColor="text1"/>
                <w:sz w:val="21"/>
                <w:szCs w:val="21"/>
                <w:highlight w:val="yellow"/>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yellow"/>
                <w:lang w:eastAsia="zh-CN"/>
                <w14:textFill>
                  <w14:solidFill>
                    <w14:schemeClr w14:val="tx1"/>
                  </w14:solidFill>
                </w14:textFill>
              </w:rPr>
              <w:t>宁城县生鑫矿业有限公司</w:t>
            </w:r>
          </w:p>
        </w:tc>
        <w:tc>
          <w:tcPr>
            <w:tcW w:w="1570" w:type="dxa"/>
            <w:vAlign w:val="center"/>
          </w:tcPr>
          <w:p>
            <w:pPr>
              <w:spacing w:line="240" w:lineRule="auto"/>
              <w:ind w:firstLine="0" w:firstLineChars="0"/>
              <w:jc w:val="center"/>
              <w:rPr>
                <w:rFonts w:hint="default" w:ascii="Times New Roman" w:hAnsi="Times New Roman" w:cs="Times New Roman" w:eastAsiaTheme="minorEastAsia"/>
                <w:color w:val="000000" w:themeColor="text1"/>
                <w:sz w:val="21"/>
                <w:szCs w:val="21"/>
                <w:highlight w:val="yellow"/>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yellow"/>
                <w:lang w:eastAsia="zh-CN"/>
                <w14:textFill>
                  <w14:solidFill>
                    <w14:schemeClr w14:val="tx1"/>
                  </w14:solidFill>
                </w14:textFill>
              </w:rPr>
              <w:t>法人代表</w:t>
            </w:r>
          </w:p>
        </w:tc>
        <w:tc>
          <w:tcPr>
            <w:tcW w:w="1560" w:type="dxa"/>
            <w:vAlign w:val="center"/>
          </w:tcPr>
          <w:p>
            <w:pPr>
              <w:spacing w:line="240" w:lineRule="auto"/>
              <w:ind w:firstLine="0" w:firstLineChars="0"/>
              <w:jc w:val="center"/>
              <w:rPr>
                <w:rFonts w:hint="default" w:ascii="Times New Roman" w:hAnsi="Times New Roman" w:cs="Times New Roman" w:eastAsiaTheme="minorEastAsia"/>
                <w:color w:val="000000" w:themeColor="text1"/>
                <w:sz w:val="21"/>
                <w:szCs w:val="21"/>
                <w:highlight w:val="yellow"/>
                <w:lang w:val="en-US" w:eastAsia="zh-CN"/>
                <w14:textFill>
                  <w14:solidFill>
                    <w14:schemeClr w14:val="tx1"/>
                  </w14:solidFill>
                </w14:textFill>
              </w:rPr>
            </w:pPr>
            <w:r>
              <w:rPr>
                <w:rFonts w:hint="eastAsia" w:cs="Times New Roman" w:eastAsiaTheme="minorEastAsia"/>
                <w:color w:val="000000" w:themeColor="text1"/>
                <w:sz w:val="21"/>
                <w:szCs w:val="21"/>
                <w:highlight w:val="yellow"/>
                <w:lang w:val="en-US" w:eastAsia="zh-CN"/>
                <w14:textFill>
                  <w14:solidFill>
                    <w14:schemeClr w14:val="tx1"/>
                  </w14:solidFill>
                </w14:textFill>
              </w:rPr>
              <w:t>张超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exact"/>
          <w:jc w:val="center"/>
        </w:trPr>
        <w:tc>
          <w:tcPr>
            <w:tcW w:w="1508"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采矿许可证号</w:t>
            </w:r>
          </w:p>
        </w:tc>
        <w:tc>
          <w:tcPr>
            <w:tcW w:w="3862" w:type="dxa"/>
            <w:gridSpan w:val="2"/>
            <w:vAlign w:val="center"/>
          </w:tcPr>
          <w:p>
            <w:pPr>
              <w:spacing w:line="240" w:lineRule="auto"/>
              <w:ind w:firstLine="0" w:firstLineChars="0"/>
              <w:jc w:val="center"/>
              <w:rPr>
                <w:rFonts w:hint="default" w:ascii="Times New Roman" w:hAnsi="Times New Roman" w:cs="Times New Roman" w:eastAsiaTheme="minorEastAsia"/>
                <w:color w:val="000000" w:themeColor="text1"/>
                <w:sz w:val="21"/>
                <w:szCs w:val="21"/>
                <w:highlight w:val="yellow"/>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yellow"/>
                <w14:textFill>
                  <w14:solidFill>
                    <w14:schemeClr w14:val="tx1"/>
                  </w14:solidFill>
                </w14:textFill>
              </w:rPr>
              <w:t>C1500002011032110108445</w:t>
            </w:r>
          </w:p>
        </w:tc>
        <w:tc>
          <w:tcPr>
            <w:tcW w:w="1570" w:type="dxa"/>
            <w:vAlign w:val="center"/>
          </w:tcPr>
          <w:p>
            <w:pPr>
              <w:spacing w:line="240" w:lineRule="auto"/>
              <w:ind w:firstLine="0" w:firstLineChars="0"/>
              <w:jc w:val="center"/>
              <w:rPr>
                <w:rFonts w:hint="default" w:ascii="Times New Roman" w:hAnsi="Times New Roman" w:cs="Times New Roman" w:eastAsiaTheme="minorEastAsia"/>
                <w:color w:val="000000" w:themeColor="text1"/>
                <w:sz w:val="21"/>
                <w:szCs w:val="21"/>
                <w:highlight w:val="yellow"/>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yellow"/>
                <w:lang w:eastAsia="zh-CN"/>
                <w14:textFill>
                  <w14:solidFill>
                    <w14:schemeClr w14:val="tx1"/>
                  </w14:solidFill>
                </w14:textFill>
              </w:rPr>
              <w:t>发证机关</w:t>
            </w:r>
          </w:p>
        </w:tc>
        <w:tc>
          <w:tcPr>
            <w:tcW w:w="1560" w:type="dxa"/>
            <w:vAlign w:val="center"/>
          </w:tcPr>
          <w:p>
            <w:pPr>
              <w:spacing w:line="240" w:lineRule="auto"/>
              <w:ind w:firstLine="0" w:firstLineChars="0"/>
              <w:jc w:val="center"/>
              <w:rPr>
                <w:rFonts w:hint="default" w:ascii="Times New Roman" w:hAnsi="Times New Roman" w:cs="Times New Roman" w:eastAsiaTheme="minorEastAsia"/>
                <w:color w:val="000000" w:themeColor="text1"/>
                <w:sz w:val="21"/>
                <w:szCs w:val="21"/>
                <w:highlight w:val="yellow"/>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yellow"/>
                <w:lang w:val="en-US" w:eastAsia="zh-CN"/>
                <w14:textFill>
                  <w14:solidFill>
                    <w14:schemeClr w14:val="tx1"/>
                  </w14:solidFill>
                </w14:textFill>
              </w:rPr>
              <w:t>内蒙古自治区</w:t>
            </w:r>
            <w:r>
              <w:rPr>
                <w:rFonts w:hint="default" w:ascii="Times New Roman" w:hAnsi="Times New Roman" w:cs="Times New Roman" w:eastAsiaTheme="minorEastAsia"/>
                <w:color w:val="000000" w:themeColor="text1"/>
                <w:sz w:val="21"/>
                <w:szCs w:val="21"/>
                <w:highlight w:val="yellow"/>
                <w:lang w:eastAsia="zh-CN"/>
                <w14:textFill>
                  <w14:solidFill>
                    <w14:schemeClr w14:val="tx1"/>
                  </w14:solidFill>
                </w14:textFill>
              </w:rPr>
              <w:t>自然资源</w:t>
            </w:r>
            <w:r>
              <w:rPr>
                <w:rFonts w:hint="default" w:ascii="Times New Roman" w:hAnsi="Times New Roman" w:cs="Times New Roman" w:eastAsiaTheme="minorEastAsia"/>
                <w:color w:val="000000" w:themeColor="text1"/>
                <w:sz w:val="21"/>
                <w:szCs w:val="21"/>
                <w:highlight w:val="yellow"/>
                <w:lang w:val="en-US" w:eastAsia="zh-CN"/>
                <w14:textFill>
                  <w14:solidFill>
                    <w14:schemeClr w14:val="tx1"/>
                  </w14:solidFill>
                </w14:textFill>
              </w:rPr>
              <w:t>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508"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有</w:t>
            </w:r>
            <w:r>
              <w:rPr>
                <w:rFonts w:hint="default" w:ascii="Times New Roman" w:hAnsi="Times New Roman" w:cs="Times New Roman" w:eastAsiaTheme="minorEastAsia"/>
                <w:sz w:val="21"/>
                <w:szCs w:val="21"/>
                <w:highlight w:val="yellow"/>
                <w:lang w:val="en-US" w:eastAsia="zh-CN"/>
              </w:rPr>
              <w:t>效</w:t>
            </w:r>
            <w:r>
              <w:rPr>
                <w:rFonts w:hint="default" w:ascii="Times New Roman" w:hAnsi="Times New Roman" w:cs="Times New Roman" w:eastAsiaTheme="minorEastAsia"/>
                <w:sz w:val="21"/>
                <w:szCs w:val="21"/>
                <w:highlight w:val="yellow"/>
              </w:rPr>
              <w:t>期限</w:t>
            </w:r>
          </w:p>
        </w:tc>
        <w:tc>
          <w:tcPr>
            <w:tcW w:w="3862" w:type="dxa"/>
            <w:gridSpan w:val="2"/>
            <w:vAlign w:val="center"/>
          </w:tcPr>
          <w:p>
            <w:pPr>
              <w:spacing w:line="240" w:lineRule="auto"/>
              <w:ind w:firstLine="0" w:firstLineChars="0"/>
              <w:jc w:val="center"/>
              <w:rPr>
                <w:rFonts w:hint="default" w:ascii="Times New Roman" w:hAnsi="Times New Roman" w:cs="Times New Roman" w:eastAsiaTheme="minorEastAsia"/>
                <w:color w:val="000000" w:themeColor="text1"/>
                <w:sz w:val="21"/>
                <w:szCs w:val="21"/>
                <w:highlight w:val="yellow"/>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yellow"/>
                <w14:textFill>
                  <w14:solidFill>
                    <w14:schemeClr w14:val="tx1"/>
                  </w14:solidFill>
                </w14:textFill>
              </w:rPr>
              <w:t>202</w:t>
            </w:r>
            <w:r>
              <w:rPr>
                <w:rFonts w:hint="eastAsia" w:cs="Times New Roman" w:eastAsiaTheme="minorEastAsia"/>
                <w:color w:val="000000" w:themeColor="text1"/>
                <w:sz w:val="21"/>
                <w:szCs w:val="21"/>
                <w:highlight w:val="yellow"/>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highlight w:val="yellow"/>
                <w14:textFill>
                  <w14:solidFill>
                    <w14:schemeClr w14:val="tx1"/>
                  </w14:solidFill>
                </w14:textFill>
              </w:rPr>
              <w:t>年1月2</w:t>
            </w:r>
            <w:r>
              <w:rPr>
                <w:rFonts w:hint="eastAsia" w:cs="Times New Roman" w:eastAsiaTheme="minorEastAsia"/>
                <w:color w:val="000000" w:themeColor="text1"/>
                <w:sz w:val="21"/>
                <w:szCs w:val="21"/>
                <w:highlight w:val="yellow"/>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1"/>
                <w:szCs w:val="21"/>
                <w:highlight w:val="yellow"/>
                <w14:textFill>
                  <w14:solidFill>
                    <w14:schemeClr w14:val="tx1"/>
                  </w14:solidFill>
                </w14:textFill>
              </w:rPr>
              <w:t>日至20</w:t>
            </w:r>
            <w:r>
              <w:rPr>
                <w:rFonts w:hint="eastAsia" w:cs="Times New Roman" w:eastAsiaTheme="minorEastAsia"/>
                <w:color w:val="000000" w:themeColor="text1"/>
                <w:sz w:val="21"/>
                <w:szCs w:val="21"/>
                <w:highlight w:val="yellow"/>
                <w:lang w:val="en-US" w:eastAsia="zh-CN"/>
                <w14:textFill>
                  <w14:solidFill>
                    <w14:schemeClr w14:val="tx1"/>
                  </w14:solidFill>
                </w14:textFill>
              </w:rPr>
              <w:t>32</w:t>
            </w:r>
            <w:r>
              <w:rPr>
                <w:rFonts w:hint="default" w:ascii="Times New Roman" w:hAnsi="Times New Roman" w:cs="Times New Roman" w:eastAsiaTheme="minorEastAsia"/>
                <w:color w:val="000000" w:themeColor="text1"/>
                <w:sz w:val="21"/>
                <w:szCs w:val="21"/>
                <w:highlight w:val="yellow"/>
                <w14:textFill>
                  <w14:solidFill>
                    <w14:schemeClr w14:val="tx1"/>
                  </w14:solidFill>
                </w14:textFill>
              </w:rPr>
              <w:t>年1月26日</w:t>
            </w:r>
          </w:p>
        </w:tc>
        <w:tc>
          <w:tcPr>
            <w:tcW w:w="1570" w:type="dxa"/>
            <w:vAlign w:val="center"/>
          </w:tcPr>
          <w:p>
            <w:pPr>
              <w:spacing w:line="240" w:lineRule="auto"/>
              <w:ind w:firstLine="0" w:firstLineChars="0"/>
              <w:jc w:val="center"/>
              <w:rPr>
                <w:rFonts w:hint="default" w:ascii="Times New Roman" w:hAnsi="Times New Roman" w:cs="Times New Roman" w:eastAsiaTheme="minorEastAsia"/>
                <w:color w:val="000000" w:themeColor="text1"/>
                <w:sz w:val="21"/>
                <w:szCs w:val="21"/>
                <w:highlight w:val="yellow"/>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yellow"/>
                <w:lang w:eastAsia="zh-CN"/>
                <w14:textFill>
                  <w14:solidFill>
                    <w14:schemeClr w14:val="tx1"/>
                  </w14:solidFill>
                </w14:textFill>
              </w:rPr>
              <w:t>发证日期</w:t>
            </w:r>
          </w:p>
        </w:tc>
        <w:tc>
          <w:tcPr>
            <w:tcW w:w="1560" w:type="dxa"/>
            <w:vAlign w:val="center"/>
          </w:tcPr>
          <w:p>
            <w:pPr>
              <w:spacing w:line="240" w:lineRule="auto"/>
              <w:ind w:firstLine="0" w:firstLineChars="0"/>
              <w:jc w:val="center"/>
              <w:rPr>
                <w:rFonts w:hint="default" w:ascii="Times New Roman" w:hAnsi="Times New Roman" w:cs="Times New Roman" w:eastAsiaTheme="minorEastAsia"/>
                <w:color w:val="000000" w:themeColor="text1"/>
                <w:sz w:val="21"/>
                <w:szCs w:val="21"/>
                <w:highlight w:val="yellow"/>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yellow"/>
                <w:lang w:eastAsia="zh-CN"/>
                <w14:textFill>
                  <w14:solidFill>
                    <w14:schemeClr w14:val="tx1"/>
                  </w14:solidFill>
                </w14:textFill>
              </w:rPr>
              <w:t>20</w:t>
            </w:r>
            <w:r>
              <w:rPr>
                <w:rFonts w:hint="default" w:ascii="Times New Roman" w:hAnsi="Times New Roman" w:cs="Times New Roman" w:eastAsiaTheme="minorEastAsia"/>
                <w:color w:val="000000" w:themeColor="text1"/>
                <w:sz w:val="21"/>
                <w:szCs w:val="21"/>
                <w:highlight w:val="yellow"/>
                <w:lang w:val="en-US" w:eastAsia="zh-CN"/>
                <w14:textFill>
                  <w14:solidFill>
                    <w14:schemeClr w14:val="tx1"/>
                  </w14:solidFill>
                </w14:textFill>
              </w:rPr>
              <w:t>2</w:t>
            </w:r>
            <w:r>
              <w:rPr>
                <w:rFonts w:hint="eastAsia" w:cs="Times New Roman" w:eastAsiaTheme="minorEastAsia"/>
                <w:color w:val="000000" w:themeColor="text1"/>
                <w:sz w:val="21"/>
                <w:szCs w:val="21"/>
                <w:highlight w:val="yellow"/>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yellow"/>
                <w:lang w:eastAsia="zh-CN"/>
                <w14:textFill>
                  <w14:solidFill>
                    <w14:schemeClr w14:val="tx1"/>
                  </w14:solidFill>
                </w14:textFill>
              </w:rPr>
              <w:t>年</w:t>
            </w:r>
            <w:r>
              <w:rPr>
                <w:rFonts w:hint="default" w:ascii="Times New Roman" w:hAnsi="Times New Roman" w:cs="Times New Roman" w:eastAsiaTheme="minorEastAsia"/>
                <w:color w:val="000000" w:themeColor="text1"/>
                <w:sz w:val="21"/>
                <w:szCs w:val="21"/>
                <w:highlight w:val="yellow"/>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1"/>
                <w:szCs w:val="21"/>
                <w:highlight w:val="yellow"/>
                <w:lang w:eastAsia="zh-CN"/>
                <w14:textFill>
                  <w14:solidFill>
                    <w14:schemeClr w14:val="tx1"/>
                  </w14:solidFill>
                </w14:textFill>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508"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矿区地址</w:t>
            </w:r>
          </w:p>
        </w:tc>
        <w:tc>
          <w:tcPr>
            <w:tcW w:w="6992" w:type="dxa"/>
            <w:gridSpan w:val="4"/>
            <w:vAlign w:val="center"/>
          </w:tcPr>
          <w:p>
            <w:pPr>
              <w:spacing w:line="240" w:lineRule="auto"/>
              <w:ind w:firstLine="0" w:firstLineChars="0"/>
              <w:jc w:val="center"/>
              <w:rPr>
                <w:rFonts w:hint="default" w:ascii="Times New Roman" w:hAnsi="Times New Roman" w:cs="Times New Roman" w:eastAsiaTheme="minorEastAsia"/>
                <w:color w:val="000000" w:themeColor="text1"/>
                <w:sz w:val="21"/>
                <w:szCs w:val="21"/>
                <w:highlight w:val="yellow"/>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yellow"/>
                <w:lang w:val="en-US" w:eastAsia="zh-CN"/>
                <w14:textFill>
                  <w14:solidFill>
                    <w14:schemeClr w14:val="tx1"/>
                  </w14:solidFill>
                </w14:textFill>
              </w:rPr>
              <w:t>宁城县必斯营子镇七家村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exact"/>
          <w:jc w:val="center"/>
        </w:trPr>
        <w:tc>
          <w:tcPr>
            <w:tcW w:w="1508"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经纬度坐标</w:t>
            </w:r>
          </w:p>
        </w:tc>
        <w:tc>
          <w:tcPr>
            <w:tcW w:w="6992" w:type="dxa"/>
            <w:gridSpan w:val="4"/>
            <w:vAlign w:val="center"/>
          </w:tcPr>
          <w:p>
            <w:pPr>
              <w:spacing w:line="360" w:lineRule="auto"/>
              <w:ind w:firstLine="420" w:firstLineChars="200"/>
              <w:rPr>
                <w:rFonts w:hint="default" w:ascii="Times New Roman" w:hAnsi="Times New Roman" w:cs="Times New Roman" w:eastAsiaTheme="minorEastAsia"/>
                <w:color w:val="auto"/>
                <w:sz w:val="21"/>
                <w:szCs w:val="21"/>
                <w:highlight w:val="yellow"/>
              </w:rPr>
            </w:pPr>
            <w:r>
              <w:rPr>
                <w:rFonts w:hint="default" w:ascii="Times New Roman" w:hAnsi="Times New Roman" w:cs="Times New Roman" w:eastAsiaTheme="minorEastAsia"/>
                <w:color w:val="auto"/>
                <w:sz w:val="21"/>
                <w:szCs w:val="21"/>
                <w:highlight w:val="yellow"/>
              </w:rPr>
              <w:t>东经：119°02′34″～119°03′00″</w:t>
            </w:r>
          </w:p>
          <w:p>
            <w:pPr>
              <w:spacing w:line="360" w:lineRule="auto"/>
              <w:ind w:firstLine="420" w:firstLineChars="200"/>
              <w:rPr>
                <w:rFonts w:hint="default" w:ascii="Times New Roman" w:hAnsi="Times New Roman" w:cs="Times New Roman" w:eastAsiaTheme="minorEastAsia"/>
                <w:color w:val="auto"/>
                <w:sz w:val="21"/>
                <w:szCs w:val="21"/>
                <w:highlight w:val="yellow"/>
              </w:rPr>
            </w:pPr>
            <w:r>
              <w:rPr>
                <w:rFonts w:hint="default" w:ascii="Times New Roman" w:hAnsi="Times New Roman" w:cs="Times New Roman" w:eastAsiaTheme="minorEastAsia"/>
                <w:color w:val="auto"/>
                <w:sz w:val="21"/>
                <w:szCs w:val="21"/>
                <w:highlight w:val="yellow"/>
              </w:rPr>
              <w:t>北纬：41°29′47″～41°29′48″</w:t>
            </w:r>
          </w:p>
          <w:p>
            <w:pPr>
              <w:spacing w:line="240" w:lineRule="auto"/>
              <w:ind w:firstLine="0" w:firstLineChars="0"/>
              <w:jc w:val="center"/>
              <w:rPr>
                <w:rFonts w:hint="default" w:ascii="Times New Roman" w:hAnsi="Times New Roman" w:cs="Times New Roman" w:eastAsiaTheme="minorEastAsia"/>
                <w:sz w:val="21"/>
                <w:szCs w:val="21"/>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508"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经济类型</w:t>
            </w:r>
          </w:p>
        </w:tc>
        <w:tc>
          <w:tcPr>
            <w:tcW w:w="3862" w:type="dxa"/>
            <w:gridSpan w:val="2"/>
            <w:vAlign w:val="center"/>
          </w:tcPr>
          <w:p>
            <w:pPr>
              <w:spacing w:line="240" w:lineRule="auto"/>
              <w:ind w:firstLine="0" w:firstLineChars="0"/>
              <w:jc w:val="center"/>
              <w:rPr>
                <w:rFonts w:hint="default" w:ascii="Times New Roman" w:hAnsi="Times New Roman" w:cs="Times New Roman" w:eastAsiaTheme="minorEastAsia"/>
                <w:sz w:val="21"/>
                <w:szCs w:val="21"/>
                <w:highlight w:val="yellow"/>
                <w:lang w:val="en-US" w:eastAsia="zh-CN"/>
              </w:rPr>
            </w:pPr>
            <w:r>
              <w:rPr>
                <w:rFonts w:hint="default" w:ascii="Times New Roman" w:hAnsi="Times New Roman" w:cs="Times New Roman" w:eastAsiaTheme="minorEastAsia"/>
                <w:sz w:val="21"/>
                <w:szCs w:val="21"/>
                <w:highlight w:val="yellow"/>
                <w:lang w:val="en-US" w:eastAsia="zh-CN"/>
              </w:rPr>
              <w:t>有限责任公司</w:t>
            </w:r>
          </w:p>
        </w:tc>
        <w:tc>
          <w:tcPr>
            <w:tcW w:w="1570"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lang w:eastAsia="zh-CN"/>
              </w:rPr>
            </w:pPr>
            <w:r>
              <w:rPr>
                <w:rFonts w:hint="default" w:ascii="Times New Roman" w:hAnsi="Times New Roman" w:cs="Times New Roman" w:eastAsiaTheme="minorEastAsia"/>
                <w:sz w:val="21"/>
                <w:szCs w:val="21"/>
                <w:highlight w:val="yellow"/>
                <w:lang w:eastAsia="zh-CN"/>
              </w:rPr>
              <w:t>生产规模</w:t>
            </w:r>
          </w:p>
        </w:tc>
        <w:tc>
          <w:tcPr>
            <w:tcW w:w="1560"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lang w:eastAsia="zh-CN"/>
              </w:rPr>
            </w:pPr>
            <w:r>
              <w:rPr>
                <w:rFonts w:hint="default" w:ascii="Times New Roman" w:hAnsi="Times New Roman" w:cs="Times New Roman" w:eastAsiaTheme="minorEastAsia"/>
                <w:sz w:val="21"/>
                <w:szCs w:val="21"/>
                <w:highlight w:val="yellow"/>
                <w:lang w:val="en-US" w:eastAsia="zh-CN"/>
              </w:rPr>
              <w:t>中</w:t>
            </w:r>
            <w:r>
              <w:rPr>
                <w:rFonts w:hint="default" w:ascii="Times New Roman" w:hAnsi="Times New Roman" w:cs="Times New Roman" w:eastAsiaTheme="minorEastAsia"/>
                <w:sz w:val="21"/>
                <w:szCs w:val="21"/>
                <w:highlight w:val="yellow"/>
                <w:lang w:eastAsia="zh-CN"/>
              </w:rPr>
              <w:t>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508"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开采矿种</w:t>
            </w:r>
          </w:p>
        </w:tc>
        <w:tc>
          <w:tcPr>
            <w:tcW w:w="3862" w:type="dxa"/>
            <w:gridSpan w:val="2"/>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color w:val="auto"/>
                <w:sz w:val="21"/>
                <w:szCs w:val="21"/>
                <w:highlight w:val="yellow"/>
              </w:rPr>
              <w:t>铁矿</w:t>
            </w:r>
          </w:p>
        </w:tc>
        <w:tc>
          <w:tcPr>
            <w:tcW w:w="1570"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采矿方式</w:t>
            </w:r>
          </w:p>
        </w:tc>
        <w:tc>
          <w:tcPr>
            <w:tcW w:w="1560"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color w:val="auto"/>
                <w:sz w:val="21"/>
                <w:szCs w:val="21"/>
                <w:highlight w:val="yellow"/>
              </w:rPr>
              <w:t>露天开采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508"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矿区面积</w:t>
            </w:r>
          </w:p>
        </w:tc>
        <w:tc>
          <w:tcPr>
            <w:tcW w:w="3862" w:type="dxa"/>
            <w:gridSpan w:val="2"/>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color w:val="auto"/>
                <w:sz w:val="21"/>
                <w:szCs w:val="21"/>
                <w:highlight w:val="yellow"/>
              </w:rPr>
              <w:t>0.48km</w:t>
            </w:r>
            <w:r>
              <w:rPr>
                <w:rFonts w:hint="default" w:ascii="Times New Roman" w:hAnsi="Times New Roman" w:cs="Times New Roman" w:eastAsiaTheme="minorEastAsia"/>
                <w:color w:val="auto"/>
                <w:sz w:val="21"/>
                <w:szCs w:val="21"/>
                <w:highlight w:val="yellow"/>
                <w:vertAlign w:val="superscript"/>
              </w:rPr>
              <w:t>2</w:t>
            </w:r>
          </w:p>
        </w:tc>
        <w:tc>
          <w:tcPr>
            <w:tcW w:w="1570"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生产现状</w:t>
            </w:r>
          </w:p>
        </w:tc>
        <w:tc>
          <w:tcPr>
            <w:tcW w:w="1560"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lang w:val="en-US" w:eastAsia="zh-CN"/>
              </w:rPr>
              <w:t>停产</w:t>
            </w:r>
          </w:p>
        </w:tc>
      </w:tr>
      <w:tr>
        <w:tblPrEx>
          <w:tblCellMar>
            <w:top w:w="0" w:type="dxa"/>
            <w:left w:w="108" w:type="dxa"/>
            <w:bottom w:w="0" w:type="dxa"/>
            <w:right w:w="108" w:type="dxa"/>
          </w:tblCellMar>
        </w:tblPrEx>
        <w:trPr>
          <w:trHeight w:val="363" w:hRule="exact"/>
          <w:jc w:val="center"/>
        </w:trPr>
        <w:tc>
          <w:tcPr>
            <w:tcW w:w="1508"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建矿时间</w:t>
            </w:r>
          </w:p>
        </w:tc>
        <w:tc>
          <w:tcPr>
            <w:tcW w:w="3862" w:type="dxa"/>
            <w:gridSpan w:val="2"/>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lang w:val="en-US" w:eastAsia="zh-CN"/>
              </w:rPr>
              <w:t>2008</w:t>
            </w:r>
            <w:r>
              <w:rPr>
                <w:rFonts w:hint="default" w:ascii="Times New Roman" w:hAnsi="Times New Roman" w:cs="Times New Roman" w:eastAsiaTheme="minorEastAsia"/>
                <w:sz w:val="21"/>
                <w:szCs w:val="21"/>
                <w:highlight w:val="yellow"/>
              </w:rPr>
              <w:t>年</w:t>
            </w:r>
          </w:p>
        </w:tc>
        <w:tc>
          <w:tcPr>
            <w:tcW w:w="1570"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设计生产能力</w:t>
            </w:r>
          </w:p>
        </w:tc>
        <w:tc>
          <w:tcPr>
            <w:tcW w:w="1560"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lang w:val="en-US" w:eastAsia="zh-CN"/>
              </w:rPr>
              <w:t>100</w:t>
            </w:r>
            <w:r>
              <w:rPr>
                <w:rFonts w:hint="default" w:ascii="Times New Roman" w:hAnsi="Times New Roman" w:cs="Times New Roman" w:eastAsiaTheme="minorEastAsia"/>
                <w:sz w:val="21"/>
                <w:szCs w:val="21"/>
                <w:highlight w:val="yellow"/>
              </w:rPr>
              <w:t>万吨/年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508"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设计服务年限</w:t>
            </w:r>
          </w:p>
        </w:tc>
        <w:tc>
          <w:tcPr>
            <w:tcW w:w="3862" w:type="dxa"/>
            <w:gridSpan w:val="2"/>
            <w:tcBorders>
              <w:bottom w:val="single" w:color="auto" w:sz="4" w:space="0"/>
            </w:tcBorders>
            <w:vAlign w:val="center"/>
          </w:tcPr>
          <w:p>
            <w:pPr>
              <w:spacing w:line="240" w:lineRule="auto"/>
              <w:ind w:firstLine="0" w:firstLineChars="0"/>
              <w:jc w:val="center"/>
              <w:rPr>
                <w:rFonts w:hint="default" w:ascii="Times New Roman" w:hAnsi="Times New Roman" w:cs="Times New Roman" w:eastAsiaTheme="minorEastAsia"/>
                <w:color w:val="000000" w:themeColor="text1"/>
                <w:sz w:val="21"/>
                <w:szCs w:val="21"/>
                <w:highlight w:val="yellow"/>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yellow"/>
                <w:lang w:val="en-US" w:eastAsia="zh-CN"/>
                <w14:textFill>
                  <w14:solidFill>
                    <w14:schemeClr w14:val="tx1"/>
                  </w14:solidFill>
                </w14:textFill>
              </w:rPr>
              <w:t>11</w:t>
            </w:r>
          </w:p>
        </w:tc>
        <w:tc>
          <w:tcPr>
            <w:tcW w:w="1570" w:type="dxa"/>
            <w:vAlign w:val="center"/>
          </w:tcPr>
          <w:p>
            <w:pPr>
              <w:spacing w:line="240" w:lineRule="auto"/>
              <w:ind w:firstLine="0" w:firstLineChars="0"/>
              <w:jc w:val="center"/>
              <w:rPr>
                <w:rFonts w:hint="default" w:ascii="Times New Roman" w:hAnsi="Times New Roman" w:cs="Times New Roman" w:eastAsiaTheme="minorEastAsia"/>
                <w:color w:val="000000" w:themeColor="text1"/>
                <w:sz w:val="21"/>
                <w:szCs w:val="21"/>
                <w:highlight w:val="yellow"/>
                <w14:textFill>
                  <w14:solidFill>
                    <w14:schemeClr w14:val="tx1"/>
                  </w14:solidFill>
                </w14:textFill>
              </w:rPr>
            </w:pPr>
            <w:r>
              <w:rPr>
                <w:rFonts w:hint="default" w:ascii="Times New Roman" w:hAnsi="Times New Roman" w:cs="Times New Roman" w:eastAsiaTheme="minorEastAsia"/>
                <w:color w:val="000000" w:themeColor="text1"/>
                <w:sz w:val="21"/>
                <w:szCs w:val="21"/>
                <w:highlight w:val="yellow"/>
                <w14:textFill>
                  <w14:solidFill>
                    <w14:schemeClr w14:val="tx1"/>
                  </w14:solidFill>
                </w14:textFill>
              </w:rPr>
              <w:t>实际生产能力</w:t>
            </w:r>
          </w:p>
        </w:tc>
        <w:tc>
          <w:tcPr>
            <w:tcW w:w="1560" w:type="dxa"/>
            <w:vAlign w:val="center"/>
          </w:tcPr>
          <w:p>
            <w:pPr>
              <w:spacing w:line="240" w:lineRule="auto"/>
              <w:ind w:firstLine="0" w:firstLineChars="0"/>
              <w:jc w:val="center"/>
              <w:rPr>
                <w:rFonts w:hint="default" w:ascii="Times New Roman" w:hAnsi="Times New Roman" w:cs="Times New Roman" w:eastAsiaTheme="minorEastAsia"/>
                <w:color w:val="000000" w:themeColor="text1"/>
                <w:sz w:val="21"/>
                <w:szCs w:val="21"/>
                <w:highlight w:val="yellow"/>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yellow"/>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1"/>
                <w:szCs w:val="21"/>
                <w:highlight w:val="yellow"/>
                <w14:textFill>
                  <w14:solidFill>
                    <w14:schemeClr w14:val="tx1"/>
                  </w14:solidFill>
                </w14:textFill>
              </w:rPr>
              <w:t>万吨/年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508"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剩余服务年限</w:t>
            </w:r>
          </w:p>
        </w:tc>
        <w:tc>
          <w:tcPr>
            <w:tcW w:w="3862" w:type="dxa"/>
            <w:gridSpan w:val="2"/>
            <w:shd w:val="clear" w:color="auto" w:fill="FFFFFF" w:themeFill="background1"/>
            <w:vAlign w:val="center"/>
          </w:tcPr>
          <w:p>
            <w:pPr>
              <w:spacing w:line="240" w:lineRule="auto"/>
              <w:ind w:firstLine="0" w:firstLineChars="0"/>
              <w:jc w:val="center"/>
              <w:rPr>
                <w:rFonts w:hint="default" w:ascii="Times New Roman" w:hAnsi="Times New Roman" w:cs="Times New Roman" w:eastAsiaTheme="minorEastAsia"/>
                <w:color w:val="000000" w:themeColor="text1"/>
                <w:sz w:val="21"/>
                <w:szCs w:val="21"/>
                <w:highlight w:val="yellow"/>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yellow"/>
                <w:lang w:val="en-US" w:eastAsia="zh-CN"/>
                <w14:textFill>
                  <w14:solidFill>
                    <w14:schemeClr w14:val="tx1"/>
                  </w14:solidFill>
                </w14:textFill>
              </w:rPr>
              <w:t>7.4</w:t>
            </w:r>
          </w:p>
        </w:tc>
        <w:tc>
          <w:tcPr>
            <w:tcW w:w="1570" w:type="dxa"/>
            <w:vAlign w:val="center"/>
          </w:tcPr>
          <w:p>
            <w:pPr>
              <w:spacing w:line="240" w:lineRule="auto"/>
              <w:ind w:firstLine="0" w:firstLineChars="0"/>
              <w:jc w:val="center"/>
              <w:rPr>
                <w:rFonts w:hint="default" w:ascii="Times New Roman" w:hAnsi="Times New Roman" w:cs="Times New Roman" w:eastAsiaTheme="minorEastAsia"/>
                <w:color w:val="000000" w:themeColor="text1"/>
                <w:sz w:val="21"/>
                <w:szCs w:val="21"/>
                <w:highlight w:val="yellow"/>
                <w14:textFill>
                  <w14:solidFill>
                    <w14:schemeClr w14:val="tx1"/>
                  </w14:solidFill>
                </w14:textFill>
              </w:rPr>
            </w:pPr>
            <w:r>
              <w:rPr>
                <w:rFonts w:hint="default" w:ascii="Times New Roman" w:hAnsi="Times New Roman" w:cs="Times New Roman" w:eastAsiaTheme="minorEastAsia"/>
                <w:color w:val="000000" w:themeColor="text1"/>
                <w:sz w:val="21"/>
                <w:szCs w:val="21"/>
                <w:highlight w:val="yellow"/>
                <w14:textFill>
                  <w14:solidFill>
                    <w14:schemeClr w14:val="tx1"/>
                  </w14:solidFill>
                </w14:textFill>
              </w:rPr>
              <w:t>开采深度</w:t>
            </w:r>
          </w:p>
        </w:tc>
        <w:tc>
          <w:tcPr>
            <w:tcW w:w="1560" w:type="dxa"/>
            <w:vAlign w:val="center"/>
          </w:tcPr>
          <w:p>
            <w:pPr>
              <w:spacing w:line="240" w:lineRule="auto"/>
              <w:ind w:firstLine="0" w:firstLineChars="0"/>
              <w:jc w:val="center"/>
              <w:rPr>
                <w:rFonts w:hint="default" w:ascii="Times New Roman" w:hAnsi="Times New Roman" w:cs="Times New Roman" w:eastAsiaTheme="minorEastAsia"/>
                <w:color w:val="000000" w:themeColor="text1"/>
                <w:sz w:val="21"/>
                <w:szCs w:val="21"/>
                <w:highlight w:val="yellow"/>
                <w14:textFill>
                  <w14:solidFill>
                    <w14:schemeClr w14:val="tx1"/>
                  </w14:solidFill>
                </w14:textFill>
              </w:rPr>
            </w:pPr>
            <w:r>
              <w:rPr>
                <w:rFonts w:hint="default" w:ascii="Times New Roman" w:hAnsi="Times New Roman" w:cs="Times New Roman" w:eastAsiaTheme="minorEastAsia"/>
                <w:color w:val="000000" w:themeColor="text1"/>
                <w:sz w:val="21"/>
                <w:szCs w:val="21"/>
                <w:highlight w:val="yellow"/>
                <w:lang w:val="en-US" w:eastAsia="zh-CN"/>
                <w14:textFill>
                  <w14:solidFill>
                    <w14:schemeClr w14:val="tx1"/>
                  </w14:solidFill>
                </w14:textFill>
              </w:rPr>
              <w:t>648</w:t>
            </w:r>
            <w:r>
              <w:rPr>
                <w:rFonts w:hint="default" w:ascii="Times New Roman" w:hAnsi="Times New Roman" w:cs="Times New Roman" w:eastAsiaTheme="minorEastAsia"/>
                <w:color w:val="000000" w:themeColor="text1"/>
                <w:sz w:val="21"/>
                <w:szCs w:val="21"/>
                <w:highlight w:val="yellow"/>
                <w14:textFill>
                  <w14:solidFill>
                    <w14:schemeClr w14:val="tx1"/>
                  </w14:solidFill>
                </w14:textFill>
              </w:rPr>
              <w:t>至</w:t>
            </w:r>
            <w:r>
              <w:rPr>
                <w:rFonts w:hint="default" w:ascii="Times New Roman" w:hAnsi="Times New Roman" w:cs="Times New Roman" w:eastAsiaTheme="minorEastAsia"/>
                <w:color w:val="000000" w:themeColor="text1"/>
                <w:sz w:val="21"/>
                <w:szCs w:val="21"/>
                <w:highlight w:val="yellow"/>
                <w:lang w:val="en-US" w:eastAsia="zh-CN"/>
                <w14:textFill>
                  <w14:solidFill>
                    <w14:schemeClr w14:val="tx1"/>
                  </w14:solidFill>
                </w14:textFill>
              </w:rPr>
              <w:t>549</w:t>
            </w:r>
            <w:r>
              <w:rPr>
                <w:rFonts w:hint="default" w:ascii="Times New Roman" w:hAnsi="Times New Roman" w:cs="Times New Roman" w:eastAsiaTheme="minorEastAsia"/>
                <w:color w:val="000000" w:themeColor="text1"/>
                <w:sz w:val="21"/>
                <w:szCs w:val="21"/>
                <w:highlight w:val="yellow"/>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508"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查明资源储量</w:t>
            </w:r>
          </w:p>
        </w:tc>
        <w:tc>
          <w:tcPr>
            <w:tcW w:w="3862" w:type="dxa"/>
            <w:gridSpan w:val="2"/>
            <w:shd w:val="clear" w:color="auto" w:fill="FFFFFF" w:themeFill="background1"/>
            <w:vAlign w:val="center"/>
          </w:tcPr>
          <w:p>
            <w:pPr>
              <w:spacing w:line="240" w:lineRule="auto"/>
              <w:ind w:firstLine="0" w:firstLineChars="0"/>
              <w:jc w:val="center"/>
              <w:rPr>
                <w:rFonts w:hint="default" w:ascii="Times New Roman" w:hAnsi="Times New Roman" w:cs="Times New Roman" w:eastAsiaTheme="minorEastAsia"/>
                <w:color w:val="000000" w:themeColor="text1"/>
                <w:sz w:val="21"/>
                <w:szCs w:val="21"/>
                <w:highlight w:val="yellow"/>
                <w:lang w:val="en-US" w:eastAsia="zh-CN"/>
                <w14:textFill>
                  <w14:solidFill>
                    <w14:schemeClr w14:val="tx1"/>
                  </w14:solidFill>
                </w14:textFill>
              </w:rPr>
            </w:pPr>
            <w:r>
              <w:rPr>
                <w:rFonts w:hint="default" w:ascii="Times New Roman" w:hAnsi="Times New Roman" w:cs="Times New Roman" w:eastAsiaTheme="minorEastAsia"/>
                <w:color w:val="auto"/>
                <w:sz w:val="21"/>
                <w:szCs w:val="21"/>
                <w:highlight w:val="yellow"/>
              </w:rPr>
              <w:t>1223.81</w:t>
            </w:r>
            <w:r>
              <w:rPr>
                <w:rFonts w:hint="default" w:ascii="Times New Roman" w:hAnsi="Times New Roman" w:cs="Times New Roman" w:eastAsiaTheme="minorEastAsia"/>
                <w:color w:val="000000" w:themeColor="text1"/>
                <w:sz w:val="21"/>
                <w:szCs w:val="21"/>
                <w:highlight w:val="yellow"/>
                <w:lang w:val="en-US" w:eastAsia="zh-CN"/>
                <w14:textFill>
                  <w14:solidFill>
                    <w14:schemeClr w14:val="tx1"/>
                  </w14:solidFill>
                </w14:textFill>
              </w:rPr>
              <w:t>万吨</w:t>
            </w:r>
          </w:p>
        </w:tc>
        <w:tc>
          <w:tcPr>
            <w:tcW w:w="1570" w:type="dxa"/>
            <w:vAlign w:val="center"/>
          </w:tcPr>
          <w:p>
            <w:pPr>
              <w:spacing w:line="240" w:lineRule="auto"/>
              <w:ind w:firstLine="0" w:firstLineChars="0"/>
              <w:jc w:val="center"/>
              <w:rPr>
                <w:rFonts w:hint="default" w:ascii="Times New Roman" w:hAnsi="Times New Roman" w:cs="Times New Roman" w:eastAsiaTheme="minorEastAsia"/>
                <w:color w:val="000000" w:themeColor="text1"/>
                <w:sz w:val="21"/>
                <w:szCs w:val="21"/>
                <w:highlight w:val="yellow"/>
                <w14:textFill>
                  <w14:solidFill>
                    <w14:schemeClr w14:val="tx1"/>
                  </w14:solidFill>
                </w14:textFill>
              </w:rPr>
            </w:pPr>
            <w:r>
              <w:rPr>
                <w:rFonts w:hint="default" w:ascii="Times New Roman" w:hAnsi="Times New Roman" w:cs="Times New Roman" w:eastAsiaTheme="minorEastAsia"/>
                <w:color w:val="000000" w:themeColor="text1"/>
                <w:sz w:val="21"/>
                <w:szCs w:val="21"/>
                <w:highlight w:val="yellow"/>
                <w14:textFill>
                  <w14:solidFill>
                    <w14:schemeClr w14:val="tx1"/>
                  </w14:solidFill>
                </w14:textFill>
              </w:rPr>
              <w:t>剩余资源储量</w:t>
            </w:r>
          </w:p>
        </w:tc>
        <w:tc>
          <w:tcPr>
            <w:tcW w:w="1560" w:type="dxa"/>
            <w:vAlign w:val="center"/>
          </w:tcPr>
          <w:p>
            <w:pPr>
              <w:spacing w:line="240" w:lineRule="auto"/>
              <w:ind w:firstLine="0" w:firstLineChars="0"/>
              <w:jc w:val="center"/>
              <w:rPr>
                <w:rFonts w:hint="default" w:ascii="Times New Roman" w:hAnsi="Times New Roman" w:cs="Times New Roman" w:eastAsiaTheme="minorEastAsia"/>
                <w:color w:val="000000" w:themeColor="text1"/>
                <w:sz w:val="21"/>
                <w:szCs w:val="21"/>
                <w:highlight w:val="yellow"/>
                <w14:textFill>
                  <w14:solidFill>
                    <w14:schemeClr w14:val="tx1"/>
                  </w14:solidFill>
                </w14:textFill>
              </w:rPr>
            </w:pPr>
            <w:r>
              <w:rPr>
                <w:rFonts w:hint="default" w:ascii="Times New Roman" w:hAnsi="Times New Roman" w:cs="Times New Roman" w:eastAsiaTheme="minorEastAsia"/>
                <w:color w:val="000000" w:themeColor="text1"/>
                <w:sz w:val="21"/>
                <w:szCs w:val="21"/>
                <w:highlight w:val="yellow"/>
                <w:lang w:val="en-US" w:eastAsia="zh-CN"/>
                <w14:textFill>
                  <w14:solidFill>
                    <w14:schemeClr w14:val="tx1"/>
                  </w14:solidFill>
                </w14:textFill>
              </w:rPr>
              <w:t>993.56</w:t>
            </w:r>
            <w:r>
              <w:rPr>
                <w:rFonts w:hint="default" w:ascii="Times New Roman" w:hAnsi="Times New Roman" w:cs="Times New Roman" w:eastAsiaTheme="minorEastAsia"/>
                <w:color w:val="000000" w:themeColor="text1"/>
                <w:sz w:val="21"/>
                <w:szCs w:val="21"/>
                <w:highlight w:val="yellow"/>
                <w14:textFill>
                  <w14:solidFill>
                    <w14:schemeClr w14:val="tx1"/>
                  </w14:solidFill>
                </w14:textFill>
              </w:rPr>
              <w:t>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508" w:type="dxa"/>
            <w:vMerge w:val="restart"/>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矿区范围拐点坐标</w:t>
            </w:r>
          </w:p>
        </w:tc>
        <w:tc>
          <w:tcPr>
            <w:tcW w:w="6992" w:type="dxa"/>
            <w:gridSpan w:val="4"/>
            <w:shd w:val="clear" w:color="auto" w:fill="FFFFFF" w:themeFill="background1"/>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lang w:val="en-US" w:eastAsia="zh-CN"/>
              </w:rPr>
              <w:t>2000</w:t>
            </w:r>
            <w:r>
              <w:rPr>
                <w:rFonts w:hint="default" w:ascii="Times New Roman" w:hAnsi="Times New Roman" w:cs="Times New Roman" w:eastAsiaTheme="minorEastAsia"/>
                <w:sz w:val="21"/>
                <w:szCs w:val="21"/>
                <w:highlight w:val="yellow"/>
              </w:rPr>
              <w:t>坐标系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508" w:type="dxa"/>
            <w:vMerge w:val="continue"/>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p>
        </w:tc>
        <w:tc>
          <w:tcPr>
            <w:tcW w:w="1040" w:type="dxa"/>
            <w:shd w:val="clear" w:color="auto" w:fill="FFFFFF" w:themeFill="background1"/>
            <w:vAlign w:val="center"/>
          </w:tcPr>
          <w:p>
            <w:pPr>
              <w:spacing w:line="240" w:lineRule="auto"/>
              <w:ind w:firstLine="0" w:firstLineChars="0"/>
              <w:jc w:val="center"/>
              <w:rPr>
                <w:rFonts w:hint="default" w:ascii="Times New Roman" w:hAnsi="Times New Roman" w:cs="Times New Roman" w:eastAsiaTheme="minorEastAsia"/>
                <w:sz w:val="21"/>
                <w:szCs w:val="21"/>
                <w:highlight w:val="yellow"/>
                <w:lang w:val="en-US" w:eastAsia="zh-CN"/>
              </w:rPr>
            </w:pPr>
            <w:r>
              <w:rPr>
                <w:rFonts w:hint="default" w:ascii="Times New Roman" w:hAnsi="Times New Roman" w:cs="Times New Roman" w:eastAsiaTheme="minorEastAsia"/>
                <w:sz w:val="21"/>
                <w:szCs w:val="21"/>
                <w:highlight w:val="yellow"/>
                <w:lang w:val="en-US" w:eastAsia="zh-CN"/>
              </w:rPr>
              <w:t>点号</w:t>
            </w:r>
          </w:p>
        </w:tc>
        <w:tc>
          <w:tcPr>
            <w:tcW w:w="2822" w:type="dxa"/>
            <w:shd w:val="clear" w:color="auto" w:fill="FFFFFF" w:themeFill="background1"/>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X</w:t>
            </w:r>
          </w:p>
        </w:tc>
        <w:tc>
          <w:tcPr>
            <w:tcW w:w="3130" w:type="dxa"/>
            <w:gridSpan w:val="2"/>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508" w:type="dxa"/>
            <w:vMerge w:val="continue"/>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p>
        </w:tc>
        <w:tc>
          <w:tcPr>
            <w:tcW w:w="1040" w:type="dxa"/>
            <w:shd w:val="clear" w:color="auto" w:fill="FFFFFF" w:themeFill="background1"/>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1</w:t>
            </w:r>
          </w:p>
        </w:tc>
        <w:tc>
          <w:tcPr>
            <w:tcW w:w="2822" w:type="dxa"/>
            <w:shd w:val="clear" w:color="auto" w:fill="FFFFFF" w:themeFill="background1"/>
            <w:vAlign w:val="center"/>
          </w:tcPr>
          <w:p>
            <w:pPr>
              <w:spacing w:line="240" w:lineRule="auto"/>
              <w:ind w:firstLine="0" w:firstLineChars="0"/>
              <w:jc w:val="center"/>
              <w:rPr>
                <w:rFonts w:hint="default" w:ascii="Times New Roman" w:hAnsi="Times New Roman" w:cs="Times New Roman" w:eastAsiaTheme="minorEastAsia"/>
                <w:sz w:val="21"/>
                <w:szCs w:val="21"/>
                <w:highlight w:val="yellow"/>
                <w:lang w:val="en-US" w:eastAsia="zh-CN"/>
              </w:rPr>
            </w:pPr>
            <w:r>
              <w:rPr>
                <w:rFonts w:hint="default" w:ascii="Times New Roman" w:hAnsi="Times New Roman" w:cs="Times New Roman" w:eastAsiaTheme="minorEastAsia"/>
                <w:sz w:val="21"/>
                <w:szCs w:val="21"/>
                <w:highlight w:val="yellow"/>
              </w:rPr>
              <w:t>4595357.7249</w:t>
            </w:r>
          </w:p>
        </w:tc>
        <w:tc>
          <w:tcPr>
            <w:tcW w:w="3130" w:type="dxa"/>
            <w:gridSpan w:val="2"/>
            <w:vAlign w:val="center"/>
          </w:tcPr>
          <w:p>
            <w:pPr>
              <w:spacing w:line="240" w:lineRule="auto"/>
              <w:ind w:firstLine="0" w:firstLineChars="0"/>
              <w:jc w:val="center"/>
              <w:rPr>
                <w:rFonts w:hint="default" w:ascii="Times New Roman" w:hAnsi="Times New Roman" w:cs="Times New Roman" w:eastAsiaTheme="minorEastAsia"/>
                <w:sz w:val="21"/>
                <w:szCs w:val="21"/>
                <w:highlight w:val="yellow"/>
                <w:lang w:val="en-US" w:eastAsia="zh-CN"/>
              </w:rPr>
            </w:pPr>
            <w:r>
              <w:rPr>
                <w:rFonts w:hint="default" w:ascii="Times New Roman" w:hAnsi="Times New Roman" w:cs="Times New Roman" w:eastAsiaTheme="minorEastAsia"/>
                <w:sz w:val="21"/>
                <w:szCs w:val="21"/>
                <w:highlight w:val="yellow"/>
              </w:rPr>
              <w:t>40420062.5659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508" w:type="dxa"/>
            <w:vMerge w:val="continue"/>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p>
        </w:tc>
        <w:tc>
          <w:tcPr>
            <w:tcW w:w="1040" w:type="dxa"/>
            <w:shd w:val="clear" w:color="auto" w:fill="FFFFFF" w:themeFill="background1"/>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2</w:t>
            </w:r>
          </w:p>
        </w:tc>
        <w:tc>
          <w:tcPr>
            <w:tcW w:w="2822" w:type="dxa"/>
            <w:shd w:val="clear" w:color="auto" w:fill="FFFFFF" w:themeFill="background1"/>
            <w:vAlign w:val="center"/>
          </w:tcPr>
          <w:p>
            <w:pPr>
              <w:spacing w:line="240" w:lineRule="auto"/>
              <w:ind w:firstLine="0" w:firstLineChars="0"/>
              <w:jc w:val="center"/>
              <w:rPr>
                <w:rFonts w:hint="default" w:ascii="Times New Roman" w:hAnsi="Times New Roman" w:cs="Times New Roman" w:eastAsiaTheme="minorEastAsia"/>
                <w:sz w:val="21"/>
                <w:szCs w:val="21"/>
                <w:highlight w:val="yellow"/>
                <w:lang w:val="en-US" w:eastAsia="zh-CN"/>
              </w:rPr>
            </w:pPr>
            <w:r>
              <w:rPr>
                <w:rFonts w:hint="default" w:ascii="Times New Roman" w:hAnsi="Times New Roman" w:cs="Times New Roman" w:eastAsiaTheme="minorEastAsia"/>
                <w:sz w:val="21"/>
                <w:szCs w:val="21"/>
                <w:highlight w:val="yellow"/>
              </w:rPr>
              <w:t>4596157.7368</w:t>
            </w:r>
          </w:p>
        </w:tc>
        <w:tc>
          <w:tcPr>
            <w:tcW w:w="3130" w:type="dxa"/>
            <w:gridSpan w:val="2"/>
            <w:vAlign w:val="center"/>
          </w:tcPr>
          <w:p>
            <w:pPr>
              <w:spacing w:line="240" w:lineRule="auto"/>
              <w:ind w:firstLine="0" w:firstLineChars="0"/>
              <w:jc w:val="center"/>
              <w:rPr>
                <w:rFonts w:hint="default" w:ascii="Times New Roman" w:hAnsi="Times New Roman" w:cs="Times New Roman" w:eastAsiaTheme="minorEastAsia"/>
                <w:sz w:val="21"/>
                <w:szCs w:val="21"/>
                <w:highlight w:val="yellow"/>
                <w:lang w:val="en-US" w:eastAsia="zh-CN"/>
              </w:rPr>
            </w:pPr>
            <w:r>
              <w:rPr>
                <w:rFonts w:hint="default" w:ascii="Times New Roman" w:hAnsi="Times New Roman" w:cs="Times New Roman" w:eastAsiaTheme="minorEastAsia"/>
                <w:sz w:val="21"/>
                <w:szCs w:val="21"/>
                <w:highlight w:val="yellow"/>
              </w:rPr>
              <w:t>40420062.5541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508" w:type="dxa"/>
            <w:vMerge w:val="continue"/>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p>
        </w:tc>
        <w:tc>
          <w:tcPr>
            <w:tcW w:w="1040" w:type="dxa"/>
            <w:shd w:val="clear" w:color="auto" w:fill="FFFFFF" w:themeFill="background1"/>
            <w:vAlign w:val="center"/>
          </w:tcPr>
          <w:p>
            <w:pPr>
              <w:pStyle w:val="28"/>
              <w:spacing w:line="300" w:lineRule="exact"/>
              <w:ind w:left="0" w:leftChars="0" w:firstLine="0" w:firstLineChars="0"/>
              <w:jc w:val="center"/>
              <w:textAlignment w:val="auto"/>
              <w:rPr>
                <w:rFonts w:hint="default" w:ascii="Times New Roman" w:hAnsi="Times New Roman" w:cs="Times New Roman" w:eastAsiaTheme="minorEastAsia"/>
                <w:kern w:val="2"/>
                <w:sz w:val="21"/>
                <w:szCs w:val="21"/>
                <w:highlight w:val="yellow"/>
                <w:lang w:val="en-US" w:eastAsia="zh-CN" w:bidi="ar-SA"/>
              </w:rPr>
            </w:pPr>
            <w:r>
              <w:rPr>
                <w:rFonts w:hint="default" w:ascii="Times New Roman" w:hAnsi="Times New Roman" w:cs="Times New Roman" w:eastAsiaTheme="minorEastAsia"/>
                <w:kern w:val="2"/>
                <w:sz w:val="21"/>
                <w:szCs w:val="21"/>
                <w:highlight w:val="yellow"/>
                <w:lang w:val="en-US" w:eastAsia="zh-CN" w:bidi="ar-SA"/>
              </w:rPr>
              <w:t>3</w:t>
            </w:r>
          </w:p>
        </w:tc>
        <w:tc>
          <w:tcPr>
            <w:tcW w:w="2822" w:type="dxa"/>
            <w:shd w:val="clear" w:color="auto" w:fill="FFFFFF" w:themeFill="background1"/>
            <w:vAlign w:val="center"/>
          </w:tcPr>
          <w:p>
            <w:pPr>
              <w:pStyle w:val="28"/>
              <w:spacing w:line="300" w:lineRule="exact"/>
              <w:ind w:left="0" w:leftChars="0" w:firstLine="0" w:firstLineChars="0"/>
              <w:jc w:val="center"/>
              <w:textAlignment w:val="auto"/>
              <w:rPr>
                <w:rFonts w:hint="default" w:ascii="Times New Roman" w:hAnsi="Times New Roman" w:cs="Times New Roman" w:eastAsiaTheme="minorEastAsia"/>
                <w:kern w:val="2"/>
                <w:sz w:val="21"/>
                <w:szCs w:val="21"/>
                <w:highlight w:val="yellow"/>
                <w:lang w:val="en-US" w:eastAsia="zh-CN" w:bidi="ar-SA"/>
              </w:rPr>
            </w:pPr>
            <w:r>
              <w:rPr>
                <w:rFonts w:hint="default" w:ascii="Times New Roman" w:hAnsi="Times New Roman" w:cs="Times New Roman" w:eastAsiaTheme="minorEastAsia"/>
                <w:kern w:val="2"/>
                <w:sz w:val="21"/>
                <w:szCs w:val="21"/>
                <w:highlight w:val="yellow"/>
                <w:lang w:val="en-US" w:eastAsia="zh-CN" w:bidi="ar-SA"/>
              </w:rPr>
              <w:t>4596157.7489</w:t>
            </w:r>
          </w:p>
        </w:tc>
        <w:tc>
          <w:tcPr>
            <w:tcW w:w="3130" w:type="dxa"/>
            <w:gridSpan w:val="2"/>
            <w:vAlign w:val="center"/>
          </w:tcPr>
          <w:p>
            <w:pPr>
              <w:pStyle w:val="28"/>
              <w:spacing w:line="300" w:lineRule="exact"/>
              <w:ind w:left="0" w:leftChars="0" w:firstLine="0" w:firstLineChars="0"/>
              <w:jc w:val="center"/>
              <w:textAlignment w:val="auto"/>
              <w:rPr>
                <w:rFonts w:hint="default" w:ascii="Times New Roman" w:hAnsi="Times New Roman" w:cs="Times New Roman" w:eastAsiaTheme="minorEastAsia"/>
                <w:kern w:val="2"/>
                <w:sz w:val="21"/>
                <w:szCs w:val="21"/>
                <w:highlight w:val="yellow"/>
                <w:lang w:val="en-US" w:eastAsia="zh-CN" w:bidi="ar-SA"/>
              </w:rPr>
            </w:pPr>
            <w:r>
              <w:rPr>
                <w:rFonts w:hint="default" w:ascii="Times New Roman" w:hAnsi="Times New Roman" w:cs="Times New Roman" w:eastAsiaTheme="minorEastAsia"/>
                <w:kern w:val="2"/>
                <w:sz w:val="21"/>
                <w:szCs w:val="21"/>
                <w:highlight w:val="yellow"/>
                <w:lang w:val="en-US" w:eastAsia="zh-CN" w:bidi="ar-SA"/>
              </w:rPr>
              <w:t>40420662.5662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508" w:type="dxa"/>
            <w:vMerge w:val="continue"/>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p>
        </w:tc>
        <w:tc>
          <w:tcPr>
            <w:tcW w:w="1040" w:type="dxa"/>
            <w:shd w:val="clear" w:color="auto" w:fill="FFFFFF" w:themeFill="background1"/>
            <w:vAlign w:val="center"/>
          </w:tcPr>
          <w:p>
            <w:pPr>
              <w:pStyle w:val="28"/>
              <w:spacing w:line="300" w:lineRule="exact"/>
              <w:ind w:left="0" w:leftChars="0" w:firstLine="0" w:firstLineChars="0"/>
              <w:jc w:val="center"/>
              <w:textAlignment w:val="auto"/>
              <w:rPr>
                <w:rFonts w:hint="default" w:ascii="Times New Roman" w:hAnsi="Times New Roman" w:cs="Times New Roman" w:eastAsiaTheme="minorEastAsia"/>
                <w:kern w:val="2"/>
                <w:sz w:val="21"/>
                <w:szCs w:val="21"/>
                <w:highlight w:val="yellow"/>
                <w:lang w:val="en-US" w:eastAsia="zh-CN" w:bidi="ar-SA"/>
              </w:rPr>
            </w:pPr>
            <w:r>
              <w:rPr>
                <w:rFonts w:hint="default" w:ascii="Times New Roman" w:hAnsi="Times New Roman" w:cs="Times New Roman" w:eastAsiaTheme="minorEastAsia"/>
                <w:kern w:val="2"/>
                <w:sz w:val="21"/>
                <w:szCs w:val="21"/>
                <w:highlight w:val="yellow"/>
                <w:lang w:val="en-US" w:eastAsia="zh-CN" w:bidi="ar-SA"/>
              </w:rPr>
              <w:t>4</w:t>
            </w:r>
          </w:p>
        </w:tc>
        <w:tc>
          <w:tcPr>
            <w:tcW w:w="2822" w:type="dxa"/>
            <w:shd w:val="clear" w:color="auto" w:fill="FFFFFF" w:themeFill="background1"/>
            <w:vAlign w:val="center"/>
          </w:tcPr>
          <w:p>
            <w:pPr>
              <w:pStyle w:val="28"/>
              <w:spacing w:line="300" w:lineRule="exact"/>
              <w:ind w:left="0" w:leftChars="0" w:firstLine="0" w:firstLineChars="0"/>
              <w:jc w:val="center"/>
              <w:textAlignment w:val="auto"/>
              <w:rPr>
                <w:rFonts w:hint="default" w:ascii="Times New Roman" w:hAnsi="Times New Roman" w:cs="Times New Roman" w:eastAsiaTheme="minorEastAsia"/>
                <w:kern w:val="2"/>
                <w:sz w:val="21"/>
                <w:szCs w:val="21"/>
                <w:highlight w:val="yellow"/>
                <w:lang w:val="en-US" w:eastAsia="zh-CN" w:bidi="ar-SA"/>
              </w:rPr>
            </w:pPr>
            <w:r>
              <w:rPr>
                <w:rFonts w:hint="default" w:ascii="Times New Roman" w:hAnsi="Times New Roman" w:cs="Times New Roman" w:eastAsiaTheme="minorEastAsia"/>
                <w:kern w:val="2"/>
                <w:sz w:val="21"/>
                <w:szCs w:val="21"/>
                <w:highlight w:val="yellow"/>
                <w:lang w:val="en-US" w:eastAsia="zh-CN" w:bidi="ar-SA"/>
              </w:rPr>
              <w:t>4595357.7371</w:t>
            </w:r>
          </w:p>
        </w:tc>
        <w:tc>
          <w:tcPr>
            <w:tcW w:w="3130" w:type="dxa"/>
            <w:gridSpan w:val="2"/>
            <w:vAlign w:val="center"/>
          </w:tcPr>
          <w:p>
            <w:pPr>
              <w:pStyle w:val="28"/>
              <w:spacing w:line="300" w:lineRule="exact"/>
              <w:ind w:left="0" w:leftChars="0" w:firstLine="0" w:firstLineChars="0"/>
              <w:jc w:val="center"/>
              <w:textAlignment w:val="auto"/>
              <w:rPr>
                <w:rFonts w:hint="default" w:ascii="Times New Roman" w:hAnsi="Times New Roman" w:cs="Times New Roman" w:eastAsiaTheme="minorEastAsia"/>
                <w:kern w:val="2"/>
                <w:sz w:val="21"/>
                <w:szCs w:val="21"/>
                <w:highlight w:val="yellow"/>
                <w:lang w:val="en-US" w:eastAsia="zh-CN" w:bidi="ar-SA"/>
              </w:rPr>
            </w:pPr>
            <w:r>
              <w:rPr>
                <w:rFonts w:hint="default" w:ascii="Times New Roman" w:hAnsi="Times New Roman" w:cs="Times New Roman" w:eastAsiaTheme="minorEastAsia"/>
                <w:kern w:val="2"/>
                <w:sz w:val="21"/>
                <w:szCs w:val="21"/>
                <w:highlight w:val="yellow"/>
                <w:lang w:val="en-US" w:eastAsia="zh-CN" w:bidi="ar-SA"/>
              </w:rPr>
              <w:t>40420662.5781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508"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基金计提</w:t>
            </w:r>
          </w:p>
        </w:tc>
        <w:tc>
          <w:tcPr>
            <w:tcW w:w="3862" w:type="dxa"/>
            <w:gridSpan w:val="2"/>
            <w:shd w:val="clear" w:color="auto" w:fill="FFFFFF" w:themeFill="background1"/>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p>
        </w:tc>
        <w:tc>
          <w:tcPr>
            <w:tcW w:w="1570"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基金使用</w:t>
            </w:r>
          </w:p>
        </w:tc>
        <w:tc>
          <w:tcPr>
            <w:tcW w:w="1560"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8500" w:type="dxa"/>
            <w:gridSpan w:val="5"/>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矿山企业联系方式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508"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联系人</w:t>
            </w:r>
          </w:p>
        </w:tc>
        <w:tc>
          <w:tcPr>
            <w:tcW w:w="3862" w:type="dxa"/>
            <w:gridSpan w:val="2"/>
            <w:vAlign w:val="center"/>
          </w:tcPr>
          <w:p>
            <w:pPr>
              <w:spacing w:line="240" w:lineRule="auto"/>
              <w:ind w:firstLine="0" w:firstLineChars="0"/>
              <w:jc w:val="center"/>
              <w:rPr>
                <w:rFonts w:hint="default" w:ascii="Times New Roman" w:hAnsi="Times New Roman" w:cs="Times New Roman" w:eastAsiaTheme="minorEastAsia"/>
                <w:color w:val="000000" w:themeColor="text1"/>
                <w:sz w:val="21"/>
                <w:szCs w:val="21"/>
                <w:highlight w:val="yellow"/>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yellow"/>
                <w:lang w:val="en-US" w:eastAsia="zh-CN"/>
                <w14:textFill>
                  <w14:solidFill>
                    <w14:schemeClr w14:val="tx1"/>
                  </w14:solidFill>
                </w14:textFill>
              </w:rPr>
              <w:t>张超</w:t>
            </w:r>
          </w:p>
        </w:tc>
        <w:tc>
          <w:tcPr>
            <w:tcW w:w="1570" w:type="dxa"/>
            <w:vAlign w:val="center"/>
          </w:tcPr>
          <w:p>
            <w:pPr>
              <w:spacing w:line="240" w:lineRule="auto"/>
              <w:ind w:firstLine="0" w:firstLineChars="0"/>
              <w:jc w:val="center"/>
              <w:rPr>
                <w:rFonts w:hint="default" w:ascii="Times New Roman" w:hAnsi="Times New Roman" w:cs="Times New Roman" w:eastAsiaTheme="minorEastAsia"/>
                <w:color w:val="000000" w:themeColor="text1"/>
                <w:sz w:val="21"/>
                <w:szCs w:val="21"/>
                <w:highlight w:val="yellow"/>
                <w14:textFill>
                  <w14:solidFill>
                    <w14:schemeClr w14:val="tx1"/>
                  </w14:solidFill>
                </w14:textFill>
              </w:rPr>
            </w:pPr>
            <w:r>
              <w:rPr>
                <w:rFonts w:hint="default" w:ascii="Times New Roman" w:hAnsi="Times New Roman" w:cs="Times New Roman" w:eastAsiaTheme="minorEastAsia"/>
                <w:color w:val="000000" w:themeColor="text1"/>
                <w:sz w:val="21"/>
                <w:szCs w:val="21"/>
                <w:highlight w:val="yellow"/>
                <w14:textFill>
                  <w14:solidFill>
                    <w14:schemeClr w14:val="tx1"/>
                  </w14:solidFill>
                </w14:textFill>
              </w:rPr>
              <w:t>手机号</w:t>
            </w:r>
          </w:p>
        </w:tc>
        <w:tc>
          <w:tcPr>
            <w:tcW w:w="1560" w:type="dxa"/>
            <w:vAlign w:val="center"/>
          </w:tcPr>
          <w:p>
            <w:pPr>
              <w:spacing w:line="240" w:lineRule="auto"/>
              <w:ind w:firstLine="0" w:firstLineChars="0"/>
              <w:jc w:val="center"/>
              <w:rPr>
                <w:rFonts w:hint="default" w:ascii="Times New Roman" w:hAnsi="Times New Roman" w:cs="Times New Roman" w:eastAsiaTheme="minorEastAsia"/>
                <w:color w:val="000000" w:themeColor="text1"/>
                <w:sz w:val="21"/>
                <w:szCs w:val="21"/>
                <w:highlight w:val="yellow"/>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yellow"/>
                <w:lang w:val="en-US" w:eastAsia="zh-CN"/>
                <w14:textFill>
                  <w14:solidFill>
                    <w14:schemeClr w14:val="tx1"/>
                  </w14:solidFill>
                </w14:textFill>
              </w:rPr>
              <w:t>13503258108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508"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通讯地址</w:t>
            </w:r>
          </w:p>
        </w:tc>
        <w:tc>
          <w:tcPr>
            <w:tcW w:w="3862" w:type="dxa"/>
            <w:gridSpan w:val="2"/>
            <w:vAlign w:val="center"/>
          </w:tcPr>
          <w:p>
            <w:pPr>
              <w:spacing w:line="240" w:lineRule="auto"/>
              <w:ind w:firstLine="0" w:firstLineChars="0"/>
              <w:jc w:val="center"/>
              <w:rPr>
                <w:rFonts w:hint="default" w:ascii="Times New Roman" w:hAnsi="Times New Roman" w:cs="Times New Roman" w:eastAsiaTheme="minorEastAsia"/>
                <w:sz w:val="21"/>
                <w:szCs w:val="21"/>
                <w:highlight w:val="yellow"/>
                <w:lang w:val="en-US" w:eastAsia="zh-CN"/>
              </w:rPr>
            </w:pPr>
            <w:r>
              <w:rPr>
                <w:rFonts w:hint="default" w:ascii="Times New Roman" w:hAnsi="Times New Roman" w:cs="Times New Roman" w:eastAsiaTheme="minorEastAsia"/>
                <w:color w:val="000000" w:themeColor="text1"/>
                <w:sz w:val="21"/>
                <w:szCs w:val="21"/>
                <w:highlight w:val="yellow"/>
                <w:lang w:val="en-US" w:eastAsia="zh-CN"/>
                <w14:textFill>
                  <w14:solidFill>
                    <w14:schemeClr w14:val="tx1"/>
                  </w14:solidFill>
                </w14:textFill>
              </w:rPr>
              <w:t>宁城县必斯营子镇七家村</w:t>
            </w:r>
          </w:p>
        </w:tc>
        <w:tc>
          <w:tcPr>
            <w:tcW w:w="1570"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邮编</w:t>
            </w:r>
          </w:p>
        </w:tc>
        <w:tc>
          <w:tcPr>
            <w:tcW w:w="1560"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lang w:val="en-US" w:eastAsia="zh-CN"/>
              </w:rPr>
            </w:pPr>
            <w:r>
              <w:rPr>
                <w:rFonts w:hint="default" w:ascii="Times New Roman" w:hAnsi="Times New Roman" w:cs="Times New Roman" w:eastAsiaTheme="minorEastAsia"/>
                <w:sz w:val="21"/>
                <w:szCs w:val="21"/>
                <w:highlight w:val="yellow"/>
                <w:lang w:val="en-US" w:eastAsia="zh-CN"/>
              </w:rPr>
              <w:t>024200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508"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固定电话</w:t>
            </w:r>
          </w:p>
        </w:tc>
        <w:tc>
          <w:tcPr>
            <w:tcW w:w="3862" w:type="dxa"/>
            <w:gridSpan w:val="2"/>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无</w:t>
            </w:r>
          </w:p>
        </w:tc>
        <w:tc>
          <w:tcPr>
            <w:tcW w:w="1570"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highlight w:val="yellow"/>
              </w:rPr>
              <w:t>E-mail</w:t>
            </w:r>
          </w:p>
        </w:tc>
        <w:tc>
          <w:tcPr>
            <w:tcW w:w="1560" w:type="dxa"/>
            <w:vAlign w:val="center"/>
          </w:tcPr>
          <w:p>
            <w:pPr>
              <w:spacing w:line="240" w:lineRule="auto"/>
              <w:ind w:firstLine="0" w:firstLineChars="0"/>
              <w:jc w:val="center"/>
              <w:rPr>
                <w:rFonts w:hint="default" w:ascii="Times New Roman" w:hAnsi="Times New Roman" w:cs="Times New Roman" w:eastAsiaTheme="minorEastAsia"/>
                <w:sz w:val="21"/>
                <w:szCs w:val="21"/>
                <w:highlight w:val="yellow"/>
              </w:rPr>
            </w:pPr>
          </w:p>
        </w:tc>
      </w:tr>
    </w:tbl>
    <w:p>
      <w:pPr>
        <w:pStyle w:val="3"/>
        <w:spacing w:before="120" w:after="120" w:line="360" w:lineRule="auto"/>
        <w:rPr>
          <w:rFonts w:hint="default" w:ascii="Times New Roman" w:hAnsi="Times New Roman" w:cs="Times New Roman"/>
          <w:sz w:val="36"/>
          <w:szCs w:val="36"/>
          <w:highlight w:val="none"/>
        </w:rPr>
      </w:pPr>
      <w:bookmarkStart w:id="9" w:name="_Toc10962"/>
      <w:r>
        <w:rPr>
          <w:rFonts w:hint="default" w:ascii="Times New Roman" w:hAnsi="Times New Roman" w:cs="Times New Roman"/>
          <w:sz w:val="36"/>
          <w:szCs w:val="36"/>
          <w:highlight w:val="none"/>
        </w:rPr>
        <w:t>二、矿山地质环境治理方案的编制与执行情况</w:t>
      </w:r>
      <w:bookmarkEnd w:id="9"/>
    </w:p>
    <w:p>
      <w:pPr>
        <w:pStyle w:val="4"/>
        <w:spacing w:before="120" w:after="120" w:line="360" w:lineRule="auto"/>
        <w:jc w:val="left"/>
        <w:rPr>
          <w:rFonts w:hint="default" w:ascii="Times New Roman" w:hAnsi="Times New Roman" w:cs="Times New Roman"/>
          <w:color w:val="auto"/>
          <w:sz w:val="30"/>
          <w:highlight w:val="none"/>
        </w:rPr>
      </w:pPr>
      <w:bookmarkStart w:id="10" w:name="_Toc13679"/>
      <w:r>
        <w:rPr>
          <w:rFonts w:hint="default" w:ascii="Times New Roman" w:hAnsi="Times New Roman" w:cs="Times New Roman"/>
          <w:color w:val="auto"/>
          <w:sz w:val="30"/>
          <w:highlight w:val="none"/>
        </w:rPr>
        <w:t>（一）方案编制概况</w:t>
      </w:r>
      <w:bookmarkEnd w:id="10"/>
    </w:p>
    <w:p>
      <w:pPr>
        <w:pStyle w:val="17"/>
        <w:spacing w:line="360" w:lineRule="auto"/>
        <w:ind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2009年6月，辽宁省有色地质局勘查总院编制了《宁城县生鑫矿业有限公司七家矿区铁矿矿山环境保护与综合治理方案》，以下简称“《</w:t>
      </w:r>
      <w:r>
        <w:rPr>
          <w:rFonts w:hint="default" w:ascii="Times New Roman" w:hAnsi="Times New Roman" w:eastAsia="宋体" w:cs="Times New Roman"/>
          <w:color w:val="auto"/>
          <w:sz w:val="24"/>
          <w:szCs w:val="22"/>
          <w:highlight w:val="none"/>
        </w:rPr>
        <w:t>综合治理方案</w:t>
      </w:r>
      <w:r>
        <w:rPr>
          <w:rFonts w:hint="default" w:ascii="Times New Roman" w:hAnsi="Times New Roman" w:eastAsia="宋体" w:cs="Times New Roman"/>
          <w:color w:val="auto"/>
          <w:sz w:val="24"/>
          <w:highlight w:val="none"/>
        </w:rPr>
        <w:t>》”（备案编号09067）</w:t>
      </w:r>
      <w:r>
        <w:rPr>
          <w:rFonts w:hint="default" w:ascii="Times New Roman" w:hAnsi="Times New Roman" w:eastAsia="宋体" w:cs="Times New Roman"/>
          <w:color w:val="auto"/>
          <w:sz w:val="24"/>
          <w:highlight w:val="none"/>
          <w:lang w:eastAsia="zh-CN"/>
        </w:rPr>
        <w:t>。</w:t>
      </w:r>
    </w:p>
    <w:p>
      <w:pPr>
        <w:spacing w:line="360" w:lineRule="auto"/>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w:t>
      </w:r>
      <w:r>
        <w:rPr>
          <w:rFonts w:hint="default" w:ascii="Times New Roman" w:hAnsi="Times New Roman" w:eastAsia="宋体" w:cs="Times New Roman"/>
          <w:color w:val="auto"/>
          <w:sz w:val="24"/>
          <w:highlight w:val="none"/>
        </w:rPr>
        <w:t>2014年6月，赤峰冠诚地质勘查有限责任公司编制</w:t>
      </w:r>
      <w:r>
        <w:rPr>
          <w:rFonts w:hint="default" w:ascii="Times New Roman" w:hAnsi="Times New Roman" w:cs="Times New Roman"/>
          <w:color w:val="auto"/>
          <w:sz w:val="24"/>
          <w:highlight w:val="none"/>
        </w:rPr>
        <w:t>了</w:t>
      </w:r>
      <w:r>
        <w:rPr>
          <w:rFonts w:hint="default" w:ascii="Times New Roman" w:hAnsi="Times New Roman" w:eastAsia="宋体" w:cs="Times New Roman"/>
          <w:color w:val="auto"/>
          <w:sz w:val="24"/>
          <w:highlight w:val="none"/>
        </w:rPr>
        <w:t>《内蒙古自治区宁城县(宁城生鑫矿业公司)七家矿区铁矿矿山地质环境分期治理及土地复垦方案(2010.1.1-2014.7.31)》</w:t>
      </w:r>
      <w:r>
        <w:rPr>
          <w:rFonts w:hint="default" w:ascii="Times New Roman" w:hAnsi="Times New Roman" w:cs="Times New Roman"/>
          <w:color w:val="auto"/>
          <w:sz w:val="24"/>
          <w:highlight w:val="none"/>
          <w:lang w:eastAsia="zh-CN"/>
        </w:rPr>
        <w:t>。</w:t>
      </w:r>
    </w:p>
    <w:p>
      <w:pPr>
        <w:spacing w:line="360" w:lineRule="auto"/>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sz w:val="24"/>
          <w:highlight w:val="none"/>
        </w:rPr>
        <w:t>2018年12月，赤峰冠诚地质勘查有限责任公司编制</w:t>
      </w:r>
      <w:r>
        <w:rPr>
          <w:rFonts w:hint="default" w:ascii="Times New Roman" w:hAnsi="Times New Roman" w:cs="Times New Roman"/>
          <w:color w:val="auto"/>
          <w:sz w:val="24"/>
          <w:highlight w:val="none"/>
        </w:rPr>
        <w:t>了</w:t>
      </w:r>
      <w:r>
        <w:rPr>
          <w:rFonts w:hint="default" w:ascii="Times New Roman" w:hAnsi="Times New Roman" w:eastAsia="宋体" w:cs="Times New Roman"/>
          <w:color w:val="auto"/>
          <w:sz w:val="24"/>
          <w:highlight w:val="none"/>
        </w:rPr>
        <w:t>《内蒙古自治区</w:t>
      </w:r>
      <w:r>
        <w:rPr>
          <w:rFonts w:hint="default" w:ascii="Times New Roman" w:hAnsi="Times New Roman" w:eastAsia="宋体" w:cs="Times New Roman"/>
          <w:color w:val="auto"/>
          <w:sz w:val="24"/>
          <w:szCs w:val="22"/>
          <w:highlight w:val="none"/>
        </w:rPr>
        <w:t>宁城县（宁城生鑫矿业公司）七家矿区铁矿矿山地质环境分期治理（变更）方案</w:t>
      </w:r>
      <w:r>
        <w:rPr>
          <w:rFonts w:hint="default" w:ascii="Times New Roman" w:hAnsi="Times New Roman" w:eastAsia="宋体" w:cs="Times New Roman"/>
          <w:color w:val="auto"/>
          <w:sz w:val="24"/>
          <w:highlight w:val="none"/>
        </w:rPr>
        <w:t>》</w:t>
      </w:r>
      <w:r>
        <w:rPr>
          <w:rFonts w:hint="default" w:ascii="Times New Roman" w:hAnsi="Times New Roman" w:cs="Times New Roman"/>
          <w:color w:val="auto"/>
          <w:sz w:val="24"/>
          <w:highlight w:val="none"/>
          <w:lang w:eastAsia="zh-CN"/>
        </w:rPr>
        <w:t>。</w:t>
      </w:r>
    </w:p>
    <w:p>
      <w:pPr>
        <w:pStyle w:val="2"/>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根据《宁城生鑫矿业公司七家矿区铁矿年度治理计划书》，设计对《一分期变更方案》治理区进行管护，对露天采场边坡稳定性进行监测</w:t>
      </w:r>
      <w:r>
        <w:rPr>
          <w:rFonts w:hint="default" w:ascii="Times New Roman" w:hAnsi="Times New Roman" w:cs="Times New Roman"/>
          <w:color w:val="auto"/>
          <w:kern w:val="2"/>
          <w:sz w:val="24"/>
          <w:szCs w:val="22"/>
          <w:highlight w:val="none"/>
          <w:lang w:val="en-US" w:eastAsia="zh-CN" w:bidi="ar-SA"/>
        </w:rPr>
        <w:t>。</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textAlignment w:val="auto"/>
        <w:rPr>
          <w:rFonts w:hint="default" w:ascii="Times New Roman" w:hAnsi="Times New Roman" w:cs="Times New Roman"/>
          <w:bCs/>
          <w:color w:val="auto"/>
          <w:spacing w:val="-2"/>
          <w:sz w:val="24"/>
          <w:highlight w:val="none"/>
          <w:lang w:eastAsia="zh-CN"/>
        </w:rPr>
      </w:pPr>
      <w:r>
        <w:rPr>
          <w:rFonts w:hint="default" w:ascii="Times New Roman" w:hAnsi="Times New Roman" w:cs="Times New Roman"/>
          <w:color w:val="auto"/>
          <w:kern w:val="2"/>
          <w:sz w:val="24"/>
          <w:szCs w:val="22"/>
          <w:highlight w:val="none"/>
          <w:lang w:val="en-US" w:eastAsia="zh-CN" w:bidi="ar-SA"/>
        </w:rPr>
        <w:t>5、</w:t>
      </w:r>
      <w:r>
        <w:rPr>
          <w:rFonts w:hint="default" w:ascii="Times New Roman" w:hAnsi="Times New Roman" w:cs="Times New Roman"/>
          <w:bCs/>
          <w:color w:val="auto"/>
          <w:spacing w:val="-2"/>
          <w:sz w:val="24"/>
          <w:highlight w:val="none"/>
        </w:rPr>
        <w:t>2021年3月，采矿权人宁城县生鑫矿业有限公司委托华北有色工程勘察院有限公司和赤峰国源地产评估有限公司联合编制《宁城县生鑫矿业有限公司七家矿区铁矿矿山地质环境保护与土地复垦方案》</w:t>
      </w:r>
      <w:r>
        <w:rPr>
          <w:rFonts w:hint="default" w:ascii="Times New Roman" w:hAnsi="Times New Roman" w:cs="Times New Roman"/>
          <w:bCs/>
          <w:color w:val="auto"/>
          <w:spacing w:val="-2"/>
          <w:sz w:val="24"/>
          <w:highlight w:val="none"/>
          <w:lang w:eastAsia="zh-CN"/>
        </w:rPr>
        <w:t>。</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textAlignment w:val="auto"/>
        <w:rPr>
          <w:rFonts w:hint="default" w:ascii="Times New Roman" w:hAnsi="Times New Roman" w:cs="Times New Roman"/>
          <w:bCs/>
          <w:color w:val="auto"/>
          <w:spacing w:val="-2"/>
          <w:sz w:val="24"/>
          <w:highlight w:val="none"/>
          <w:lang w:val="en-US" w:eastAsia="zh-CN"/>
        </w:rPr>
      </w:pPr>
      <w:r>
        <w:rPr>
          <w:rFonts w:hint="default" w:ascii="Times New Roman" w:hAnsi="Times New Roman" w:cs="Times New Roman"/>
          <w:bCs/>
          <w:color w:val="auto"/>
          <w:spacing w:val="-2"/>
          <w:sz w:val="24"/>
          <w:highlight w:val="none"/>
          <w:lang w:val="en-US" w:eastAsia="zh-CN"/>
        </w:rPr>
        <w:t>6、2023年3月宁城县生鑫矿业有限公司编制的《宁城县生鑫矿业有限公司七家矿区铁矿202</w:t>
      </w:r>
      <w:r>
        <w:rPr>
          <w:rFonts w:hint="eastAsia" w:ascii="Times New Roman" w:cs="Times New Roman"/>
          <w:bCs/>
          <w:color w:val="auto"/>
          <w:spacing w:val="-2"/>
          <w:sz w:val="24"/>
          <w:highlight w:val="none"/>
          <w:lang w:val="en-US" w:eastAsia="zh-CN"/>
        </w:rPr>
        <w:t>3</w:t>
      </w:r>
      <w:r>
        <w:rPr>
          <w:rFonts w:hint="default" w:ascii="Times New Roman" w:hAnsi="Times New Roman" w:cs="Times New Roman"/>
          <w:bCs/>
          <w:color w:val="auto"/>
          <w:spacing w:val="-2"/>
          <w:sz w:val="24"/>
          <w:highlight w:val="none"/>
          <w:lang w:val="en-US" w:eastAsia="zh-CN"/>
        </w:rPr>
        <w:t>年度矿山地质环境治理计划书》。</w:t>
      </w:r>
    </w:p>
    <w:p>
      <w:pPr>
        <w:pStyle w:val="4"/>
        <w:numPr>
          <w:ilvl w:val="0"/>
          <w:numId w:val="4"/>
        </w:numPr>
        <w:spacing w:before="120" w:after="120" w:line="360" w:lineRule="auto"/>
        <w:jc w:val="left"/>
        <w:rPr>
          <w:rFonts w:hint="default" w:ascii="Times New Roman" w:hAnsi="Times New Roman" w:cs="Times New Roman"/>
          <w:color w:val="auto"/>
          <w:sz w:val="30"/>
          <w:highlight w:val="none"/>
        </w:rPr>
      </w:pPr>
      <w:bookmarkStart w:id="11" w:name="_Toc23821"/>
      <w:r>
        <w:rPr>
          <w:rFonts w:hint="default" w:ascii="Times New Roman" w:hAnsi="Times New Roman" w:cs="Times New Roman"/>
          <w:color w:val="auto"/>
          <w:sz w:val="30"/>
          <w:highlight w:val="none"/>
        </w:rPr>
        <w:t>治理方案规划的近期治理工程内容</w:t>
      </w:r>
      <w:r>
        <w:rPr>
          <w:rFonts w:hint="default" w:ascii="Times New Roman" w:hAnsi="Times New Roman" w:cs="Times New Roman"/>
          <w:color w:val="auto"/>
          <w:sz w:val="30"/>
          <w:highlight w:val="none"/>
          <w:lang w:val="en-US" w:eastAsia="zh-CN"/>
        </w:rPr>
        <w:t>及执行情况</w:t>
      </w:r>
      <w:bookmarkEnd w:id="11"/>
    </w:p>
    <w:p>
      <w:pPr>
        <w:widowControl/>
        <w:numPr>
          <w:ilvl w:val="0"/>
          <w:numId w:val="5"/>
        </w:numPr>
        <w:ind w:firstLine="48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原综治方案总体治理方案治理内容及执行情况</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2"/>
          <w:highlight w:val="none"/>
        </w:rPr>
        <w:t>规划近期（2010年-2012年）治</w:t>
      </w:r>
      <w:r>
        <w:rPr>
          <w:rFonts w:hint="default" w:ascii="Times New Roman" w:hAnsi="Times New Roman" w:eastAsia="宋体" w:cs="Times New Roman"/>
          <w:color w:val="auto"/>
          <w:sz w:val="24"/>
          <w:highlight w:val="none"/>
        </w:rPr>
        <w:t>理工程：对已废弃的废渣场和一号尾矿库（本方案编号2#尾矿库）进行整平、覆土、种草；对工业广场和矿区道路植树；对露天采场、尾矿库进行监测。</w:t>
      </w:r>
    </w:p>
    <w:p>
      <w:pPr>
        <w:adjustRightInd/>
        <w:snapToGrid/>
        <w:spacing w:line="360" w:lineRule="auto"/>
        <w:ind w:firstLine="482" w:firstLine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根据现场调查，矿山已完成治理工程：①在露天采场周围布设了网围栏；②矿山开采过程中对采掘面高边坡危岩体及时进行了清除；③对现有尾矿库坝边坡种植有沙棘；④对选矿场地地面进行硬化并修建了护坡。</w:t>
      </w:r>
    </w:p>
    <w:p>
      <w:pPr>
        <w:adjustRightInd/>
        <w:snapToGrid/>
        <w:spacing w:line="360" w:lineRule="auto"/>
        <w:ind w:firstLine="482" w:firstLine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矿山前期开采将剥离废石及表土全部堆放在了排渣场，并未设置表土堆放场。由于排渣场还在使用当中，故前期未对排渣场进行治理。</w:t>
      </w:r>
    </w:p>
    <w:p>
      <w:pPr>
        <w:widowControl w:val="0"/>
        <w:spacing w:line="360" w:lineRule="auto"/>
        <w:ind w:firstLine="482"/>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矿山对露天采场、排渣场的边坡及尾矿库采取了监测措施，未发生地质灾害现象。</w:t>
      </w:r>
    </w:p>
    <w:p>
      <w:pPr>
        <w:adjustRightInd/>
        <w:snapToGrid/>
        <w:spacing w:line="240" w:lineRule="auto"/>
        <w:ind w:firstLine="480" w:firstLineChars="0"/>
        <w:jc w:val="center"/>
        <w:rPr>
          <w:rFonts w:hint="default" w:ascii="Times New Roman" w:hAnsi="Times New Roman" w:eastAsia="宋体" w:cs="Times New Roman"/>
          <w:b/>
          <w:color w:val="auto"/>
          <w:sz w:val="21"/>
          <w:szCs w:val="24"/>
          <w:highlight w:val="none"/>
        </w:rPr>
      </w:pPr>
    </w:p>
    <w:p>
      <w:pPr>
        <w:adjustRightInd/>
        <w:snapToGrid/>
        <w:spacing w:line="240" w:lineRule="auto"/>
        <w:ind w:firstLine="480" w:firstLineChars="0"/>
        <w:jc w:val="center"/>
        <w:rPr>
          <w:rFonts w:hint="default" w:ascii="Times New Roman" w:hAnsi="Times New Roman" w:eastAsia="宋体" w:cs="Times New Roman"/>
          <w:b/>
          <w:color w:val="auto"/>
          <w:sz w:val="21"/>
          <w:szCs w:val="24"/>
          <w:highlight w:val="none"/>
        </w:rPr>
      </w:pPr>
      <w:r>
        <w:rPr>
          <w:rFonts w:hint="default" w:ascii="Times New Roman" w:hAnsi="Times New Roman" w:eastAsia="宋体" w:cs="Times New Roman"/>
          <w:b/>
          <w:color w:val="auto"/>
          <w:sz w:val="21"/>
          <w:szCs w:val="24"/>
          <w:highlight w:val="none"/>
        </w:rPr>
        <w:t>表</w:t>
      </w:r>
      <w:r>
        <w:rPr>
          <w:rFonts w:hint="default" w:ascii="Times New Roman" w:hAnsi="Times New Roman" w:cs="Times New Roman"/>
          <w:b/>
          <w:color w:val="auto"/>
          <w:sz w:val="21"/>
          <w:szCs w:val="24"/>
          <w:highlight w:val="none"/>
          <w:lang w:val="en-US" w:eastAsia="zh-CN"/>
        </w:rPr>
        <w:t>2</w:t>
      </w:r>
      <w:r>
        <w:rPr>
          <w:rFonts w:hint="default" w:ascii="Times New Roman" w:hAnsi="Times New Roman" w:eastAsia="宋体" w:cs="Times New Roman"/>
          <w:b/>
          <w:color w:val="auto"/>
          <w:sz w:val="21"/>
          <w:szCs w:val="24"/>
          <w:highlight w:val="none"/>
        </w:rPr>
        <w:t>-</w:t>
      </w:r>
      <w:r>
        <w:rPr>
          <w:rFonts w:hint="default" w:ascii="Times New Roman" w:hAnsi="Times New Roman" w:cs="Times New Roman"/>
          <w:b/>
          <w:color w:val="auto"/>
          <w:sz w:val="21"/>
          <w:szCs w:val="24"/>
          <w:highlight w:val="none"/>
          <w:lang w:val="en-US" w:eastAsia="zh-CN"/>
        </w:rPr>
        <w:t>1</w:t>
      </w:r>
      <w:r>
        <w:rPr>
          <w:rFonts w:hint="default" w:ascii="Times New Roman" w:hAnsi="Times New Roman" w:eastAsia="宋体" w:cs="Times New Roman"/>
          <w:b/>
          <w:color w:val="auto"/>
          <w:sz w:val="21"/>
          <w:szCs w:val="24"/>
          <w:highlight w:val="none"/>
        </w:rPr>
        <w:t xml:space="preserve">  矿山前期治理内容及完成情况一览表</w:t>
      </w:r>
    </w:p>
    <w:tbl>
      <w:tblPr>
        <w:tblStyle w:val="13"/>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1446"/>
        <w:gridCol w:w="1364"/>
        <w:gridCol w:w="1275"/>
        <w:gridCol w:w="1537"/>
        <w:gridCol w:w="1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26" w:type="dxa"/>
            <w:shd w:val="clear" w:color="auto" w:fill="auto"/>
            <w:vAlign w:val="center"/>
          </w:tcPr>
          <w:p>
            <w:pPr>
              <w:adjustRightInd/>
              <w:snapToGrid/>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治理时间</w:t>
            </w:r>
          </w:p>
        </w:tc>
        <w:tc>
          <w:tcPr>
            <w:tcW w:w="1446" w:type="dxa"/>
            <w:shd w:val="clear" w:color="auto" w:fill="auto"/>
            <w:vAlign w:val="center"/>
          </w:tcPr>
          <w:p>
            <w:pPr>
              <w:adjustRightInd/>
              <w:snapToGrid/>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治理单元</w:t>
            </w:r>
          </w:p>
        </w:tc>
        <w:tc>
          <w:tcPr>
            <w:tcW w:w="1364" w:type="dxa"/>
            <w:shd w:val="clear" w:color="auto" w:fill="auto"/>
            <w:vAlign w:val="center"/>
          </w:tcPr>
          <w:p>
            <w:pPr>
              <w:adjustRightInd/>
              <w:snapToGrid/>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治理措施</w:t>
            </w:r>
          </w:p>
        </w:tc>
        <w:tc>
          <w:tcPr>
            <w:tcW w:w="1275" w:type="dxa"/>
            <w:shd w:val="clear" w:color="auto" w:fill="auto"/>
            <w:vAlign w:val="center"/>
          </w:tcPr>
          <w:p>
            <w:pPr>
              <w:adjustRightInd/>
              <w:snapToGrid/>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完成工作量</w:t>
            </w:r>
          </w:p>
        </w:tc>
        <w:tc>
          <w:tcPr>
            <w:tcW w:w="1537" w:type="dxa"/>
            <w:shd w:val="clear" w:color="auto" w:fill="auto"/>
            <w:vAlign w:val="center"/>
          </w:tcPr>
          <w:p>
            <w:pPr>
              <w:adjustRightInd/>
              <w:snapToGrid/>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治理面积m</w:t>
            </w:r>
            <w:r>
              <w:rPr>
                <w:rFonts w:hint="default" w:ascii="Times New Roman" w:hAnsi="Times New Roman" w:cs="Times New Roman"/>
                <w:b/>
                <w:color w:val="auto"/>
                <w:sz w:val="21"/>
                <w:szCs w:val="21"/>
                <w:highlight w:val="none"/>
                <w:vertAlign w:val="superscript"/>
              </w:rPr>
              <w:t>2</w:t>
            </w:r>
          </w:p>
        </w:tc>
        <w:tc>
          <w:tcPr>
            <w:tcW w:w="1724" w:type="dxa"/>
            <w:shd w:val="clear" w:color="auto" w:fill="auto"/>
            <w:vAlign w:val="center"/>
          </w:tcPr>
          <w:p>
            <w:pPr>
              <w:adjustRightInd/>
              <w:snapToGrid/>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治理资金(万元)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26" w:type="dxa"/>
            <w:vMerge w:val="restart"/>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2010-2012</w:t>
            </w:r>
          </w:p>
        </w:tc>
        <w:tc>
          <w:tcPr>
            <w:tcW w:w="1446" w:type="dxa"/>
            <w:vMerge w:val="restart"/>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露天采场</w:t>
            </w:r>
          </w:p>
        </w:tc>
        <w:tc>
          <w:tcPr>
            <w:tcW w:w="1364" w:type="dxa"/>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网围栏</w:t>
            </w:r>
          </w:p>
        </w:tc>
        <w:tc>
          <w:tcPr>
            <w:tcW w:w="1275" w:type="dxa"/>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532m</w:t>
            </w:r>
          </w:p>
        </w:tc>
        <w:tc>
          <w:tcPr>
            <w:tcW w:w="1537" w:type="dxa"/>
            <w:vMerge w:val="restart"/>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724" w:type="dxa"/>
            <w:vMerge w:val="restart"/>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26" w:type="dxa"/>
            <w:vMerge w:val="continue"/>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c>
          <w:tcPr>
            <w:tcW w:w="1446" w:type="dxa"/>
            <w:vMerge w:val="continue"/>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c>
          <w:tcPr>
            <w:tcW w:w="1364" w:type="dxa"/>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清理危岩体</w:t>
            </w:r>
          </w:p>
        </w:tc>
        <w:tc>
          <w:tcPr>
            <w:tcW w:w="1275" w:type="dxa"/>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705m</w:t>
            </w:r>
            <w:r>
              <w:rPr>
                <w:rFonts w:hint="default" w:ascii="Times New Roman" w:hAnsi="Times New Roman" w:cs="Times New Roman"/>
                <w:color w:val="auto"/>
                <w:sz w:val="21"/>
                <w:szCs w:val="21"/>
                <w:highlight w:val="none"/>
                <w:vertAlign w:val="superscript"/>
              </w:rPr>
              <w:t>3</w:t>
            </w:r>
          </w:p>
        </w:tc>
        <w:tc>
          <w:tcPr>
            <w:tcW w:w="1537" w:type="dxa"/>
            <w:vMerge w:val="continue"/>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c>
          <w:tcPr>
            <w:tcW w:w="1724" w:type="dxa"/>
            <w:vMerge w:val="continue"/>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26" w:type="dxa"/>
            <w:vMerge w:val="continue"/>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c>
          <w:tcPr>
            <w:tcW w:w="1446" w:type="dxa"/>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2#尾矿库</w:t>
            </w:r>
          </w:p>
        </w:tc>
        <w:tc>
          <w:tcPr>
            <w:tcW w:w="1364" w:type="dxa"/>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未启用</w:t>
            </w:r>
          </w:p>
        </w:tc>
        <w:tc>
          <w:tcPr>
            <w:tcW w:w="1275" w:type="dxa"/>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537" w:type="dxa"/>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724" w:type="dxa"/>
            <w:vMerge w:val="continue"/>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26" w:type="dxa"/>
            <w:vMerge w:val="continue"/>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c>
          <w:tcPr>
            <w:tcW w:w="1446" w:type="dxa"/>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尾矿坝边坡</w:t>
            </w:r>
          </w:p>
        </w:tc>
        <w:tc>
          <w:tcPr>
            <w:tcW w:w="1364" w:type="dxa"/>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种植沙棘</w:t>
            </w:r>
          </w:p>
        </w:tc>
        <w:tc>
          <w:tcPr>
            <w:tcW w:w="1275" w:type="dxa"/>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300株</w:t>
            </w:r>
          </w:p>
        </w:tc>
        <w:tc>
          <w:tcPr>
            <w:tcW w:w="1537" w:type="dxa"/>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1230</w:t>
            </w:r>
          </w:p>
        </w:tc>
        <w:tc>
          <w:tcPr>
            <w:tcW w:w="1724" w:type="dxa"/>
            <w:vMerge w:val="continue"/>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26" w:type="dxa"/>
            <w:vMerge w:val="continue"/>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c>
          <w:tcPr>
            <w:tcW w:w="1446" w:type="dxa"/>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选矿厂</w:t>
            </w:r>
          </w:p>
        </w:tc>
        <w:tc>
          <w:tcPr>
            <w:tcW w:w="1364" w:type="dxa"/>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硬化、护坡</w:t>
            </w:r>
          </w:p>
        </w:tc>
        <w:tc>
          <w:tcPr>
            <w:tcW w:w="1275" w:type="dxa"/>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c>
          <w:tcPr>
            <w:tcW w:w="1537" w:type="dxa"/>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1230</w:t>
            </w:r>
          </w:p>
        </w:tc>
        <w:tc>
          <w:tcPr>
            <w:tcW w:w="1724" w:type="dxa"/>
            <w:vMerge w:val="continue"/>
            <w:shd w:val="clear" w:color="auto" w:fill="auto"/>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bl>
    <w:p>
      <w:pPr>
        <w:widowControl w:val="0"/>
        <w:spacing w:line="360" w:lineRule="auto"/>
        <w:ind w:firstLine="482"/>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矿山在1#尾矿坝北部修筑了干砌石护坡，修筑面积735m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w:t>
      </w:r>
    </w:p>
    <w:p>
      <w:pPr>
        <w:adjustRightInd/>
        <w:snapToGrid/>
        <w:spacing w:line="240" w:lineRule="auto"/>
        <w:ind w:firstLine="0" w:firstLineChars="0"/>
        <w:jc w:val="center"/>
        <w:rPr>
          <w:rFonts w:hint="default" w:ascii="Times New Roman" w:hAnsi="Times New Roman" w:eastAsia="黑体" w:cs="Times New Roman"/>
          <w:color w:val="auto"/>
          <w:sz w:val="21"/>
          <w:szCs w:val="24"/>
          <w:highlight w:val="none"/>
        </w:rPr>
      </w:pPr>
      <w:r>
        <w:rPr>
          <w:rFonts w:hint="default" w:ascii="Times New Roman" w:hAnsi="Times New Roman" w:cs="Times New Roman"/>
          <w:color w:val="auto"/>
          <w:sz w:val="21"/>
          <w:szCs w:val="24"/>
          <w:highlight w:val="none"/>
        </w:rPr>
        <w:drawing>
          <wp:inline distT="0" distB="0" distL="0" distR="0">
            <wp:extent cx="5052695" cy="1129665"/>
            <wp:effectExtent l="0" t="0" r="14605" b="13335"/>
            <wp:docPr id="5" name="Picture 12" descr="尾矿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尾矿坝"/>
                    <pic:cNvPicPr>
                      <a:picLocks noChangeAspect="1" noChangeArrowheads="1"/>
                    </pic:cNvPicPr>
                  </pic:nvPicPr>
                  <pic:blipFill>
                    <a:blip r:embed="rId21" cstate="print">
                      <a:lum bright="20000"/>
                    </a:blip>
                    <a:srcRect l="3448" t="49099" r="4999" b="9134"/>
                    <a:stretch>
                      <a:fillRect/>
                    </a:stretch>
                  </pic:blipFill>
                  <pic:spPr>
                    <a:xfrm>
                      <a:off x="0" y="0"/>
                      <a:ext cx="5053282" cy="1130060"/>
                    </a:xfrm>
                    <a:prstGeom prst="rect">
                      <a:avLst/>
                    </a:prstGeom>
                    <a:noFill/>
                    <a:ln w="9525">
                      <a:noFill/>
                      <a:miter lim="800000"/>
                      <a:headEnd/>
                      <a:tailEnd/>
                    </a:ln>
                  </pic:spPr>
                </pic:pic>
              </a:graphicData>
            </a:graphic>
          </wp:inline>
        </w:drawing>
      </w:r>
    </w:p>
    <w:p>
      <w:pPr>
        <w:adjustRightInd/>
        <w:snapToGrid/>
        <w:spacing w:line="240" w:lineRule="auto"/>
        <w:ind w:firstLine="0" w:firstLineChars="0"/>
        <w:jc w:val="center"/>
        <w:rPr>
          <w:rFonts w:hint="default" w:ascii="Times New Roman" w:hAnsi="Times New Roman" w:eastAsia="宋体" w:cs="Times New Roman"/>
          <w:b/>
          <w:color w:val="auto"/>
          <w:sz w:val="21"/>
          <w:szCs w:val="24"/>
          <w:highlight w:val="none"/>
        </w:rPr>
      </w:pPr>
      <w:r>
        <w:rPr>
          <w:rFonts w:hint="default" w:ascii="Times New Roman" w:hAnsi="Times New Roman" w:eastAsia="宋体" w:cs="Times New Roman"/>
          <w:b/>
          <w:color w:val="auto"/>
          <w:sz w:val="21"/>
          <w:szCs w:val="24"/>
          <w:highlight w:val="none"/>
        </w:rPr>
        <w:t>照片</w:t>
      </w:r>
      <w:r>
        <w:rPr>
          <w:rFonts w:hint="default" w:ascii="Times New Roman" w:hAnsi="Times New Roman" w:cs="Times New Roman"/>
          <w:b/>
          <w:color w:val="auto"/>
          <w:sz w:val="21"/>
          <w:szCs w:val="24"/>
          <w:highlight w:val="none"/>
          <w:lang w:val="en-US" w:eastAsia="zh-CN"/>
        </w:rPr>
        <w:t>2</w:t>
      </w:r>
      <w:r>
        <w:rPr>
          <w:rFonts w:hint="default" w:ascii="Times New Roman" w:hAnsi="Times New Roman" w:eastAsia="宋体" w:cs="Times New Roman"/>
          <w:b/>
          <w:color w:val="auto"/>
          <w:sz w:val="21"/>
          <w:szCs w:val="24"/>
          <w:highlight w:val="none"/>
        </w:rPr>
        <w:t>-</w:t>
      </w:r>
      <w:r>
        <w:rPr>
          <w:rFonts w:hint="default" w:ascii="Times New Roman" w:hAnsi="Times New Roman" w:cs="Times New Roman"/>
          <w:b/>
          <w:color w:val="auto"/>
          <w:sz w:val="21"/>
          <w:szCs w:val="24"/>
          <w:highlight w:val="none"/>
          <w:lang w:val="en-US" w:eastAsia="zh-CN"/>
        </w:rPr>
        <w:t>1</w:t>
      </w:r>
      <w:r>
        <w:rPr>
          <w:rFonts w:hint="default" w:ascii="Times New Roman" w:hAnsi="Times New Roman" w:eastAsia="宋体" w:cs="Times New Roman"/>
          <w:b/>
          <w:color w:val="auto"/>
          <w:sz w:val="21"/>
          <w:szCs w:val="24"/>
          <w:highlight w:val="none"/>
        </w:rPr>
        <w:t xml:space="preserve">   1#尾矿库边坡治理</w:t>
      </w:r>
    </w:p>
    <w:p>
      <w:pPr>
        <w:adjustRightInd/>
        <w:snapToGrid/>
        <w:spacing w:line="240" w:lineRule="auto"/>
        <w:ind w:firstLine="0" w:firstLineChars="0"/>
        <w:jc w:val="center"/>
        <w:rPr>
          <w:rFonts w:hint="default" w:ascii="Times New Roman" w:hAnsi="Times New Roman" w:eastAsia="黑体" w:cs="Times New Roman"/>
          <w:color w:val="auto"/>
          <w:sz w:val="21"/>
          <w:szCs w:val="24"/>
          <w:highlight w:val="none"/>
        </w:rPr>
      </w:pPr>
      <w:r>
        <w:rPr>
          <w:rFonts w:hint="default" w:ascii="Times New Roman" w:hAnsi="Times New Roman" w:eastAsia="黑体" w:cs="Times New Roman"/>
          <w:color w:val="auto"/>
          <w:sz w:val="21"/>
          <w:szCs w:val="24"/>
          <w:highlight w:val="none"/>
        </w:rPr>
        <w:drawing>
          <wp:inline distT="0" distB="0" distL="0" distR="0">
            <wp:extent cx="4093845" cy="2000885"/>
            <wp:effectExtent l="0" t="0" r="5715" b="10795"/>
            <wp:docPr id="9" name="图片 19" descr="P1011398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P1011398副本"/>
                    <pic:cNvPicPr>
                      <a:picLocks noChangeAspect="1" noChangeArrowheads="1"/>
                    </pic:cNvPicPr>
                  </pic:nvPicPr>
                  <pic:blipFill>
                    <a:blip r:embed="rId22" cstate="print">
                      <a:lum bright="20000"/>
                    </a:blip>
                    <a:srcRect t="16387"/>
                    <a:stretch>
                      <a:fillRect/>
                    </a:stretch>
                  </pic:blipFill>
                  <pic:spPr>
                    <a:xfrm>
                      <a:off x="0" y="0"/>
                      <a:ext cx="4093845" cy="2000885"/>
                    </a:xfrm>
                    <a:prstGeom prst="rect">
                      <a:avLst/>
                    </a:prstGeom>
                    <a:noFill/>
                    <a:ln w="9525">
                      <a:noFill/>
                      <a:miter lim="800000"/>
                      <a:headEnd/>
                      <a:tailEnd/>
                    </a:ln>
                  </pic:spPr>
                </pic:pic>
              </a:graphicData>
            </a:graphic>
          </wp:inline>
        </w:drawing>
      </w:r>
    </w:p>
    <w:p>
      <w:pPr>
        <w:adjustRightInd/>
        <w:snapToGrid/>
        <w:spacing w:line="240" w:lineRule="auto"/>
        <w:ind w:firstLine="0" w:firstLineChars="0"/>
        <w:jc w:val="center"/>
        <w:rPr>
          <w:rFonts w:hint="default" w:ascii="Times New Roman" w:hAnsi="Times New Roman" w:eastAsia="宋体" w:cs="Times New Roman"/>
          <w:b/>
          <w:color w:val="auto"/>
          <w:sz w:val="21"/>
          <w:szCs w:val="24"/>
          <w:highlight w:val="none"/>
        </w:rPr>
      </w:pPr>
      <w:r>
        <w:rPr>
          <w:rFonts w:hint="default" w:ascii="Times New Roman" w:hAnsi="Times New Roman" w:eastAsia="宋体" w:cs="Times New Roman"/>
          <w:b/>
          <w:color w:val="auto"/>
          <w:sz w:val="21"/>
          <w:szCs w:val="24"/>
          <w:highlight w:val="none"/>
        </w:rPr>
        <w:t>照片</w:t>
      </w:r>
      <w:r>
        <w:rPr>
          <w:rFonts w:hint="default" w:ascii="Times New Roman" w:hAnsi="Times New Roman" w:cs="Times New Roman"/>
          <w:b/>
          <w:color w:val="auto"/>
          <w:sz w:val="21"/>
          <w:szCs w:val="24"/>
          <w:highlight w:val="none"/>
          <w:lang w:val="en-US" w:eastAsia="zh-CN"/>
        </w:rPr>
        <w:t>2</w:t>
      </w:r>
      <w:r>
        <w:rPr>
          <w:rFonts w:hint="default" w:ascii="Times New Roman" w:hAnsi="Times New Roman" w:eastAsia="宋体" w:cs="Times New Roman"/>
          <w:b/>
          <w:color w:val="auto"/>
          <w:sz w:val="21"/>
          <w:szCs w:val="24"/>
          <w:highlight w:val="none"/>
        </w:rPr>
        <w:t>-</w:t>
      </w:r>
      <w:r>
        <w:rPr>
          <w:rFonts w:hint="default" w:ascii="Times New Roman" w:hAnsi="Times New Roman" w:cs="Times New Roman"/>
          <w:b/>
          <w:color w:val="auto"/>
          <w:sz w:val="21"/>
          <w:szCs w:val="24"/>
          <w:highlight w:val="none"/>
          <w:lang w:val="en-US" w:eastAsia="zh-CN"/>
        </w:rPr>
        <w:t>2</w:t>
      </w:r>
      <w:r>
        <w:rPr>
          <w:rFonts w:hint="default" w:ascii="Times New Roman" w:hAnsi="Times New Roman" w:eastAsia="宋体" w:cs="Times New Roman"/>
          <w:b/>
          <w:color w:val="auto"/>
          <w:sz w:val="21"/>
          <w:szCs w:val="24"/>
          <w:highlight w:val="none"/>
        </w:rPr>
        <w:t xml:space="preserve">  选矿厂的地面硬化及修建的护坡</w:t>
      </w:r>
    </w:p>
    <w:p>
      <w:pPr>
        <w:pStyle w:val="2"/>
        <w:keepNext w:val="0"/>
        <w:keepLines w:val="0"/>
        <w:pageBreakBefore w:val="0"/>
        <w:widowControl w:val="0"/>
        <w:kinsoku/>
        <w:wordWrap/>
        <w:overflowPunct/>
        <w:topLinePunct w:val="0"/>
        <w:bidi w:val="0"/>
        <w:adjustRightIn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2、一分期</w:t>
      </w:r>
      <w:r>
        <w:rPr>
          <w:rFonts w:hint="default" w:ascii="Times New Roman" w:hAnsi="Times New Roman" w:cs="Times New Roman"/>
          <w:highlight w:val="none"/>
          <w:lang w:val="en-US" w:eastAsia="zh-CN"/>
        </w:rPr>
        <w:t>治理方案治理内容及执行情况</w:t>
      </w:r>
    </w:p>
    <w:p>
      <w:pPr>
        <w:keepNext w:val="0"/>
        <w:keepLines w:val="0"/>
        <w:pageBreakBefore w:val="0"/>
        <w:widowControl w:val="0"/>
        <w:kinsoku/>
        <w:wordWrap/>
        <w:overflowPunct/>
        <w:topLinePunct w:val="0"/>
        <w:bidi w:val="0"/>
        <w:adjustRightInd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对露天采场、原一号尾矿库（本方案编号2#尾矿库）、尾矿坝初级边坡（本方案1#尾矿库）、选矿厂等单元进行治理，设计治理工程见表2-2。</w:t>
      </w:r>
    </w:p>
    <w:p>
      <w:pPr>
        <w:keepNext w:val="0"/>
        <w:keepLines w:val="0"/>
        <w:pageBreakBefore w:val="0"/>
        <w:widowControl w:val="0"/>
        <w:kinsoku/>
        <w:wordWrap/>
        <w:overflowPunct/>
        <w:topLinePunct w:val="0"/>
        <w:bidi w:val="0"/>
        <w:adjustRightInd w:val="0"/>
        <w:spacing w:line="360" w:lineRule="auto"/>
        <w:ind w:firstLine="422" w:firstLineChars="20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表2-2  “一分期方案”设计治理工程情况表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1011"/>
        <w:gridCol w:w="786"/>
        <w:gridCol w:w="786"/>
        <w:gridCol w:w="786"/>
        <w:gridCol w:w="899"/>
        <w:gridCol w:w="1068"/>
        <w:gridCol w:w="1293"/>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1" w:type="pct"/>
            <w:vMerge w:val="restar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防治单元</w:t>
            </w:r>
          </w:p>
        </w:tc>
        <w:tc>
          <w:tcPr>
            <w:tcW w:w="593" w:type="pct"/>
            <w:vMerge w:val="restar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面积</w:t>
            </w:r>
          </w:p>
        </w:tc>
        <w:tc>
          <w:tcPr>
            <w:tcW w:w="3686" w:type="pct"/>
            <w:gridSpan w:val="7"/>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主要工作量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1" w:type="pct"/>
            <w:vMerge w:val="continue"/>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p>
        </w:tc>
        <w:tc>
          <w:tcPr>
            <w:tcW w:w="593" w:type="pct"/>
            <w:vMerge w:val="continue"/>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p>
        </w:tc>
        <w:tc>
          <w:tcPr>
            <w:tcW w:w="461"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清理平整</w:t>
            </w:r>
          </w:p>
        </w:tc>
        <w:tc>
          <w:tcPr>
            <w:tcW w:w="461"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人工开挖</w:t>
            </w:r>
          </w:p>
        </w:tc>
        <w:tc>
          <w:tcPr>
            <w:tcW w:w="461"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恢复植被</w:t>
            </w:r>
          </w:p>
        </w:tc>
        <w:tc>
          <w:tcPr>
            <w:tcW w:w="527"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矿山地质环境监测</w:t>
            </w:r>
          </w:p>
        </w:tc>
        <w:tc>
          <w:tcPr>
            <w:tcW w:w="626"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地下水水质监测</w:t>
            </w:r>
          </w:p>
        </w:tc>
        <w:tc>
          <w:tcPr>
            <w:tcW w:w="758"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地形地貌景观及土地资源监测</w:t>
            </w:r>
          </w:p>
        </w:tc>
        <w:tc>
          <w:tcPr>
            <w:tcW w:w="392"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管护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1" w:type="pct"/>
            <w:vMerge w:val="continue"/>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p>
        </w:tc>
        <w:tc>
          <w:tcPr>
            <w:tcW w:w="593"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m</w:t>
            </w:r>
            <w:r>
              <w:rPr>
                <w:rFonts w:hint="default" w:ascii="Times New Roman" w:hAnsi="Times New Roman" w:cs="Times New Roman" w:eastAsiaTheme="minorEastAsia"/>
                <w:b w:val="0"/>
                <w:bCs/>
                <w:color w:val="auto"/>
                <w:kern w:val="0"/>
                <w:sz w:val="21"/>
                <w:szCs w:val="21"/>
                <w:highlight w:val="none"/>
                <w:vertAlign w:val="superscript"/>
              </w:rPr>
              <w:t>2</w:t>
            </w:r>
          </w:p>
        </w:tc>
        <w:tc>
          <w:tcPr>
            <w:tcW w:w="461"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m</w:t>
            </w:r>
            <w:r>
              <w:rPr>
                <w:rFonts w:hint="default" w:ascii="Times New Roman" w:hAnsi="Times New Roman" w:cs="Times New Roman" w:eastAsiaTheme="minorEastAsia"/>
                <w:b w:val="0"/>
                <w:bCs/>
                <w:color w:val="auto"/>
                <w:kern w:val="0"/>
                <w:sz w:val="21"/>
                <w:szCs w:val="21"/>
                <w:highlight w:val="none"/>
                <w:vertAlign w:val="superscript"/>
              </w:rPr>
              <w:t>3</w:t>
            </w:r>
          </w:p>
        </w:tc>
        <w:tc>
          <w:tcPr>
            <w:tcW w:w="461"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m</w:t>
            </w:r>
            <w:r>
              <w:rPr>
                <w:rFonts w:hint="default" w:ascii="Times New Roman" w:hAnsi="Times New Roman" w:cs="Times New Roman" w:eastAsiaTheme="minorEastAsia"/>
                <w:b w:val="0"/>
                <w:bCs/>
                <w:color w:val="auto"/>
                <w:kern w:val="0"/>
                <w:sz w:val="21"/>
                <w:szCs w:val="21"/>
                <w:highlight w:val="none"/>
                <w:vertAlign w:val="superscript"/>
              </w:rPr>
              <w:t>3</w:t>
            </w:r>
          </w:p>
        </w:tc>
        <w:tc>
          <w:tcPr>
            <w:tcW w:w="461"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株</w:t>
            </w:r>
          </w:p>
        </w:tc>
        <w:tc>
          <w:tcPr>
            <w:tcW w:w="527"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次</w:t>
            </w:r>
          </w:p>
        </w:tc>
        <w:tc>
          <w:tcPr>
            <w:tcW w:w="626"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次</w:t>
            </w:r>
          </w:p>
        </w:tc>
        <w:tc>
          <w:tcPr>
            <w:tcW w:w="758"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次</w:t>
            </w:r>
          </w:p>
        </w:tc>
        <w:tc>
          <w:tcPr>
            <w:tcW w:w="392"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1"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露天采场</w:t>
            </w:r>
          </w:p>
        </w:tc>
        <w:tc>
          <w:tcPr>
            <w:tcW w:w="593"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40346</w:t>
            </w:r>
          </w:p>
        </w:tc>
        <w:tc>
          <w:tcPr>
            <w:tcW w:w="461"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p>
        </w:tc>
        <w:tc>
          <w:tcPr>
            <w:tcW w:w="461"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p>
        </w:tc>
        <w:tc>
          <w:tcPr>
            <w:tcW w:w="461"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p>
        </w:tc>
        <w:tc>
          <w:tcPr>
            <w:tcW w:w="527"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48</w:t>
            </w:r>
          </w:p>
        </w:tc>
        <w:tc>
          <w:tcPr>
            <w:tcW w:w="626"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p>
        </w:tc>
        <w:tc>
          <w:tcPr>
            <w:tcW w:w="758"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p>
        </w:tc>
        <w:tc>
          <w:tcPr>
            <w:tcW w:w="392"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1"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原一号</w:t>
            </w:r>
          </w:p>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尾矿库</w:t>
            </w:r>
          </w:p>
        </w:tc>
        <w:tc>
          <w:tcPr>
            <w:tcW w:w="593"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67266</w:t>
            </w:r>
          </w:p>
        </w:tc>
        <w:tc>
          <w:tcPr>
            <w:tcW w:w="461"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p>
        </w:tc>
        <w:tc>
          <w:tcPr>
            <w:tcW w:w="461"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6727</w:t>
            </w:r>
          </w:p>
        </w:tc>
        <w:tc>
          <w:tcPr>
            <w:tcW w:w="461"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22422</w:t>
            </w:r>
          </w:p>
        </w:tc>
        <w:tc>
          <w:tcPr>
            <w:tcW w:w="527"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p>
        </w:tc>
        <w:tc>
          <w:tcPr>
            <w:tcW w:w="626"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p>
        </w:tc>
        <w:tc>
          <w:tcPr>
            <w:tcW w:w="758"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p>
        </w:tc>
        <w:tc>
          <w:tcPr>
            <w:tcW w:w="392"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1"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尾矿坝初级边坡</w:t>
            </w:r>
          </w:p>
        </w:tc>
        <w:tc>
          <w:tcPr>
            <w:tcW w:w="593"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1230</w:t>
            </w:r>
          </w:p>
        </w:tc>
        <w:tc>
          <w:tcPr>
            <w:tcW w:w="461"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p>
        </w:tc>
        <w:tc>
          <w:tcPr>
            <w:tcW w:w="461"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50</w:t>
            </w:r>
          </w:p>
        </w:tc>
        <w:tc>
          <w:tcPr>
            <w:tcW w:w="461"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167</w:t>
            </w:r>
          </w:p>
        </w:tc>
        <w:tc>
          <w:tcPr>
            <w:tcW w:w="527"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p>
        </w:tc>
        <w:tc>
          <w:tcPr>
            <w:tcW w:w="626"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p>
        </w:tc>
        <w:tc>
          <w:tcPr>
            <w:tcW w:w="758"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p>
        </w:tc>
        <w:tc>
          <w:tcPr>
            <w:tcW w:w="392"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1"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选矿厂</w:t>
            </w:r>
          </w:p>
        </w:tc>
        <w:tc>
          <w:tcPr>
            <w:tcW w:w="593"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1042</w:t>
            </w:r>
          </w:p>
        </w:tc>
        <w:tc>
          <w:tcPr>
            <w:tcW w:w="461"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1042</w:t>
            </w:r>
          </w:p>
        </w:tc>
        <w:tc>
          <w:tcPr>
            <w:tcW w:w="461"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p>
        </w:tc>
        <w:tc>
          <w:tcPr>
            <w:tcW w:w="461"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p>
        </w:tc>
        <w:tc>
          <w:tcPr>
            <w:tcW w:w="527"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p>
        </w:tc>
        <w:tc>
          <w:tcPr>
            <w:tcW w:w="626"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p>
        </w:tc>
        <w:tc>
          <w:tcPr>
            <w:tcW w:w="758"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p>
        </w:tc>
        <w:tc>
          <w:tcPr>
            <w:tcW w:w="392"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1"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合计</w:t>
            </w:r>
          </w:p>
        </w:tc>
        <w:tc>
          <w:tcPr>
            <w:tcW w:w="593"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109884</w:t>
            </w:r>
          </w:p>
        </w:tc>
        <w:tc>
          <w:tcPr>
            <w:tcW w:w="461"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1042</w:t>
            </w:r>
          </w:p>
        </w:tc>
        <w:tc>
          <w:tcPr>
            <w:tcW w:w="461"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6777</w:t>
            </w:r>
          </w:p>
        </w:tc>
        <w:tc>
          <w:tcPr>
            <w:tcW w:w="461"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22589</w:t>
            </w:r>
          </w:p>
        </w:tc>
        <w:tc>
          <w:tcPr>
            <w:tcW w:w="527"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48</w:t>
            </w:r>
          </w:p>
        </w:tc>
        <w:tc>
          <w:tcPr>
            <w:tcW w:w="626"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2</w:t>
            </w:r>
          </w:p>
        </w:tc>
        <w:tc>
          <w:tcPr>
            <w:tcW w:w="758"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32</w:t>
            </w:r>
          </w:p>
        </w:tc>
        <w:tc>
          <w:tcPr>
            <w:tcW w:w="392" w:type="pct"/>
            <w:vAlign w:val="center"/>
          </w:tcPr>
          <w:p>
            <w:pPr>
              <w:widowControl/>
              <w:adjustRightInd/>
              <w:snapToGrid/>
              <w:spacing w:line="240" w:lineRule="auto"/>
              <w:ind w:firstLine="0" w:firstLineChars="0"/>
              <w:jc w:val="center"/>
              <w:rPr>
                <w:rFonts w:hint="default" w:ascii="Times New Roman" w:hAnsi="Times New Roman" w:cs="Times New Roman" w:eastAsiaTheme="minorEastAsia"/>
                <w:b w:val="0"/>
                <w:bCs/>
                <w:color w:val="auto"/>
                <w:kern w:val="0"/>
                <w:sz w:val="21"/>
                <w:szCs w:val="21"/>
                <w:highlight w:val="none"/>
              </w:rPr>
            </w:pPr>
            <w:r>
              <w:rPr>
                <w:rFonts w:hint="default" w:ascii="Times New Roman" w:hAnsi="Times New Roman" w:cs="Times New Roman" w:eastAsiaTheme="minorEastAsia"/>
                <w:b w:val="0"/>
                <w:bCs/>
                <w:color w:val="auto"/>
                <w:kern w:val="0"/>
                <w:sz w:val="21"/>
                <w:szCs w:val="21"/>
                <w:highlight w:val="none"/>
              </w:rPr>
              <w:t>24</w:t>
            </w:r>
          </w:p>
        </w:tc>
      </w:tr>
    </w:tbl>
    <w:p>
      <w:pPr>
        <w:pStyle w:val="2"/>
        <w:keepNext w:val="0"/>
        <w:keepLines w:val="0"/>
        <w:pageBreakBefore w:val="0"/>
        <w:widowControl w:val="0"/>
        <w:kinsoku/>
        <w:wordWrap/>
        <w:overflowPunct/>
        <w:topLinePunct w:val="0"/>
        <w:bidi w:val="0"/>
        <w:adjustRightIn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3、一分期</w:t>
      </w:r>
      <w:r>
        <w:rPr>
          <w:rFonts w:hint="default" w:ascii="Times New Roman" w:hAnsi="Times New Roman" w:cs="Times New Roman"/>
          <w:highlight w:val="none"/>
          <w:lang w:val="en-US" w:eastAsia="zh-CN"/>
        </w:rPr>
        <w:t>治理变更方案治理内容及执行情况</w:t>
      </w:r>
    </w:p>
    <w:p>
      <w:pPr>
        <w:keepNext w:val="0"/>
        <w:keepLines w:val="0"/>
        <w:pageBreakBefore w:val="0"/>
        <w:widowControl w:val="0"/>
        <w:tabs>
          <w:tab w:val="left" w:pos="6120"/>
        </w:tabs>
        <w:kinsoku/>
        <w:wordWrap/>
        <w:overflowPunct/>
        <w:topLinePunct w:val="0"/>
        <w:bidi w:val="0"/>
        <w:adjustRightInd w:val="0"/>
        <w:spacing w:line="360" w:lineRule="auto"/>
        <w:ind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设计对原一号尾矿库（</w:t>
      </w:r>
      <w:r>
        <w:rPr>
          <w:rFonts w:hint="default" w:ascii="Times New Roman" w:hAnsi="Times New Roman" w:eastAsia="宋体" w:cs="Times New Roman"/>
          <w:color w:val="auto"/>
          <w:kern w:val="2"/>
          <w:sz w:val="24"/>
          <w:szCs w:val="24"/>
          <w:highlight w:val="none"/>
          <w:lang w:val="en-US" w:eastAsia="zh-CN" w:bidi="ar-SA"/>
        </w:rPr>
        <w:t>本方案编号2#尾矿库</w:t>
      </w:r>
      <w:r>
        <w:rPr>
          <w:rFonts w:hint="default" w:ascii="Times New Roman" w:hAnsi="Times New Roman" w:eastAsia="宋体" w:cs="Times New Roman"/>
          <w:bCs/>
          <w:color w:val="auto"/>
          <w:kern w:val="2"/>
          <w:sz w:val="24"/>
          <w:szCs w:val="24"/>
          <w:highlight w:val="none"/>
          <w:lang w:val="en-US" w:eastAsia="zh-CN" w:bidi="ar-SA"/>
        </w:rPr>
        <w:t xml:space="preserve">）进行治理，根据矿山实际情况，该尾矿库属于矿山的新建尾矿库，未来生产需要继续使用，暂不实施治理。拟增加对排渣场（废石场）的治理。变更后的治理工程见表2-3。 </w:t>
      </w:r>
    </w:p>
    <w:p>
      <w:pPr>
        <w:tabs>
          <w:tab w:val="left" w:pos="1300"/>
        </w:tabs>
        <w:adjustRightInd/>
        <w:snapToGrid/>
        <w:spacing w:line="36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w:t>
      </w:r>
      <w:r>
        <w:rPr>
          <w:rFonts w:hint="default" w:ascii="Times New Roman" w:hAnsi="Times New Roman"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val="en-US" w:eastAsia="zh-CN"/>
        </w:rPr>
        <w:t>3</w:t>
      </w:r>
      <w:r>
        <w:rPr>
          <w:rFonts w:hint="default" w:ascii="Times New Roman" w:hAnsi="Times New Roman" w:cs="Times New Roman"/>
          <w:b/>
          <w:color w:val="auto"/>
          <w:sz w:val="21"/>
          <w:szCs w:val="21"/>
          <w:highlight w:val="none"/>
        </w:rPr>
        <w:t xml:space="preserve">  变更后治理工程量汇总表</w:t>
      </w:r>
    </w:p>
    <w:tbl>
      <w:tblPr>
        <w:tblStyle w:val="1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99"/>
        <w:gridCol w:w="850"/>
        <w:gridCol w:w="741"/>
        <w:gridCol w:w="819"/>
        <w:gridCol w:w="850"/>
        <w:gridCol w:w="1133"/>
        <w:gridCol w:w="850"/>
        <w:gridCol w:w="1434"/>
        <w:gridCol w:w="75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44" w:type="pct"/>
            <w:vMerge w:val="restar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单元名称</w:t>
            </w:r>
          </w:p>
        </w:tc>
        <w:tc>
          <w:tcPr>
            <w:tcW w:w="498"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治理</w:t>
            </w:r>
          </w:p>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面积</w:t>
            </w:r>
          </w:p>
        </w:tc>
        <w:tc>
          <w:tcPr>
            <w:tcW w:w="434"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清运</w:t>
            </w:r>
          </w:p>
        </w:tc>
        <w:tc>
          <w:tcPr>
            <w:tcW w:w="480"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削坡</w:t>
            </w:r>
          </w:p>
        </w:tc>
        <w:tc>
          <w:tcPr>
            <w:tcW w:w="498"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覆土</w:t>
            </w:r>
          </w:p>
        </w:tc>
        <w:tc>
          <w:tcPr>
            <w:tcW w:w="664"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栽植沙棘、棉槐</w:t>
            </w:r>
          </w:p>
        </w:tc>
        <w:tc>
          <w:tcPr>
            <w:tcW w:w="498"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栽植</w:t>
            </w:r>
          </w:p>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松树</w:t>
            </w:r>
          </w:p>
        </w:tc>
        <w:tc>
          <w:tcPr>
            <w:tcW w:w="840"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矿区地质环境监测</w:t>
            </w:r>
          </w:p>
        </w:tc>
        <w:tc>
          <w:tcPr>
            <w:tcW w:w="440"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管护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44" w:type="pct"/>
            <w:vMerge w:val="continue"/>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p>
        </w:tc>
        <w:tc>
          <w:tcPr>
            <w:tcW w:w="498"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m</w:t>
            </w:r>
            <w:r>
              <w:rPr>
                <w:rFonts w:hint="default" w:ascii="Times New Roman" w:hAnsi="Times New Roman" w:cs="Times New Roman" w:eastAsiaTheme="minorEastAsia"/>
                <w:b w:val="0"/>
                <w:bCs/>
                <w:color w:val="auto"/>
                <w:sz w:val="21"/>
                <w:szCs w:val="21"/>
                <w:highlight w:val="none"/>
                <w:vertAlign w:val="superscript"/>
              </w:rPr>
              <w:t>2</w:t>
            </w:r>
          </w:p>
        </w:tc>
        <w:tc>
          <w:tcPr>
            <w:tcW w:w="434"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m</w:t>
            </w:r>
            <w:r>
              <w:rPr>
                <w:rFonts w:hint="default" w:ascii="Times New Roman" w:hAnsi="Times New Roman" w:cs="Times New Roman" w:eastAsiaTheme="minorEastAsia"/>
                <w:b w:val="0"/>
                <w:bCs/>
                <w:color w:val="auto"/>
                <w:sz w:val="21"/>
                <w:szCs w:val="21"/>
                <w:highlight w:val="none"/>
                <w:vertAlign w:val="superscript"/>
              </w:rPr>
              <w:t>3</w:t>
            </w:r>
          </w:p>
        </w:tc>
        <w:tc>
          <w:tcPr>
            <w:tcW w:w="480"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m</w:t>
            </w:r>
            <w:r>
              <w:rPr>
                <w:rFonts w:hint="default" w:ascii="Times New Roman" w:hAnsi="Times New Roman" w:cs="Times New Roman" w:eastAsiaTheme="minorEastAsia"/>
                <w:b w:val="0"/>
                <w:bCs/>
                <w:color w:val="auto"/>
                <w:sz w:val="21"/>
                <w:szCs w:val="21"/>
                <w:highlight w:val="none"/>
                <w:vertAlign w:val="superscript"/>
              </w:rPr>
              <w:t>3</w:t>
            </w:r>
          </w:p>
        </w:tc>
        <w:tc>
          <w:tcPr>
            <w:tcW w:w="498"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vertAlign w:val="superscript"/>
              </w:rPr>
            </w:pPr>
            <w:r>
              <w:rPr>
                <w:rFonts w:hint="default" w:ascii="Times New Roman" w:hAnsi="Times New Roman" w:cs="Times New Roman" w:eastAsiaTheme="minorEastAsia"/>
                <w:b w:val="0"/>
                <w:bCs/>
                <w:color w:val="auto"/>
                <w:sz w:val="21"/>
                <w:szCs w:val="21"/>
                <w:highlight w:val="none"/>
              </w:rPr>
              <w:t>m</w:t>
            </w:r>
            <w:r>
              <w:rPr>
                <w:rFonts w:hint="default" w:ascii="Times New Roman" w:hAnsi="Times New Roman" w:cs="Times New Roman" w:eastAsiaTheme="minorEastAsia"/>
                <w:b w:val="0"/>
                <w:bCs/>
                <w:color w:val="auto"/>
                <w:sz w:val="21"/>
                <w:szCs w:val="21"/>
                <w:highlight w:val="none"/>
                <w:vertAlign w:val="superscript"/>
              </w:rPr>
              <w:t>3</w:t>
            </w:r>
          </w:p>
        </w:tc>
        <w:tc>
          <w:tcPr>
            <w:tcW w:w="664"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株</w:t>
            </w:r>
          </w:p>
        </w:tc>
        <w:tc>
          <w:tcPr>
            <w:tcW w:w="498"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株</w:t>
            </w:r>
          </w:p>
        </w:tc>
        <w:tc>
          <w:tcPr>
            <w:tcW w:w="840"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次</w:t>
            </w:r>
          </w:p>
        </w:tc>
        <w:tc>
          <w:tcPr>
            <w:tcW w:w="440"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44"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露天采场</w:t>
            </w:r>
          </w:p>
        </w:tc>
        <w:tc>
          <w:tcPr>
            <w:tcW w:w="498"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40346</w:t>
            </w:r>
          </w:p>
        </w:tc>
        <w:tc>
          <w:tcPr>
            <w:tcW w:w="434"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p>
        </w:tc>
        <w:tc>
          <w:tcPr>
            <w:tcW w:w="480"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p>
        </w:tc>
        <w:tc>
          <w:tcPr>
            <w:tcW w:w="498"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p>
        </w:tc>
        <w:tc>
          <w:tcPr>
            <w:tcW w:w="664"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p>
        </w:tc>
        <w:tc>
          <w:tcPr>
            <w:tcW w:w="498"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p>
        </w:tc>
        <w:tc>
          <w:tcPr>
            <w:tcW w:w="840"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48</w:t>
            </w:r>
          </w:p>
        </w:tc>
        <w:tc>
          <w:tcPr>
            <w:tcW w:w="440"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44"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排渣场</w:t>
            </w:r>
          </w:p>
        </w:tc>
        <w:tc>
          <w:tcPr>
            <w:tcW w:w="498"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28029</w:t>
            </w:r>
          </w:p>
        </w:tc>
        <w:tc>
          <w:tcPr>
            <w:tcW w:w="434"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10346</w:t>
            </w:r>
          </w:p>
        </w:tc>
        <w:tc>
          <w:tcPr>
            <w:tcW w:w="480"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22806</w:t>
            </w:r>
          </w:p>
        </w:tc>
        <w:tc>
          <w:tcPr>
            <w:tcW w:w="498"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983.7</w:t>
            </w:r>
          </w:p>
        </w:tc>
        <w:tc>
          <w:tcPr>
            <w:tcW w:w="664"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56058</w:t>
            </w:r>
          </w:p>
        </w:tc>
        <w:tc>
          <w:tcPr>
            <w:tcW w:w="498"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p>
        </w:tc>
        <w:tc>
          <w:tcPr>
            <w:tcW w:w="840"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p>
        </w:tc>
        <w:tc>
          <w:tcPr>
            <w:tcW w:w="440"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44"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尾矿坝</w:t>
            </w:r>
          </w:p>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初级边坡</w:t>
            </w:r>
          </w:p>
        </w:tc>
        <w:tc>
          <w:tcPr>
            <w:tcW w:w="498"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10550</w:t>
            </w:r>
          </w:p>
        </w:tc>
        <w:tc>
          <w:tcPr>
            <w:tcW w:w="434"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p>
        </w:tc>
        <w:tc>
          <w:tcPr>
            <w:tcW w:w="480"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p>
        </w:tc>
        <w:tc>
          <w:tcPr>
            <w:tcW w:w="498"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p>
        </w:tc>
        <w:tc>
          <w:tcPr>
            <w:tcW w:w="664"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21100</w:t>
            </w:r>
          </w:p>
        </w:tc>
        <w:tc>
          <w:tcPr>
            <w:tcW w:w="498"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p>
        </w:tc>
        <w:tc>
          <w:tcPr>
            <w:tcW w:w="840"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p>
        </w:tc>
        <w:tc>
          <w:tcPr>
            <w:tcW w:w="440"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44"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选矿厂</w:t>
            </w:r>
          </w:p>
        </w:tc>
        <w:tc>
          <w:tcPr>
            <w:tcW w:w="498"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1042</w:t>
            </w:r>
          </w:p>
        </w:tc>
        <w:tc>
          <w:tcPr>
            <w:tcW w:w="434"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1042</w:t>
            </w:r>
          </w:p>
        </w:tc>
        <w:tc>
          <w:tcPr>
            <w:tcW w:w="480"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p>
        </w:tc>
        <w:tc>
          <w:tcPr>
            <w:tcW w:w="498"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p>
        </w:tc>
        <w:tc>
          <w:tcPr>
            <w:tcW w:w="664"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p>
        </w:tc>
        <w:tc>
          <w:tcPr>
            <w:tcW w:w="498"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116</w:t>
            </w:r>
          </w:p>
        </w:tc>
        <w:tc>
          <w:tcPr>
            <w:tcW w:w="840"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p>
        </w:tc>
        <w:tc>
          <w:tcPr>
            <w:tcW w:w="440"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44"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合  计</w:t>
            </w:r>
          </w:p>
        </w:tc>
        <w:tc>
          <w:tcPr>
            <w:tcW w:w="498"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79967</w:t>
            </w:r>
          </w:p>
        </w:tc>
        <w:tc>
          <w:tcPr>
            <w:tcW w:w="434"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11388</w:t>
            </w:r>
          </w:p>
        </w:tc>
        <w:tc>
          <w:tcPr>
            <w:tcW w:w="480"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22806</w:t>
            </w:r>
          </w:p>
        </w:tc>
        <w:tc>
          <w:tcPr>
            <w:tcW w:w="498"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983.7</w:t>
            </w:r>
          </w:p>
        </w:tc>
        <w:tc>
          <w:tcPr>
            <w:tcW w:w="664"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77158</w:t>
            </w:r>
          </w:p>
        </w:tc>
        <w:tc>
          <w:tcPr>
            <w:tcW w:w="498"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116</w:t>
            </w:r>
          </w:p>
        </w:tc>
        <w:tc>
          <w:tcPr>
            <w:tcW w:w="840"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48</w:t>
            </w:r>
          </w:p>
        </w:tc>
        <w:tc>
          <w:tcPr>
            <w:tcW w:w="440" w:type="pct"/>
            <w:vAlign w:val="center"/>
          </w:tcPr>
          <w:p>
            <w:pPr>
              <w:adjustRightInd/>
              <w:snapToGrid/>
              <w:spacing w:line="240" w:lineRule="auto"/>
              <w:ind w:firstLine="0" w:firstLineChars="0"/>
              <w:jc w:val="center"/>
              <w:rPr>
                <w:rFonts w:hint="default" w:ascii="Times New Roman" w:hAnsi="Times New Roman" w:cs="Times New Roman" w:eastAsiaTheme="minorEastAsia"/>
                <w:b w:val="0"/>
                <w:bCs/>
                <w:color w:val="auto"/>
                <w:sz w:val="21"/>
                <w:szCs w:val="21"/>
                <w:highlight w:val="none"/>
              </w:rPr>
            </w:pPr>
            <w:r>
              <w:rPr>
                <w:rFonts w:hint="default" w:ascii="Times New Roman" w:hAnsi="Times New Roman" w:cs="Times New Roman" w:eastAsiaTheme="minorEastAsia"/>
                <w:b w:val="0"/>
                <w:bCs/>
                <w:color w:val="auto"/>
                <w:sz w:val="21"/>
                <w:szCs w:val="21"/>
                <w:highlight w:val="none"/>
              </w:rPr>
              <w:t>24</w:t>
            </w:r>
          </w:p>
        </w:tc>
      </w:tr>
    </w:tbl>
    <w:p>
      <w:pPr>
        <w:adjustRightInd/>
        <w:snapToGrid/>
        <w:spacing w:beforeLines="50"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根据现状调查，矿山基本完成了“一分期变更方案”设计的治理工程，排渣场尚未恢复植被，治理效果见照片</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至照片</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。2018年12月4日，赤峰市国土资源局组织专家对《变更方案》设计的治理工程进行了验收，经专家组讨论同意通过验收。治理投入资金50万元。</w:t>
      </w:r>
    </w:p>
    <w:p>
      <w:pPr>
        <w:widowControl w:val="0"/>
        <w:wordWrap w:val="0"/>
        <w:spacing w:line="360" w:lineRule="auto"/>
        <w:ind w:left="0" w:leftChars="0" w:firstLine="0" w:firstLineChars="0"/>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drawing>
          <wp:inline distT="0" distB="0" distL="0" distR="0">
            <wp:extent cx="2553335" cy="1894840"/>
            <wp:effectExtent l="0" t="0" r="18415" b="10160"/>
            <wp:docPr id="11" name="图片 11" descr="C:\Users\Administrator\Desktop\治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治理1.jpg"/>
                    <pic:cNvPicPr>
                      <a:picLocks noChangeAspect="1" noChangeArrowheads="1"/>
                    </pic:cNvPicPr>
                  </pic:nvPicPr>
                  <pic:blipFill>
                    <a:blip r:embed="rId23" cstate="print"/>
                    <a:srcRect l="1808" t="24390"/>
                    <a:stretch>
                      <a:fillRect/>
                    </a:stretch>
                  </pic:blipFill>
                  <pic:spPr>
                    <a:xfrm>
                      <a:off x="0" y="0"/>
                      <a:ext cx="2559442" cy="1899549"/>
                    </a:xfrm>
                    <a:prstGeom prst="rect">
                      <a:avLst/>
                    </a:prstGeom>
                    <a:noFill/>
                    <a:ln w="9525">
                      <a:noFill/>
                      <a:miter lim="800000"/>
                      <a:headEnd/>
                      <a:tailEnd/>
                    </a:ln>
                  </pic:spPr>
                </pic:pic>
              </a:graphicData>
            </a:graphic>
          </wp:inline>
        </w:drawing>
      </w:r>
      <w:r>
        <w:rPr>
          <w:rFonts w:hint="default" w:ascii="Times New Roman" w:hAnsi="Times New Roman" w:eastAsia="宋体" w:cs="Times New Roman"/>
          <w:color w:val="auto"/>
          <w:sz w:val="24"/>
          <w:szCs w:val="24"/>
          <w:highlight w:val="none"/>
          <w:lang w:val="en-US" w:eastAsia="zh-CN" w:bidi="ar-SA"/>
        </w:rPr>
        <w:drawing>
          <wp:inline distT="0" distB="0" distL="0" distR="0">
            <wp:extent cx="2562225" cy="1913255"/>
            <wp:effectExtent l="0" t="0" r="13335" b="6985"/>
            <wp:docPr id="13" name="图片 12" descr="C:\Users\Administrator\Desktop\治理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C:\Users\Administrator\Desktop\治理2.jpg"/>
                    <pic:cNvPicPr>
                      <a:picLocks noChangeAspect="1" noChangeArrowheads="1"/>
                    </pic:cNvPicPr>
                  </pic:nvPicPr>
                  <pic:blipFill>
                    <a:blip r:embed="rId24" cstate="print"/>
                    <a:srcRect/>
                    <a:stretch>
                      <a:fillRect/>
                    </a:stretch>
                  </pic:blipFill>
                  <pic:spPr>
                    <a:xfrm>
                      <a:off x="0" y="0"/>
                      <a:ext cx="2574675" cy="1922857"/>
                    </a:xfrm>
                    <a:prstGeom prst="rect">
                      <a:avLst/>
                    </a:prstGeom>
                    <a:noFill/>
                    <a:ln w="9525">
                      <a:noFill/>
                      <a:miter lim="800000"/>
                      <a:headEnd/>
                      <a:tailEnd/>
                    </a:ln>
                  </pic:spPr>
                </pic:pic>
              </a:graphicData>
            </a:graphic>
          </wp:inline>
        </w:drawing>
      </w:r>
    </w:p>
    <w:p>
      <w:pPr>
        <w:pStyle w:val="2"/>
        <w:jc w:val="center"/>
        <w:rPr>
          <w:rFonts w:hint="default" w:ascii="Times New Roman" w:hAnsi="Times New Roman" w:eastAsia="宋体" w:cs="Times New Roman"/>
          <w:b/>
          <w:color w:val="auto"/>
          <w:highlight w:val="none"/>
          <w:lang w:val="en-US" w:eastAsia="zh-CN" w:bidi="ar-SA"/>
        </w:rPr>
      </w:pPr>
      <w:r>
        <w:rPr>
          <w:rFonts w:hint="default" w:ascii="Times New Roman" w:hAnsi="Times New Roman" w:eastAsia="宋体" w:cs="Times New Roman"/>
          <w:b/>
          <w:color w:val="auto"/>
          <w:highlight w:val="none"/>
          <w:lang w:val="en-US" w:eastAsia="zh-CN" w:bidi="ar-SA"/>
        </w:rPr>
        <w:t>照片2-3  尾矿坝初级边坡补种沙棘</w:t>
      </w:r>
      <w:r>
        <w:rPr>
          <w:rFonts w:hint="eastAsia" w:ascii="Times New Roman" w:hAnsi="Times New Roman" w:cs="Times New Roman"/>
          <w:b/>
          <w:color w:val="auto"/>
          <w:highlight w:val="none"/>
          <w:lang w:val="en-US" w:eastAsia="zh-CN" w:bidi="ar-SA"/>
        </w:rPr>
        <w:t xml:space="preserve">       </w:t>
      </w:r>
      <w:r>
        <w:rPr>
          <w:rFonts w:hint="default" w:ascii="Times New Roman" w:hAnsi="Times New Roman" w:eastAsia="宋体" w:cs="Times New Roman"/>
          <w:b/>
          <w:color w:val="auto"/>
          <w:highlight w:val="none"/>
          <w:lang w:val="en-US" w:eastAsia="zh-CN" w:bidi="ar-SA"/>
        </w:rPr>
        <w:t>照片2-4  选矿厂西部栽植松树</w:t>
      </w:r>
    </w:p>
    <w:p>
      <w:pPr>
        <w:widowControl w:val="0"/>
        <w:wordWrap w:val="0"/>
        <w:spacing w:line="360" w:lineRule="auto"/>
        <w:ind w:left="0" w:leftChars="0" w:firstLine="0" w:firstLineChars="0"/>
        <w:jc w:val="center"/>
        <w:rPr>
          <w:rFonts w:hint="default" w:ascii="Times New Roman" w:hAnsi="Times New Roman" w:eastAsia="宋体" w:cs="Times New Roman"/>
          <w:b/>
          <w:color w:val="auto"/>
          <w:highlight w:val="none"/>
          <w:lang w:val="en-US" w:eastAsia="zh-CN" w:bidi="ar-SA"/>
        </w:rPr>
      </w:pPr>
      <w:r>
        <w:rPr>
          <w:rFonts w:hint="default" w:ascii="Times New Roman" w:hAnsi="Times New Roman" w:eastAsia="宋体" w:cs="Times New Roman"/>
          <w:b/>
          <w:color w:val="auto"/>
          <w:highlight w:val="none"/>
          <w:lang w:val="en-US" w:eastAsia="zh-CN" w:bidi="ar-SA"/>
        </w:rPr>
        <w:drawing>
          <wp:inline distT="0" distB="0" distL="0" distR="0">
            <wp:extent cx="2495550" cy="1885950"/>
            <wp:effectExtent l="0" t="0" r="0" b="0"/>
            <wp:docPr id="14" name="图片 13" descr="C:\Users\Administrator\Desktop\治理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C:\Users\Administrator\Desktop\治理3.jpg"/>
                    <pic:cNvPicPr>
                      <a:picLocks noChangeAspect="1" noChangeArrowheads="1"/>
                    </pic:cNvPicPr>
                  </pic:nvPicPr>
                  <pic:blipFill>
                    <a:blip r:embed="rId25" cstate="print"/>
                    <a:srcRect/>
                    <a:stretch>
                      <a:fillRect/>
                    </a:stretch>
                  </pic:blipFill>
                  <pic:spPr>
                    <a:xfrm>
                      <a:off x="0" y="0"/>
                      <a:ext cx="2508247" cy="1895925"/>
                    </a:xfrm>
                    <a:prstGeom prst="rect">
                      <a:avLst/>
                    </a:prstGeom>
                    <a:noFill/>
                    <a:ln w="9525">
                      <a:noFill/>
                      <a:miter lim="800000"/>
                      <a:headEnd/>
                      <a:tailEnd/>
                    </a:ln>
                  </pic:spPr>
                </pic:pic>
              </a:graphicData>
            </a:graphic>
          </wp:inline>
        </w:drawing>
      </w:r>
      <w:r>
        <w:rPr>
          <w:rFonts w:hint="default" w:ascii="Times New Roman" w:hAnsi="Times New Roman" w:eastAsia="宋体" w:cs="Times New Roman"/>
          <w:color w:val="auto"/>
          <w:sz w:val="24"/>
          <w:szCs w:val="24"/>
          <w:highlight w:val="none"/>
          <w:lang w:val="en-US" w:eastAsia="zh-CN" w:bidi="ar-SA"/>
        </w:rPr>
        <w:drawing>
          <wp:inline distT="0" distB="0" distL="0" distR="0">
            <wp:extent cx="2633980" cy="1876425"/>
            <wp:effectExtent l="0" t="0" r="2540" b="13335"/>
            <wp:docPr id="17" name="图片 14" descr="C:\Users\Administrator\Desktop\治理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C:\Users\Administrator\Desktop\治理4.jpg"/>
                    <pic:cNvPicPr>
                      <a:picLocks noChangeAspect="1" noChangeArrowheads="1"/>
                    </pic:cNvPicPr>
                  </pic:nvPicPr>
                  <pic:blipFill>
                    <a:blip r:embed="rId26" cstate="print"/>
                    <a:srcRect/>
                    <a:stretch>
                      <a:fillRect/>
                    </a:stretch>
                  </pic:blipFill>
                  <pic:spPr>
                    <a:xfrm>
                      <a:off x="0" y="0"/>
                      <a:ext cx="2633980" cy="1876425"/>
                    </a:xfrm>
                    <a:prstGeom prst="rect">
                      <a:avLst/>
                    </a:prstGeom>
                    <a:noFill/>
                    <a:ln w="9525">
                      <a:noFill/>
                      <a:miter lim="800000"/>
                      <a:headEnd/>
                      <a:tailEnd/>
                    </a:ln>
                  </pic:spPr>
                </pic:pic>
              </a:graphicData>
            </a:graphic>
          </wp:inline>
        </w:drawing>
      </w:r>
    </w:p>
    <w:p>
      <w:pPr>
        <w:widowControl w:val="0"/>
        <w:wordWrap w:val="0"/>
        <w:spacing w:line="360" w:lineRule="auto"/>
        <w:jc w:val="both"/>
        <w:rPr>
          <w:rFonts w:hint="default" w:ascii="Times New Roman" w:hAnsi="Times New Roman" w:eastAsia="宋体" w:cs="Times New Roman"/>
          <w:color w:val="auto"/>
          <w:szCs w:val="24"/>
          <w:highlight w:val="none"/>
          <w:lang w:val="en-US" w:eastAsia="zh-CN" w:bidi="ar-SA"/>
        </w:rPr>
      </w:pPr>
      <w:r>
        <w:rPr>
          <w:rFonts w:hint="default" w:ascii="Times New Roman" w:hAnsi="Times New Roman" w:eastAsia="宋体" w:cs="Times New Roman"/>
          <w:b/>
          <w:color w:val="auto"/>
          <w:highlight w:val="none"/>
          <w:lang w:val="en-US" w:eastAsia="zh-CN" w:bidi="ar-SA"/>
        </w:rPr>
        <w:t>照片2-5  排渣场堆顶部整平          照片2-6  排渣场坡面治理</w:t>
      </w:r>
    </w:p>
    <w:p>
      <w:pPr>
        <w:spacing w:beforeLines="50"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lang w:val="en-US" w:eastAsia="zh-CN"/>
        </w:rPr>
        <w:t>4</w:t>
      </w:r>
      <w:r>
        <w:rPr>
          <w:rFonts w:hint="default" w:ascii="Times New Roman" w:hAnsi="Times New Roman" w:cs="Times New Roman"/>
          <w:bCs/>
          <w:color w:val="auto"/>
          <w:sz w:val="24"/>
          <w:highlight w:val="none"/>
        </w:rPr>
        <w:t>、2020年度治理情况</w:t>
      </w:r>
    </w:p>
    <w:p>
      <w:pPr>
        <w:widowControl w:val="0"/>
        <w:spacing w:line="360" w:lineRule="auto"/>
        <w:ind w:firstLine="482"/>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设计对《一分期变更方案》治理区进行管护，对露天采场边坡稳定性进行监测。设计计完成工程量见表2-4。</w:t>
      </w:r>
    </w:p>
    <w:p>
      <w:pPr>
        <w:adjustRightInd/>
        <w:snapToGrid/>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w:t>
      </w:r>
      <w:r>
        <w:rPr>
          <w:rFonts w:hint="default" w:ascii="Times New Roman" w:hAnsi="Times New Roman"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 xml:space="preserve">  2020年度计划治理及完成工程量汇总表</w:t>
      </w:r>
    </w:p>
    <w:tbl>
      <w:tblPr>
        <w:tblStyle w:val="1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234"/>
        <w:gridCol w:w="2672"/>
        <w:gridCol w:w="2373"/>
        <w:gridCol w:w="12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0" w:type="pct"/>
            <w:vMerge w:val="restart"/>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单元名称</w:t>
            </w:r>
          </w:p>
        </w:tc>
        <w:tc>
          <w:tcPr>
            <w:tcW w:w="1566" w:type="pct"/>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管护植被（沙棘、棉槐）</w:t>
            </w:r>
          </w:p>
        </w:tc>
        <w:tc>
          <w:tcPr>
            <w:tcW w:w="1391" w:type="pct"/>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矿区地质环境监测</w:t>
            </w:r>
          </w:p>
        </w:tc>
        <w:tc>
          <w:tcPr>
            <w:tcW w:w="732" w:type="pct"/>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管护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0" w:type="pct"/>
            <w:vMerge w:val="continue"/>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1566" w:type="pct"/>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m</w:t>
            </w:r>
            <w:r>
              <w:rPr>
                <w:rFonts w:hint="default" w:ascii="Times New Roman" w:hAnsi="Times New Roman" w:cs="Times New Roman" w:eastAsiaTheme="minorEastAsia"/>
                <w:color w:val="auto"/>
                <w:sz w:val="21"/>
                <w:szCs w:val="21"/>
                <w:highlight w:val="none"/>
                <w:vertAlign w:val="superscript"/>
              </w:rPr>
              <w:t>2</w:t>
            </w:r>
          </w:p>
        </w:tc>
        <w:tc>
          <w:tcPr>
            <w:tcW w:w="1391" w:type="pct"/>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次</w:t>
            </w:r>
          </w:p>
        </w:tc>
        <w:tc>
          <w:tcPr>
            <w:tcW w:w="732" w:type="pct"/>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0" w:type="pct"/>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露天采场</w:t>
            </w:r>
          </w:p>
        </w:tc>
        <w:tc>
          <w:tcPr>
            <w:tcW w:w="1566" w:type="pct"/>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1391" w:type="pct"/>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48</w:t>
            </w:r>
          </w:p>
        </w:tc>
        <w:tc>
          <w:tcPr>
            <w:tcW w:w="732" w:type="pct"/>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0" w:type="pct"/>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排渣场</w:t>
            </w:r>
          </w:p>
        </w:tc>
        <w:tc>
          <w:tcPr>
            <w:tcW w:w="1566" w:type="pct"/>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33959</w:t>
            </w:r>
          </w:p>
        </w:tc>
        <w:tc>
          <w:tcPr>
            <w:tcW w:w="1391" w:type="pct"/>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732" w:type="pct"/>
            <w:vMerge w:val="restart"/>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0" w:type="pct"/>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尾矿坝初级边坡</w:t>
            </w:r>
          </w:p>
        </w:tc>
        <w:tc>
          <w:tcPr>
            <w:tcW w:w="1566" w:type="pct"/>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10550</w:t>
            </w:r>
          </w:p>
        </w:tc>
        <w:tc>
          <w:tcPr>
            <w:tcW w:w="1391" w:type="pct"/>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732" w:type="pct"/>
            <w:vMerge w:val="continue"/>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0" w:type="pct"/>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选矿厂部分区域</w:t>
            </w:r>
          </w:p>
        </w:tc>
        <w:tc>
          <w:tcPr>
            <w:tcW w:w="1566" w:type="pct"/>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1042</w:t>
            </w:r>
          </w:p>
        </w:tc>
        <w:tc>
          <w:tcPr>
            <w:tcW w:w="1391" w:type="pct"/>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732" w:type="pct"/>
            <w:vMerge w:val="continue"/>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10" w:type="pct"/>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合  计</w:t>
            </w:r>
          </w:p>
        </w:tc>
        <w:tc>
          <w:tcPr>
            <w:tcW w:w="1566" w:type="pct"/>
            <w:vAlign w:val="center"/>
          </w:tcPr>
          <w:p>
            <w:pPr>
              <w:widowControl/>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45551</w:t>
            </w:r>
          </w:p>
        </w:tc>
        <w:tc>
          <w:tcPr>
            <w:tcW w:w="1391" w:type="pct"/>
            <w:vAlign w:val="center"/>
          </w:tcPr>
          <w:p>
            <w:pPr>
              <w:widowControl/>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kern w:val="0"/>
                <w:sz w:val="21"/>
                <w:szCs w:val="21"/>
                <w:highlight w:val="none"/>
              </w:rPr>
              <w:t>48</w:t>
            </w:r>
          </w:p>
        </w:tc>
        <w:tc>
          <w:tcPr>
            <w:tcW w:w="732" w:type="pct"/>
            <w:vAlign w:val="center"/>
          </w:tcPr>
          <w:p>
            <w:pPr>
              <w:widowControl/>
              <w:adjustRightInd/>
              <w:snapToGrid/>
              <w:spacing w:line="240" w:lineRule="auto"/>
              <w:ind w:firstLine="0" w:firstLineChars="0"/>
              <w:jc w:val="center"/>
              <w:textAlignment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kern w:val="0"/>
                <w:sz w:val="21"/>
                <w:szCs w:val="21"/>
                <w:highlight w:val="none"/>
              </w:rPr>
              <w:t>24</w:t>
            </w:r>
          </w:p>
        </w:tc>
      </w:tr>
    </w:tbl>
    <w:p>
      <w:pPr>
        <w:pStyle w:val="2"/>
        <w:spacing w:line="360" w:lineRule="auto"/>
        <w:ind w:firstLine="240" w:firstLineChars="100"/>
        <w:rPr>
          <w:rFonts w:hint="default" w:ascii="Times New Roman" w:hAnsi="Times New Roman" w:cs="Times New Roman" w:eastAsiaTheme="minorEastAsia"/>
          <w:sz w:val="24"/>
          <w:szCs w:val="24"/>
          <w:highlight w:val="none"/>
          <w:lang w:val="en-US" w:eastAsia="zh-CN"/>
        </w:rPr>
      </w:pPr>
      <w:r>
        <w:rPr>
          <w:rFonts w:hint="default" w:ascii="Times New Roman" w:hAnsi="Times New Roman" w:cs="Times New Roman" w:eastAsiaTheme="minorEastAsia"/>
          <w:bCs/>
          <w:color w:val="auto"/>
          <w:sz w:val="24"/>
          <w:szCs w:val="24"/>
          <w:highlight w:val="none"/>
          <w:lang w:val="en-US" w:eastAsia="zh-CN"/>
        </w:rPr>
        <w:t>5</w:t>
      </w:r>
      <w:r>
        <w:rPr>
          <w:rFonts w:hint="default" w:ascii="Times New Roman" w:hAnsi="Times New Roman" w:cs="Times New Roman" w:eastAsiaTheme="minorEastAsia"/>
          <w:bCs/>
          <w:color w:val="auto"/>
          <w:sz w:val="24"/>
          <w:szCs w:val="24"/>
          <w:highlight w:val="none"/>
        </w:rPr>
        <w:t>、</w:t>
      </w:r>
      <w:r>
        <w:rPr>
          <w:rFonts w:hint="eastAsia" w:ascii="Times New Roman" w:hAnsi="Times New Roman" w:cs="Times New Roman" w:eastAsiaTheme="minorEastAsia"/>
          <w:bCs/>
          <w:color w:val="auto"/>
          <w:sz w:val="24"/>
          <w:szCs w:val="24"/>
          <w:highlight w:val="none"/>
          <w:lang w:val="en-US" w:eastAsia="zh-CN"/>
        </w:rPr>
        <w:t>2021年</w:t>
      </w:r>
      <w:r>
        <w:rPr>
          <w:rFonts w:hint="default" w:ascii="Times New Roman" w:hAnsi="Times New Roman" w:cs="Times New Roman" w:eastAsiaTheme="minorEastAsia"/>
          <w:bCs/>
          <w:color w:val="auto"/>
          <w:sz w:val="24"/>
          <w:szCs w:val="24"/>
          <w:highlight w:val="none"/>
          <w:lang w:val="en-US" w:eastAsia="zh-CN"/>
        </w:rPr>
        <w:t>新编综治方案</w:t>
      </w:r>
      <w:r>
        <w:rPr>
          <w:rFonts w:hint="default" w:ascii="Times New Roman" w:hAnsi="Times New Roman" w:cs="Times New Roman" w:eastAsiaTheme="minorEastAsia"/>
          <w:sz w:val="24"/>
          <w:szCs w:val="24"/>
          <w:highlight w:val="none"/>
          <w:lang w:val="en-US" w:eastAsia="zh-CN"/>
        </w:rPr>
        <w:t>治理内容及执行情况</w:t>
      </w:r>
    </w:p>
    <w:p>
      <w:pPr>
        <w:pStyle w:val="2"/>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 xml:space="preserve"> </w:t>
      </w:r>
      <w:r>
        <w:rPr>
          <w:rFonts w:hint="default" w:ascii="Times New Roman" w:hAnsi="Times New Roman" w:cs="Times New Roman"/>
          <w:bCs/>
          <w:color w:val="auto"/>
          <w:spacing w:val="-2"/>
          <w:sz w:val="24"/>
          <w:highlight w:val="none"/>
        </w:rPr>
        <w:t>2021年3月，编制</w:t>
      </w:r>
      <w:r>
        <w:rPr>
          <w:rFonts w:hint="eastAsia" w:ascii="Times New Roman" w:cs="Times New Roman"/>
          <w:bCs/>
          <w:color w:val="auto"/>
          <w:spacing w:val="-2"/>
          <w:sz w:val="24"/>
          <w:highlight w:val="none"/>
          <w:lang w:val="en-US" w:eastAsia="zh-CN"/>
        </w:rPr>
        <w:t>了</w:t>
      </w:r>
      <w:r>
        <w:rPr>
          <w:rFonts w:hint="default" w:ascii="Times New Roman" w:hAnsi="Times New Roman" w:cs="Times New Roman"/>
          <w:bCs/>
          <w:color w:val="auto"/>
          <w:spacing w:val="-2"/>
          <w:sz w:val="24"/>
          <w:highlight w:val="none"/>
        </w:rPr>
        <w:t>《宁城县生鑫矿业有限公司七家矿区铁矿矿山地质环境保护与土地复垦方案》</w:t>
      </w:r>
      <w:r>
        <w:rPr>
          <w:rFonts w:hint="eastAsia" w:ascii="Times New Roman" w:cs="Times New Roman"/>
          <w:bCs/>
          <w:color w:val="auto"/>
          <w:spacing w:val="-2"/>
          <w:sz w:val="24"/>
          <w:highlight w:val="none"/>
          <w:lang w:eastAsia="zh-CN"/>
        </w:rPr>
        <w:t>，</w:t>
      </w:r>
      <w:r>
        <w:rPr>
          <w:rFonts w:hint="eastAsia" w:ascii="Times New Roman" w:cs="Times New Roman"/>
          <w:bCs/>
          <w:color w:val="auto"/>
          <w:spacing w:val="-2"/>
          <w:sz w:val="24"/>
          <w:highlight w:val="none"/>
          <w:lang w:val="en-US" w:eastAsia="zh-CN"/>
        </w:rPr>
        <w:t>设计首期五年（2021年7月1日至2026年6月30日）治理的内容见下表：</w:t>
      </w:r>
    </w:p>
    <w:p>
      <w:pPr>
        <w:adjustRightInd/>
        <w:snapToGrid/>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w:t>
      </w:r>
      <w:r>
        <w:rPr>
          <w:rFonts w:hint="default" w:ascii="Times New Roman" w:hAnsi="Times New Roman"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rPr>
        <w:t>-</w:t>
      </w:r>
      <w:r>
        <w:rPr>
          <w:rFonts w:hint="eastAsia" w:cs="Times New Roman"/>
          <w:b/>
          <w:color w:val="auto"/>
          <w:sz w:val="21"/>
          <w:szCs w:val="21"/>
          <w:highlight w:val="none"/>
          <w:lang w:val="en-US" w:eastAsia="zh-CN"/>
        </w:rPr>
        <w:t xml:space="preserve">5  </w:t>
      </w:r>
      <w:r>
        <w:rPr>
          <w:rFonts w:hint="default" w:ascii="Times New Roman" w:hAnsi="Times New Roman" w:cs="Times New Roman"/>
          <w:b/>
          <w:color w:val="auto"/>
          <w:sz w:val="21"/>
          <w:szCs w:val="21"/>
          <w:highlight w:val="none"/>
        </w:rPr>
        <w:t xml:space="preserve"> </w:t>
      </w:r>
      <w:r>
        <w:rPr>
          <w:rFonts w:hint="eastAsia" w:cs="Times New Roman"/>
          <w:b/>
          <w:color w:val="auto"/>
          <w:sz w:val="21"/>
          <w:szCs w:val="21"/>
          <w:highlight w:val="none"/>
          <w:lang w:val="en-US" w:eastAsia="zh-CN"/>
        </w:rPr>
        <w:t>首期五年</w:t>
      </w:r>
      <w:r>
        <w:rPr>
          <w:rFonts w:hint="default" w:ascii="Times New Roman" w:hAnsi="Times New Roman" w:cs="Times New Roman"/>
          <w:b/>
          <w:color w:val="auto"/>
          <w:sz w:val="21"/>
          <w:szCs w:val="21"/>
          <w:highlight w:val="none"/>
        </w:rPr>
        <w:t>治理及完成工程量汇总表</w:t>
      </w:r>
    </w:p>
    <w:tbl>
      <w:tblPr>
        <w:tblStyle w:val="1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26"/>
        <w:gridCol w:w="1931"/>
        <w:gridCol w:w="2836"/>
        <w:gridCol w:w="25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blHeader/>
        </w:trPr>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治理时间</w:t>
            </w:r>
          </w:p>
        </w:tc>
        <w:tc>
          <w:tcPr>
            <w:tcW w:w="113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治理单元</w:t>
            </w: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治理工程内容</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治理工程量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2021.7.1至2022.6.30</w:t>
            </w:r>
          </w:p>
        </w:tc>
        <w:tc>
          <w:tcPr>
            <w:tcW w:w="11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露天采场</w:t>
            </w: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建设网围栏（m）</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11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警示牌（块）</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113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露天采场（拟采区）</w:t>
            </w: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表土剥离（m3）</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16550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113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表土存放场</w:t>
            </w: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撒播种草过渡（m2）</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11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民采坑</w:t>
            </w: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垫坡整形（m3）</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16362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11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覆土（m3）</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2182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11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整平（m3）</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2182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11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栽植沙棘（株）</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2618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11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撒播种草（m2）</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2727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11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民采坑废石堆</w:t>
            </w: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清运（m3）</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3771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11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覆土（m3）</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1257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11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整平（m3）</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11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栽植沙棘（株）</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1508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11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撒播种草（m2）</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1571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113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评估区</w:t>
            </w: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监测及管护</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2022.7.1至2023.6.30</w:t>
            </w:r>
          </w:p>
        </w:tc>
        <w:tc>
          <w:tcPr>
            <w:tcW w:w="11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露天采场（未设计开采区）</w:t>
            </w: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修坡整形、削高（m3）</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垫坡（m3）</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清运（m3）</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覆土（m3）</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场地整平（m3）</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撒播种草（m2）</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13450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113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露天采场（开采区）</w:t>
            </w: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清除危岩体（m3）</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113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评估区</w:t>
            </w: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监测及管护</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2022.7.1至2023.6.30</w:t>
            </w:r>
          </w:p>
        </w:tc>
        <w:tc>
          <w:tcPr>
            <w:tcW w:w="11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工业场地</w:t>
            </w: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拆除临建（m3）</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11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垫坡（m2）</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11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尾矿砂整形（m3）</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12234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11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覆土（m3）</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21918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11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整平（m3）</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11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栽植沙棘（株）</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26302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11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撒播种草（m2）</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27397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113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露天采场（开采区）</w:t>
            </w: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清除危岩体（m3）</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113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评估区</w:t>
            </w: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监测及管护</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2023.7.1至2024.6.30</w:t>
            </w:r>
          </w:p>
        </w:tc>
        <w:tc>
          <w:tcPr>
            <w:tcW w:w="113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1#尾矿库</w:t>
            </w: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垫坡（m3）</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1335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113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露天采场（开采区）</w:t>
            </w: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清除危岩体（m3）</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113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评估区</w:t>
            </w: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监测及管护</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2024.7.1至2025.6.30</w:t>
            </w:r>
          </w:p>
        </w:tc>
        <w:tc>
          <w:tcPr>
            <w:tcW w:w="11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露天采场（开采区）</w:t>
            </w:r>
          </w:p>
        </w:tc>
        <w:tc>
          <w:tcPr>
            <w:tcW w:w="16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清除危岩体（m3）</w:t>
            </w:r>
          </w:p>
        </w:tc>
        <w:tc>
          <w:tcPr>
            <w:tcW w:w="1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p>
        </w:tc>
        <w:tc>
          <w:tcPr>
            <w:tcW w:w="16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p>
        </w:tc>
        <w:tc>
          <w:tcPr>
            <w:tcW w:w="1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7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1132"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val="en-US" w:eastAsia="zh-CN"/>
              </w:rPr>
              <w:t>评估区</w:t>
            </w:r>
          </w:p>
        </w:tc>
        <w:tc>
          <w:tcPr>
            <w:tcW w:w="1663"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eastAsia"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监测及管护</w:t>
            </w:r>
          </w:p>
        </w:tc>
        <w:tc>
          <w:tcPr>
            <w:tcW w:w="1485"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w:t>
            </w:r>
          </w:p>
        </w:tc>
      </w:tr>
    </w:tbl>
    <w:p>
      <w:pPr>
        <w:pStyle w:val="2"/>
        <w:widowControl w:val="0"/>
        <w:numPr>
          <w:ilvl w:val="0"/>
          <w:numId w:val="0"/>
        </w:numPr>
        <w:autoSpaceDE w:val="0"/>
        <w:autoSpaceDN w:val="0"/>
        <w:adjustRightInd w:val="0"/>
        <w:spacing w:line="360" w:lineRule="auto"/>
        <w:ind w:firstLine="480" w:firstLineChars="200"/>
        <w:rPr>
          <w:rFonts w:hint="default" w:ascii="Times New Roman" w:hAnsi="Times New Roman" w:cs="Times New Roman" w:eastAsiaTheme="minorEastAsia"/>
          <w:color w:val="auto"/>
          <w:kern w:val="0"/>
          <w:sz w:val="24"/>
          <w:szCs w:val="24"/>
          <w:highlight w:val="none"/>
          <w:lang w:val="en-US" w:eastAsia="zh-CN"/>
        </w:rPr>
      </w:pPr>
      <w:r>
        <w:rPr>
          <w:rFonts w:hint="eastAsia" w:ascii="Times New Roman" w:hAnsi="Times New Roman" w:cs="Times New Roman" w:eastAsiaTheme="minorEastAsia"/>
          <w:color w:val="auto"/>
          <w:kern w:val="0"/>
          <w:sz w:val="24"/>
          <w:szCs w:val="24"/>
          <w:highlight w:val="none"/>
          <w:lang w:val="en-US" w:eastAsia="zh-CN"/>
        </w:rPr>
        <w:t>6、</w:t>
      </w:r>
      <w:r>
        <w:rPr>
          <w:rFonts w:hint="default" w:ascii="Times New Roman" w:hAnsi="Times New Roman" w:cs="Times New Roman" w:eastAsiaTheme="minorEastAsia"/>
          <w:color w:val="auto"/>
          <w:kern w:val="0"/>
          <w:sz w:val="24"/>
          <w:szCs w:val="24"/>
          <w:highlight w:val="none"/>
          <w:lang w:val="en-US" w:eastAsia="zh-CN"/>
        </w:rPr>
        <w:t>2023年度治理计划</w:t>
      </w:r>
    </w:p>
    <w:p>
      <w:pPr>
        <w:pStyle w:val="2"/>
        <w:widowControl w:val="0"/>
        <w:numPr>
          <w:ilvl w:val="0"/>
          <w:numId w:val="0"/>
        </w:numPr>
        <w:autoSpaceDE w:val="0"/>
        <w:autoSpaceDN w:val="0"/>
        <w:adjustRightInd w:val="0"/>
        <w:spacing w:line="360" w:lineRule="auto"/>
        <w:ind w:firstLine="480" w:firstLineChars="200"/>
        <w:rPr>
          <w:rFonts w:hint="default" w:ascii="Times New Roman" w:hAnsi="Times New Roman" w:cs="Times New Roman" w:eastAsiaTheme="minorEastAsia"/>
          <w:color w:val="auto"/>
          <w:kern w:val="0"/>
          <w:sz w:val="24"/>
          <w:szCs w:val="24"/>
          <w:highlight w:val="none"/>
          <w:lang w:val="en-US" w:eastAsia="zh-CN"/>
        </w:rPr>
      </w:pPr>
      <w:r>
        <w:rPr>
          <w:rFonts w:hint="eastAsia" w:ascii="Times New Roman" w:cs="Times New Roman" w:eastAsiaTheme="minorEastAsia"/>
          <w:bCs/>
          <w:color w:val="auto"/>
          <w:sz w:val="24"/>
          <w:szCs w:val="24"/>
          <w:highlight w:val="none"/>
          <w:lang w:val="en-US" w:eastAsia="zh-CN"/>
        </w:rPr>
        <w:t>本年度</w:t>
      </w:r>
      <w:r>
        <w:rPr>
          <w:rFonts w:hint="default" w:ascii="Times New Roman" w:hAnsi="Times New Roman" w:cs="Times New Roman" w:eastAsiaTheme="minorEastAsia"/>
          <w:bCs/>
          <w:color w:val="auto"/>
          <w:sz w:val="24"/>
          <w:szCs w:val="24"/>
          <w:highlight w:val="none"/>
          <w:lang w:val="en-US" w:eastAsia="zh-CN"/>
        </w:rPr>
        <w:t>计划治理区域为露天采场、1#尾矿库及全矿区监测，</w:t>
      </w:r>
      <w:r>
        <w:rPr>
          <w:rFonts w:hint="eastAsia" w:ascii="Times New Roman" w:cs="Times New Roman" w:eastAsiaTheme="minorEastAsia"/>
          <w:bCs/>
          <w:color w:val="auto"/>
          <w:sz w:val="24"/>
          <w:szCs w:val="24"/>
          <w:highlight w:val="none"/>
          <w:lang w:val="en-US" w:eastAsia="zh-CN"/>
        </w:rPr>
        <w:t>对采场的</w:t>
      </w:r>
      <w:r>
        <w:rPr>
          <w:rFonts w:hint="default" w:ascii="Times New Roman" w:hAnsi="Times New Roman" w:cs="Times New Roman" w:eastAsiaTheme="minorEastAsia"/>
          <w:color w:val="auto"/>
          <w:sz w:val="24"/>
          <w:szCs w:val="24"/>
          <w:highlight w:val="none"/>
          <w:lang w:val="en-US" w:eastAsia="zh-CN"/>
        </w:rPr>
        <w:t>危岩体</w:t>
      </w:r>
      <w:r>
        <w:rPr>
          <w:rFonts w:hint="eastAsia" w:ascii="Times New Roman" w:cs="Times New Roman" w:eastAsiaTheme="minorEastAsia"/>
          <w:color w:val="auto"/>
          <w:sz w:val="24"/>
          <w:szCs w:val="24"/>
          <w:highlight w:val="none"/>
          <w:lang w:val="en-US" w:eastAsia="zh-CN"/>
        </w:rPr>
        <w:t>进行</w:t>
      </w:r>
      <w:r>
        <w:rPr>
          <w:rFonts w:hint="default" w:ascii="Times New Roman" w:hAnsi="Times New Roman" w:cs="Times New Roman" w:eastAsiaTheme="minorEastAsia"/>
          <w:color w:val="auto"/>
          <w:sz w:val="24"/>
          <w:szCs w:val="24"/>
          <w:highlight w:val="none"/>
          <w:lang w:val="en-US" w:eastAsia="zh-CN"/>
        </w:rPr>
        <w:t>清理；</w:t>
      </w:r>
      <w:r>
        <w:rPr>
          <w:rFonts w:hint="eastAsia" w:ascii="Times New Roman" w:cs="Times New Roman" w:eastAsiaTheme="minorEastAsia"/>
          <w:color w:val="auto"/>
          <w:sz w:val="24"/>
          <w:szCs w:val="24"/>
          <w:highlight w:val="none"/>
          <w:lang w:val="en-US" w:eastAsia="zh-CN"/>
        </w:rPr>
        <w:t>对</w:t>
      </w:r>
      <w:r>
        <w:rPr>
          <w:rFonts w:hint="default" w:ascii="Times New Roman" w:hAnsi="Times New Roman" w:cs="Times New Roman" w:eastAsiaTheme="minorEastAsia"/>
          <w:color w:val="auto"/>
          <w:kern w:val="0"/>
          <w:sz w:val="24"/>
          <w:szCs w:val="24"/>
          <w:highlight w:val="none"/>
        </w:rPr>
        <w:t>土地及植被监测，对复垦植被进行管护，对露天采场边坡稳定性进行监测</w:t>
      </w:r>
      <w:r>
        <w:rPr>
          <w:rFonts w:hint="default" w:ascii="Times New Roman" w:hAnsi="Times New Roman" w:cs="Times New Roman" w:eastAsiaTheme="minorEastAsia"/>
          <w:color w:val="auto"/>
          <w:kern w:val="0"/>
          <w:sz w:val="24"/>
          <w:szCs w:val="24"/>
          <w:highlight w:val="none"/>
          <w:lang w:eastAsia="zh-CN"/>
        </w:rPr>
        <w:t>。</w:t>
      </w:r>
    </w:p>
    <w:p>
      <w:pPr>
        <w:adjustRightInd/>
        <w:snapToGrid/>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bCs/>
          <w:color w:val="000000" w:themeColor="text1"/>
          <w:sz w:val="24"/>
          <w:szCs w:val="24"/>
          <w:highlight w:val="none"/>
          <w14:textFill>
            <w14:solidFill>
              <w14:schemeClr w14:val="tx1"/>
            </w14:solidFill>
          </w14:textFill>
        </w:rPr>
        <w:t xml:space="preserve">   </w:t>
      </w:r>
      <w:r>
        <w:rPr>
          <w:rFonts w:hint="default" w:ascii="Times New Roman" w:hAnsi="Times New Roman" w:cs="Times New Roman"/>
          <w:b/>
          <w:color w:val="auto"/>
          <w:sz w:val="21"/>
          <w:szCs w:val="21"/>
          <w:highlight w:val="none"/>
        </w:rPr>
        <w:t>表</w:t>
      </w:r>
      <w:r>
        <w:rPr>
          <w:rFonts w:hint="default" w:ascii="Times New Roman" w:hAnsi="Times New Roman"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rPr>
        <w:t>-</w:t>
      </w:r>
      <w:r>
        <w:rPr>
          <w:rFonts w:hint="eastAsia" w:cs="Times New Roman"/>
          <w:b/>
          <w:color w:val="auto"/>
          <w:sz w:val="21"/>
          <w:szCs w:val="21"/>
          <w:highlight w:val="none"/>
          <w:lang w:val="en-US" w:eastAsia="zh-CN"/>
        </w:rPr>
        <w:t>6</w:t>
      </w:r>
      <w:r>
        <w:rPr>
          <w:rFonts w:hint="default" w:ascii="Times New Roman" w:hAnsi="Times New Roman" w:cs="Times New Roman"/>
          <w:b/>
          <w:color w:val="auto"/>
          <w:sz w:val="21"/>
          <w:szCs w:val="21"/>
          <w:highlight w:val="none"/>
        </w:rPr>
        <w:t xml:space="preserve">  </w:t>
      </w:r>
      <w:r>
        <w:rPr>
          <w:rFonts w:hint="eastAsia" w:cs="Times New Roman"/>
          <w:b/>
          <w:color w:val="auto"/>
          <w:sz w:val="21"/>
          <w:szCs w:val="21"/>
          <w:highlight w:val="none"/>
          <w:lang w:val="en-US" w:eastAsia="zh-CN"/>
        </w:rPr>
        <w:t xml:space="preserve">  </w:t>
      </w:r>
      <w:r>
        <w:rPr>
          <w:rFonts w:hint="default" w:ascii="Times New Roman" w:hAnsi="Times New Roman" w:cs="Times New Roman"/>
          <w:b/>
          <w:color w:val="auto"/>
          <w:sz w:val="21"/>
          <w:szCs w:val="21"/>
          <w:highlight w:val="none"/>
        </w:rPr>
        <w:t>202</w:t>
      </w:r>
      <w:r>
        <w:rPr>
          <w:rFonts w:hint="eastAsia" w:cs="Times New Roman"/>
          <w:b/>
          <w:color w:val="auto"/>
          <w:sz w:val="21"/>
          <w:szCs w:val="21"/>
          <w:highlight w:val="none"/>
          <w:lang w:val="en-US" w:eastAsia="zh-CN"/>
        </w:rPr>
        <w:t>3</w:t>
      </w:r>
      <w:r>
        <w:rPr>
          <w:rFonts w:hint="default" w:ascii="Times New Roman" w:hAnsi="Times New Roman" w:cs="Times New Roman"/>
          <w:b/>
          <w:color w:val="auto"/>
          <w:sz w:val="21"/>
          <w:szCs w:val="21"/>
          <w:highlight w:val="none"/>
        </w:rPr>
        <w:t>年度计划治理及完成工程量汇总表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2"/>
        <w:gridCol w:w="1247"/>
        <w:gridCol w:w="2855"/>
        <w:gridCol w:w="2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69" w:type="pct"/>
            <w:noWrap w:val="0"/>
            <w:vAlign w:val="center"/>
          </w:tcPr>
          <w:p>
            <w:pPr>
              <w:spacing w:line="360" w:lineRule="auto"/>
              <w:ind w:left="0" w:leftChars="0" w:firstLine="0" w:firstLineChars="0"/>
              <w:jc w:val="center"/>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治理区</w:t>
            </w:r>
          </w:p>
        </w:tc>
        <w:tc>
          <w:tcPr>
            <w:tcW w:w="731" w:type="pct"/>
            <w:noWrap w:val="0"/>
            <w:vAlign w:val="center"/>
          </w:tcPr>
          <w:p>
            <w:pPr>
              <w:widowControl/>
              <w:spacing w:line="240" w:lineRule="atLeast"/>
              <w:ind w:firstLine="0" w:firstLineChars="0"/>
              <w:jc w:val="center"/>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面积（m</w:t>
            </w:r>
            <w:r>
              <w:rPr>
                <w:rFonts w:hint="default" w:ascii="Times New Roman" w:hAnsi="Times New Roman" w:cs="Times New Roman"/>
                <w:kern w:val="0"/>
                <w:sz w:val="21"/>
                <w:szCs w:val="21"/>
                <w:highlight w:val="none"/>
                <w:vertAlign w:val="superscript"/>
                <w:lang w:val="en-US" w:eastAsia="zh-CN"/>
              </w:rPr>
              <w:t>2</w:t>
            </w:r>
            <w:r>
              <w:rPr>
                <w:rFonts w:hint="default" w:ascii="Times New Roman" w:hAnsi="Times New Roman" w:cs="Times New Roman"/>
                <w:kern w:val="0"/>
                <w:sz w:val="21"/>
                <w:szCs w:val="21"/>
                <w:highlight w:val="none"/>
                <w:lang w:val="en-US" w:eastAsia="zh-CN"/>
              </w:rPr>
              <w:t>）</w:t>
            </w:r>
          </w:p>
        </w:tc>
        <w:tc>
          <w:tcPr>
            <w:tcW w:w="1674" w:type="pct"/>
            <w:noWrap w:val="0"/>
            <w:vAlign w:val="center"/>
          </w:tcPr>
          <w:p>
            <w:pPr>
              <w:widowControl/>
              <w:spacing w:line="240" w:lineRule="atLeast"/>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主要工程技术措施</w:t>
            </w:r>
          </w:p>
        </w:tc>
        <w:tc>
          <w:tcPr>
            <w:tcW w:w="1724" w:type="pct"/>
            <w:noWrap w:val="0"/>
            <w:vAlign w:val="center"/>
          </w:tcPr>
          <w:p>
            <w:pPr>
              <w:widowControl/>
              <w:spacing w:line="240" w:lineRule="atLeast"/>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治理工程量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9" w:type="pct"/>
            <w:noWrap w:val="0"/>
            <w:vAlign w:val="center"/>
          </w:tcPr>
          <w:p>
            <w:pPr>
              <w:widowControl/>
              <w:spacing w:line="240" w:lineRule="atLeast"/>
              <w:ind w:left="0" w:leftChars="0" w:firstLine="0" w:firstLineChars="0"/>
              <w:jc w:val="center"/>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露天采场</w:t>
            </w:r>
          </w:p>
        </w:tc>
        <w:tc>
          <w:tcPr>
            <w:tcW w:w="731" w:type="pct"/>
            <w:noWrap w:val="0"/>
            <w:vAlign w:val="center"/>
          </w:tcPr>
          <w:p>
            <w:pPr>
              <w:widowControl/>
              <w:spacing w:line="240" w:lineRule="atLeast"/>
              <w:ind w:firstLine="0" w:firstLineChars="0"/>
              <w:jc w:val="center"/>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w:t>
            </w:r>
          </w:p>
        </w:tc>
        <w:tc>
          <w:tcPr>
            <w:tcW w:w="1674" w:type="pct"/>
            <w:noWrap w:val="0"/>
            <w:vAlign w:val="center"/>
          </w:tcPr>
          <w:p>
            <w:pPr>
              <w:widowControl/>
              <w:spacing w:line="240" w:lineRule="atLeast"/>
              <w:ind w:left="0" w:leftChars="0"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处理危岩体</w:t>
            </w:r>
          </w:p>
        </w:tc>
        <w:tc>
          <w:tcPr>
            <w:tcW w:w="1724" w:type="pct"/>
            <w:noWrap w:val="0"/>
            <w:vAlign w:val="center"/>
          </w:tcPr>
          <w:p>
            <w:pPr>
              <w:widowControl/>
              <w:spacing w:line="240" w:lineRule="atLeast"/>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625m</w:t>
            </w:r>
            <w:r>
              <w:rPr>
                <w:rFonts w:hint="default" w:ascii="Times New Roman" w:hAnsi="Times New Roman" w:cs="Times New Roman"/>
                <w:color w:val="000000" w:themeColor="text1"/>
                <w:kern w:val="0"/>
                <w:sz w:val="21"/>
                <w:szCs w:val="21"/>
                <w:highlight w:val="none"/>
                <w:vertAlign w:val="superscript"/>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9" w:type="pct"/>
            <w:vMerge w:val="restart"/>
            <w:noWrap w:val="0"/>
            <w:vAlign w:val="center"/>
          </w:tcPr>
          <w:p>
            <w:pPr>
              <w:widowControl/>
              <w:spacing w:line="240" w:lineRule="atLeast"/>
              <w:ind w:left="0" w:leftChars="0" w:firstLine="0" w:firstLineChars="0"/>
              <w:jc w:val="center"/>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露天采场（未设计开采区）</w:t>
            </w:r>
          </w:p>
        </w:tc>
        <w:tc>
          <w:tcPr>
            <w:tcW w:w="731" w:type="pct"/>
            <w:vMerge w:val="restart"/>
            <w:noWrap w:val="0"/>
            <w:vAlign w:val="center"/>
          </w:tcPr>
          <w:p>
            <w:pPr>
              <w:widowControl/>
              <w:spacing w:line="240" w:lineRule="atLeast"/>
              <w:ind w:firstLine="0" w:firstLineChars="0"/>
              <w:jc w:val="center"/>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13450</w:t>
            </w:r>
          </w:p>
        </w:tc>
        <w:tc>
          <w:tcPr>
            <w:tcW w:w="1674" w:type="pct"/>
            <w:noWrap w:val="0"/>
            <w:vAlign w:val="center"/>
          </w:tcPr>
          <w:p>
            <w:pPr>
              <w:widowControl/>
              <w:spacing w:line="300" w:lineRule="exact"/>
              <w:ind w:firstLine="420" w:firstLineChars="200"/>
              <w:jc w:val="center"/>
              <w:textAlignment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auto"/>
                <w:kern w:val="0"/>
                <w:sz w:val="21"/>
                <w:szCs w:val="21"/>
                <w:highlight w:val="none"/>
              </w:rPr>
              <w:t>修坡整形、削高（m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w:t>
            </w:r>
          </w:p>
        </w:tc>
        <w:tc>
          <w:tcPr>
            <w:tcW w:w="1724" w:type="pct"/>
            <w:noWrap w:val="0"/>
            <w:vAlign w:val="center"/>
          </w:tcPr>
          <w:p>
            <w:pPr>
              <w:widowControl/>
              <w:spacing w:line="300" w:lineRule="exact"/>
              <w:ind w:left="0" w:leftChars="0" w:firstLine="0" w:firstLineChars="0"/>
              <w:jc w:val="center"/>
              <w:textAlignment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auto"/>
                <w:sz w:val="21"/>
                <w:szCs w:val="21"/>
                <w:highlight w:val="none"/>
              </w:rPr>
              <w:t>4378</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m</w:t>
            </w:r>
            <w:r>
              <w:rPr>
                <w:rFonts w:hint="default" w:ascii="Times New Roman" w:hAnsi="Times New Roman" w:cs="Times New Roman"/>
                <w:color w:val="000000" w:themeColor="text1"/>
                <w:kern w:val="0"/>
                <w:sz w:val="21"/>
                <w:szCs w:val="21"/>
                <w:highlight w:val="none"/>
                <w:vertAlign w:val="superscript"/>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9" w:type="pct"/>
            <w:vMerge w:val="continue"/>
            <w:noWrap w:val="0"/>
            <w:vAlign w:val="center"/>
          </w:tcPr>
          <w:p>
            <w:pPr>
              <w:widowControl/>
              <w:spacing w:line="240" w:lineRule="atLeast"/>
              <w:ind w:left="0" w:leftChars="0" w:firstLine="0" w:firstLineChars="0"/>
              <w:jc w:val="center"/>
              <w:rPr>
                <w:rFonts w:hint="default" w:ascii="Times New Roman" w:hAnsi="Times New Roman" w:cs="Times New Roman"/>
                <w:kern w:val="0"/>
                <w:sz w:val="21"/>
                <w:szCs w:val="21"/>
                <w:highlight w:val="none"/>
                <w:lang w:val="en-US" w:eastAsia="zh-CN"/>
              </w:rPr>
            </w:pPr>
          </w:p>
        </w:tc>
        <w:tc>
          <w:tcPr>
            <w:tcW w:w="731" w:type="pct"/>
            <w:vMerge w:val="continue"/>
            <w:noWrap w:val="0"/>
            <w:vAlign w:val="center"/>
          </w:tcPr>
          <w:p>
            <w:pPr>
              <w:widowControl/>
              <w:spacing w:line="240" w:lineRule="atLeast"/>
              <w:ind w:firstLine="0" w:firstLineChars="0"/>
              <w:jc w:val="center"/>
              <w:rPr>
                <w:rFonts w:hint="default" w:ascii="Times New Roman" w:hAnsi="Times New Roman" w:cs="Times New Roman"/>
                <w:kern w:val="0"/>
                <w:sz w:val="21"/>
                <w:szCs w:val="21"/>
                <w:highlight w:val="none"/>
                <w:lang w:val="en-US" w:eastAsia="zh-CN"/>
              </w:rPr>
            </w:pPr>
          </w:p>
        </w:tc>
        <w:tc>
          <w:tcPr>
            <w:tcW w:w="1674" w:type="pct"/>
            <w:noWrap w:val="0"/>
            <w:vAlign w:val="center"/>
          </w:tcPr>
          <w:p>
            <w:pPr>
              <w:widowControl/>
              <w:spacing w:line="300" w:lineRule="exact"/>
              <w:ind w:firstLine="420" w:firstLineChars="200"/>
              <w:jc w:val="center"/>
              <w:textAlignment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auto"/>
                <w:kern w:val="0"/>
                <w:sz w:val="21"/>
                <w:szCs w:val="21"/>
                <w:highlight w:val="none"/>
              </w:rPr>
              <w:t>垫坡（m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w:t>
            </w:r>
          </w:p>
        </w:tc>
        <w:tc>
          <w:tcPr>
            <w:tcW w:w="1724" w:type="pct"/>
            <w:noWrap w:val="0"/>
            <w:vAlign w:val="center"/>
          </w:tcPr>
          <w:p>
            <w:pPr>
              <w:widowControl/>
              <w:spacing w:line="300" w:lineRule="exact"/>
              <w:ind w:left="0" w:leftChars="0" w:firstLine="0" w:firstLineChars="0"/>
              <w:jc w:val="center"/>
              <w:textAlignment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auto"/>
                <w:sz w:val="21"/>
                <w:szCs w:val="21"/>
                <w:highlight w:val="none"/>
              </w:rPr>
              <w:t>3400</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m</w:t>
            </w:r>
            <w:r>
              <w:rPr>
                <w:rFonts w:hint="default" w:ascii="Times New Roman" w:hAnsi="Times New Roman" w:cs="Times New Roman"/>
                <w:color w:val="000000" w:themeColor="text1"/>
                <w:kern w:val="0"/>
                <w:sz w:val="21"/>
                <w:szCs w:val="21"/>
                <w:highlight w:val="none"/>
                <w:vertAlign w:val="superscript"/>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9" w:type="pct"/>
            <w:vMerge w:val="continue"/>
            <w:noWrap w:val="0"/>
            <w:vAlign w:val="center"/>
          </w:tcPr>
          <w:p>
            <w:pPr>
              <w:widowControl/>
              <w:spacing w:line="240" w:lineRule="atLeast"/>
              <w:ind w:left="0" w:leftChars="0" w:firstLine="0" w:firstLineChars="0"/>
              <w:jc w:val="center"/>
              <w:rPr>
                <w:rFonts w:hint="default" w:ascii="Times New Roman" w:hAnsi="Times New Roman" w:cs="Times New Roman"/>
                <w:kern w:val="0"/>
                <w:sz w:val="21"/>
                <w:szCs w:val="21"/>
                <w:highlight w:val="none"/>
                <w:lang w:val="en-US" w:eastAsia="zh-CN"/>
              </w:rPr>
            </w:pPr>
          </w:p>
        </w:tc>
        <w:tc>
          <w:tcPr>
            <w:tcW w:w="731" w:type="pct"/>
            <w:vMerge w:val="continue"/>
            <w:noWrap w:val="0"/>
            <w:vAlign w:val="center"/>
          </w:tcPr>
          <w:p>
            <w:pPr>
              <w:widowControl/>
              <w:spacing w:line="240" w:lineRule="atLeast"/>
              <w:ind w:firstLine="0" w:firstLineChars="0"/>
              <w:jc w:val="center"/>
              <w:rPr>
                <w:rFonts w:hint="default" w:ascii="Times New Roman" w:hAnsi="Times New Roman" w:cs="Times New Roman"/>
                <w:kern w:val="0"/>
                <w:sz w:val="21"/>
                <w:szCs w:val="21"/>
                <w:highlight w:val="none"/>
                <w:lang w:val="en-US" w:eastAsia="zh-CN"/>
              </w:rPr>
            </w:pPr>
          </w:p>
        </w:tc>
        <w:tc>
          <w:tcPr>
            <w:tcW w:w="1674" w:type="pct"/>
            <w:noWrap w:val="0"/>
            <w:vAlign w:val="center"/>
          </w:tcPr>
          <w:p>
            <w:pPr>
              <w:spacing w:line="300" w:lineRule="exact"/>
              <w:ind w:firstLine="420" w:firstLineChars="200"/>
              <w:jc w:val="center"/>
              <w:textAlignment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auto"/>
                <w:kern w:val="0"/>
                <w:sz w:val="21"/>
                <w:szCs w:val="21"/>
                <w:highlight w:val="none"/>
              </w:rPr>
              <w:t>清运（m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w:t>
            </w:r>
          </w:p>
        </w:tc>
        <w:tc>
          <w:tcPr>
            <w:tcW w:w="1724" w:type="pct"/>
            <w:noWrap w:val="0"/>
            <w:vAlign w:val="center"/>
          </w:tcPr>
          <w:p>
            <w:pPr>
              <w:spacing w:line="300" w:lineRule="exact"/>
              <w:ind w:left="0" w:leftChars="0" w:firstLine="0" w:firstLineChars="0"/>
              <w:jc w:val="center"/>
              <w:textAlignment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auto"/>
                <w:sz w:val="21"/>
                <w:szCs w:val="21"/>
                <w:highlight w:val="none"/>
              </w:rPr>
              <w:t>978</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m</w:t>
            </w:r>
            <w:r>
              <w:rPr>
                <w:rFonts w:hint="default" w:ascii="Times New Roman" w:hAnsi="Times New Roman" w:cs="Times New Roman"/>
                <w:color w:val="000000" w:themeColor="text1"/>
                <w:kern w:val="0"/>
                <w:sz w:val="21"/>
                <w:szCs w:val="21"/>
                <w:highlight w:val="none"/>
                <w:vertAlign w:val="superscript"/>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9" w:type="pct"/>
            <w:vMerge w:val="continue"/>
            <w:noWrap w:val="0"/>
            <w:vAlign w:val="center"/>
          </w:tcPr>
          <w:p>
            <w:pPr>
              <w:widowControl/>
              <w:spacing w:line="240" w:lineRule="atLeast"/>
              <w:ind w:left="0" w:leftChars="0" w:firstLine="0" w:firstLineChars="0"/>
              <w:jc w:val="center"/>
              <w:rPr>
                <w:rFonts w:hint="default" w:ascii="Times New Roman" w:hAnsi="Times New Roman" w:cs="Times New Roman"/>
                <w:kern w:val="0"/>
                <w:sz w:val="21"/>
                <w:szCs w:val="21"/>
                <w:highlight w:val="none"/>
                <w:lang w:val="en-US" w:eastAsia="zh-CN"/>
              </w:rPr>
            </w:pPr>
          </w:p>
        </w:tc>
        <w:tc>
          <w:tcPr>
            <w:tcW w:w="731" w:type="pct"/>
            <w:vMerge w:val="continue"/>
            <w:noWrap w:val="0"/>
            <w:vAlign w:val="center"/>
          </w:tcPr>
          <w:p>
            <w:pPr>
              <w:widowControl/>
              <w:spacing w:line="240" w:lineRule="atLeast"/>
              <w:ind w:firstLine="0" w:firstLineChars="0"/>
              <w:jc w:val="center"/>
              <w:rPr>
                <w:rFonts w:hint="default" w:ascii="Times New Roman" w:hAnsi="Times New Roman" w:cs="Times New Roman"/>
                <w:kern w:val="0"/>
                <w:sz w:val="21"/>
                <w:szCs w:val="21"/>
                <w:highlight w:val="none"/>
                <w:lang w:val="en-US" w:eastAsia="zh-CN"/>
              </w:rPr>
            </w:pPr>
          </w:p>
        </w:tc>
        <w:tc>
          <w:tcPr>
            <w:tcW w:w="1674" w:type="pct"/>
            <w:noWrap w:val="0"/>
            <w:vAlign w:val="center"/>
          </w:tcPr>
          <w:p>
            <w:pPr>
              <w:spacing w:line="300" w:lineRule="exact"/>
              <w:ind w:firstLine="420" w:firstLineChars="200"/>
              <w:jc w:val="center"/>
              <w:textAlignment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auto"/>
                <w:kern w:val="0"/>
                <w:sz w:val="21"/>
                <w:szCs w:val="21"/>
                <w:highlight w:val="none"/>
              </w:rPr>
              <w:t>覆土（m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w:t>
            </w:r>
          </w:p>
        </w:tc>
        <w:tc>
          <w:tcPr>
            <w:tcW w:w="1724" w:type="pct"/>
            <w:noWrap w:val="0"/>
            <w:vAlign w:val="center"/>
          </w:tcPr>
          <w:p>
            <w:pPr>
              <w:spacing w:line="300" w:lineRule="exact"/>
              <w:ind w:left="0" w:leftChars="0" w:firstLine="0" w:firstLineChars="0"/>
              <w:jc w:val="center"/>
              <w:textAlignment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auto"/>
                <w:sz w:val="21"/>
                <w:szCs w:val="21"/>
                <w:highlight w:val="none"/>
              </w:rPr>
              <w:t>4035</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m</w:t>
            </w:r>
            <w:r>
              <w:rPr>
                <w:rFonts w:hint="default" w:ascii="Times New Roman" w:hAnsi="Times New Roman" w:cs="Times New Roman"/>
                <w:color w:val="000000" w:themeColor="text1"/>
                <w:kern w:val="0"/>
                <w:sz w:val="21"/>
                <w:szCs w:val="21"/>
                <w:highlight w:val="none"/>
                <w:vertAlign w:val="superscript"/>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9" w:type="pct"/>
            <w:vMerge w:val="continue"/>
            <w:noWrap w:val="0"/>
            <w:vAlign w:val="center"/>
          </w:tcPr>
          <w:p>
            <w:pPr>
              <w:widowControl/>
              <w:spacing w:line="240" w:lineRule="atLeast"/>
              <w:ind w:left="0" w:leftChars="0" w:firstLine="0" w:firstLineChars="0"/>
              <w:jc w:val="center"/>
              <w:rPr>
                <w:rFonts w:hint="default" w:ascii="Times New Roman" w:hAnsi="Times New Roman" w:cs="Times New Roman"/>
                <w:kern w:val="0"/>
                <w:sz w:val="21"/>
                <w:szCs w:val="21"/>
                <w:highlight w:val="none"/>
                <w:lang w:val="en-US" w:eastAsia="zh-CN"/>
              </w:rPr>
            </w:pPr>
          </w:p>
        </w:tc>
        <w:tc>
          <w:tcPr>
            <w:tcW w:w="731" w:type="pct"/>
            <w:vMerge w:val="continue"/>
            <w:noWrap w:val="0"/>
            <w:vAlign w:val="center"/>
          </w:tcPr>
          <w:p>
            <w:pPr>
              <w:widowControl/>
              <w:spacing w:line="240" w:lineRule="atLeast"/>
              <w:ind w:firstLine="0" w:firstLineChars="0"/>
              <w:jc w:val="center"/>
              <w:rPr>
                <w:rFonts w:hint="default" w:ascii="Times New Roman" w:hAnsi="Times New Roman" w:cs="Times New Roman"/>
                <w:kern w:val="0"/>
                <w:sz w:val="21"/>
                <w:szCs w:val="21"/>
                <w:highlight w:val="none"/>
                <w:lang w:val="en-US" w:eastAsia="zh-CN"/>
              </w:rPr>
            </w:pPr>
          </w:p>
        </w:tc>
        <w:tc>
          <w:tcPr>
            <w:tcW w:w="1674" w:type="pct"/>
            <w:noWrap w:val="0"/>
            <w:vAlign w:val="center"/>
          </w:tcPr>
          <w:p>
            <w:pPr>
              <w:widowControl/>
              <w:spacing w:line="300" w:lineRule="exact"/>
              <w:ind w:firstLine="420" w:firstLineChars="200"/>
              <w:jc w:val="center"/>
              <w:textAlignment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auto"/>
                <w:kern w:val="0"/>
                <w:sz w:val="21"/>
                <w:szCs w:val="21"/>
                <w:highlight w:val="none"/>
              </w:rPr>
              <w:t>场地整平（m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w:t>
            </w:r>
          </w:p>
        </w:tc>
        <w:tc>
          <w:tcPr>
            <w:tcW w:w="1724" w:type="pct"/>
            <w:noWrap w:val="0"/>
            <w:vAlign w:val="center"/>
          </w:tcPr>
          <w:p>
            <w:pPr>
              <w:widowControl/>
              <w:spacing w:line="300" w:lineRule="exact"/>
              <w:ind w:left="0" w:leftChars="0" w:firstLine="0" w:firstLineChars="0"/>
              <w:jc w:val="center"/>
              <w:textAlignment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auto"/>
                <w:sz w:val="21"/>
                <w:szCs w:val="21"/>
                <w:highlight w:val="none"/>
              </w:rPr>
              <w:t>4035</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m</w:t>
            </w:r>
            <w:r>
              <w:rPr>
                <w:rFonts w:hint="default" w:ascii="Times New Roman" w:hAnsi="Times New Roman" w:cs="Times New Roman"/>
                <w:color w:val="000000" w:themeColor="text1"/>
                <w:kern w:val="0"/>
                <w:sz w:val="21"/>
                <w:szCs w:val="21"/>
                <w:highlight w:val="none"/>
                <w:vertAlign w:val="superscript"/>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9" w:type="pct"/>
            <w:vMerge w:val="continue"/>
            <w:noWrap w:val="0"/>
            <w:vAlign w:val="center"/>
          </w:tcPr>
          <w:p>
            <w:pPr>
              <w:widowControl/>
              <w:spacing w:line="240" w:lineRule="atLeast"/>
              <w:ind w:left="0" w:leftChars="0" w:firstLine="0" w:firstLineChars="0"/>
              <w:jc w:val="center"/>
              <w:rPr>
                <w:rFonts w:hint="default" w:ascii="Times New Roman" w:hAnsi="Times New Roman" w:cs="Times New Roman"/>
                <w:kern w:val="0"/>
                <w:sz w:val="21"/>
                <w:szCs w:val="21"/>
                <w:highlight w:val="none"/>
                <w:lang w:val="en-US" w:eastAsia="zh-CN"/>
              </w:rPr>
            </w:pPr>
          </w:p>
        </w:tc>
        <w:tc>
          <w:tcPr>
            <w:tcW w:w="731" w:type="pct"/>
            <w:vMerge w:val="continue"/>
            <w:noWrap w:val="0"/>
            <w:vAlign w:val="center"/>
          </w:tcPr>
          <w:p>
            <w:pPr>
              <w:widowControl/>
              <w:spacing w:line="240" w:lineRule="atLeast"/>
              <w:ind w:firstLine="0" w:firstLineChars="0"/>
              <w:jc w:val="center"/>
              <w:rPr>
                <w:rFonts w:hint="default" w:ascii="Times New Roman" w:hAnsi="Times New Roman" w:cs="Times New Roman"/>
                <w:kern w:val="0"/>
                <w:sz w:val="21"/>
                <w:szCs w:val="21"/>
                <w:highlight w:val="none"/>
                <w:lang w:val="en-US" w:eastAsia="zh-CN"/>
              </w:rPr>
            </w:pPr>
          </w:p>
        </w:tc>
        <w:tc>
          <w:tcPr>
            <w:tcW w:w="1674" w:type="pct"/>
            <w:noWrap w:val="0"/>
            <w:vAlign w:val="center"/>
          </w:tcPr>
          <w:p>
            <w:pPr>
              <w:widowControl/>
              <w:spacing w:line="300" w:lineRule="exact"/>
              <w:ind w:firstLine="420" w:firstLineChars="200"/>
              <w:jc w:val="center"/>
              <w:textAlignment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auto"/>
                <w:kern w:val="0"/>
                <w:sz w:val="21"/>
                <w:szCs w:val="21"/>
                <w:highlight w:val="none"/>
              </w:rPr>
              <w:t>撒播种草（m</w:t>
            </w:r>
            <w:r>
              <w:rPr>
                <w:rFonts w:hint="default" w:ascii="Times New Roman" w:hAnsi="Times New Roman" w:cs="Times New Roman"/>
                <w:color w:val="auto"/>
                <w:kern w:val="0"/>
                <w:sz w:val="21"/>
                <w:szCs w:val="21"/>
                <w:highlight w:val="none"/>
                <w:vertAlign w:val="superscript"/>
              </w:rPr>
              <w:t>2</w:t>
            </w:r>
            <w:r>
              <w:rPr>
                <w:rFonts w:hint="default" w:ascii="Times New Roman" w:hAnsi="Times New Roman" w:cs="Times New Roman"/>
                <w:color w:val="auto"/>
                <w:kern w:val="0"/>
                <w:sz w:val="21"/>
                <w:szCs w:val="21"/>
                <w:highlight w:val="none"/>
              </w:rPr>
              <w:t>）</w:t>
            </w:r>
          </w:p>
        </w:tc>
        <w:tc>
          <w:tcPr>
            <w:tcW w:w="1724" w:type="pct"/>
            <w:noWrap w:val="0"/>
            <w:vAlign w:val="center"/>
          </w:tcPr>
          <w:p>
            <w:pPr>
              <w:widowControl/>
              <w:spacing w:line="300" w:lineRule="exact"/>
              <w:ind w:left="0" w:leftChars="0" w:firstLine="0" w:firstLineChars="0"/>
              <w:jc w:val="center"/>
              <w:textAlignment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auto"/>
                <w:sz w:val="21"/>
                <w:szCs w:val="21"/>
                <w:highlight w:val="none"/>
              </w:rPr>
              <w:t>13450</w:t>
            </w:r>
            <w:r>
              <w:rPr>
                <w:rFonts w:hint="default" w:ascii="Times New Roman" w:hAnsi="Times New Roman" w:cs="Times New Roman"/>
                <w:color w:val="auto"/>
                <w:kern w:val="0"/>
                <w:sz w:val="21"/>
                <w:szCs w:val="21"/>
                <w:highlight w:val="none"/>
              </w:rPr>
              <w:t>m</w:t>
            </w:r>
            <w:r>
              <w:rPr>
                <w:rFonts w:hint="default" w:ascii="Times New Roman" w:hAnsi="Times New Roman" w:cs="Times New Roman"/>
                <w:color w:val="auto"/>
                <w:kern w:val="0"/>
                <w:sz w:val="21"/>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9" w:type="pct"/>
            <w:noWrap w:val="0"/>
            <w:vAlign w:val="center"/>
          </w:tcPr>
          <w:p>
            <w:pPr>
              <w:widowControl/>
              <w:spacing w:line="240" w:lineRule="atLeast"/>
              <w:ind w:firstLine="0" w:firstLineChars="0"/>
              <w:jc w:val="center"/>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全矿区</w:t>
            </w:r>
          </w:p>
        </w:tc>
        <w:tc>
          <w:tcPr>
            <w:tcW w:w="731" w:type="pct"/>
            <w:noWrap w:val="0"/>
            <w:vAlign w:val="center"/>
          </w:tcPr>
          <w:p>
            <w:pPr>
              <w:widowControl/>
              <w:spacing w:line="240" w:lineRule="atLeast"/>
              <w:ind w:firstLine="0" w:firstLineChars="0"/>
              <w:jc w:val="center"/>
              <w:rPr>
                <w:rFonts w:hint="default" w:ascii="Times New Roman" w:hAnsi="Times New Roman" w:cs="Times New Roman"/>
                <w:kern w:val="0"/>
                <w:sz w:val="21"/>
                <w:szCs w:val="21"/>
                <w:highlight w:val="none"/>
                <w:lang w:val="en-US" w:eastAsia="zh-CN"/>
              </w:rPr>
            </w:pPr>
            <w:r>
              <w:rPr>
                <w:rFonts w:hint="default" w:ascii="Times New Roman" w:hAnsi="Times New Roman" w:cs="Times New Roman"/>
                <w:kern w:val="0"/>
                <w:sz w:val="21"/>
                <w:szCs w:val="21"/>
                <w:highlight w:val="none"/>
                <w:lang w:val="en-US" w:eastAsia="zh-CN"/>
              </w:rPr>
              <w:t>—</w:t>
            </w:r>
          </w:p>
        </w:tc>
        <w:tc>
          <w:tcPr>
            <w:tcW w:w="3398" w:type="pct"/>
            <w:gridSpan w:val="2"/>
            <w:noWrap w:val="0"/>
            <w:vAlign w:val="center"/>
          </w:tcPr>
          <w:p>
            <w:pPr>
              <w:widowControl/>
              <w:spacing w:line="240" w:lineRule="atLeast"/>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auto"/>
                <w:kern w:val="0"/>
                <w:sz w:val="21"/>
                <w:szCs w:val="21"/>
                <w:highlight w:val="none"/>
              </w:rPr>
              <w:t>土地及植被监测，对复垦植被进行管护，对露天采场边坡稳定性进行监测</w:t>
            </w:r>
          </w:p>
        </w:tc>
      </w:tr>
    </w:tbl>
    <w:p>
      <w:pPr>
        <w:tabs>
          <w:tab w:val="left" w:pos="3201"/>
        </w:tabs>
        <w:bidi w:val="0"/>
        <w:jc w:val="center"/>
        <w:rPr>
          <w:rFonts w:hint="default" w:ascii="Times New Roman" w:hAnsi="Times New Roman" w:cs="Times New Roman"/>
          <w:color w:val="000000" w:themeColor="text1"/>
          <w:highlight w:val="none"/>
          <w:lang w:val="en-US" w:eastAsia="zh-CN"/>
          <w14:textFill>
            <w14:solidFill>
              <w14:schemeClr w14:val="tx1"/>
            </w14:solidFill>
          </w14:textFill>
        </w:rPr>
      </w:pPr>
    </w:p>
    <w:p>
      <w:pPr>
        <w:tabs>
          <w:tab w:val="left" w:pos="3001"/>
        </w:tabs>
        <w:bidi w:val="0"/>
        <w:jc w:val="left"/>
        <w:rPr>
          <w:rFonts w:hint="default" w:ascii="Times New Roman" w:hAnsi="Times New Roman" w:eastAsia="宋体" w:cs="Times New Roman"/>
          <w:kern w:val="2"/>
          <w:sz w:val="24"/>
          <w:highlight w:val="none"/>
          <w:lang w:val="en-US" w:eastAsia="zh-CN" w:bidi="ar-SA"/>
        </w:rPr>
      </w:pPr>
    </w:p>
    <w:p>
      <w:pPr>
        <w:pStyle w:val="3"/>
        <w:spacing w:before="120" w:after="120" w:line="360" w:lineRule="auto"/>
        <w:rPr>
          <w:rFonts w:hint="default" w:ascii="Times New Roman" w:hAnsi="Times New Roman" w:cs="Times New Roman"/>
          <w:highlight w:val="none"/>
        </w:rPr>
      </w:pPr>
      <w:bookmarkStart w:id="12" w:name="_Toc31236"/>
      <w:r>
        <w:rPr>
          <w:rFonts w:hint="default" w:ascii="Times New Roman" w:hAnsi="Times New Roman" w:cs="Times New Roman"/>
          <w:sz w:val="36"/>
          <w:szCs w:val="36"/>
          <w:highlight w:val="none"/>
        </w:rPr>
        <w:t>三、本年度矿山生产计划</w:t>
      </w:r>
      <w:bookmarkEnd w:id="12"/>
    </w:p>
    <w:p>
      <w:pPr>
        <w:spacing w:line="360" w:lineRule="auto"/>
        <w:ind w:firstLine="480" w:firstLineChars="200"/>
        <w:rPr>
          <w:rFonts w:hint="eastAsia"/>
          <w:bCs/>
          <w:color w:val="auto"/>
          <w:sz w:val="24"/>
          <w:highlight w:val="none"/>
          <w:lang w:val="en-US" w:eastAsia="zh-CN"/>
        </w:rPr>
      </w:pPr>
      <w:r>
        <w:rPr>
          <w:rFonts w:hint="eastAsia"/>
          <w:bCs/>
          <w:color w:val="auto"/>
          <w:sz w:val="24"/>
          <w:highlight w:val="none"/>
          <w:lang w:val="en-US" w:eastAsia="zh-CN"/>
        </w:rPr>
        <w:t>本</w:t>
      </w:r>
      <w:r>
        <w:rPr>
          <w:rFonts w:hint="eastAsia"/>
          <w:bCs/>
          <w:color w:val="auto"/>
          <w:sz w:val="24"/>
          <w:highlight w:val="none"/>
        </w:rPr>
        <w:t>年计划开采640m、630m、620m水平矿段，</w:t>
      </w:r>
      <w:r>
        <w:rPr>
          <w:rFonts w:hint="eastAsia"/>
          <w:bCs/>
          <w:color w:val="auto"/>
          <w:sz w:val="24"/>
          <w:highlight w:val="none"/>
          <w:lang w:val="en-US" w:eastAsia="zh-CN"/>
        </w:rPr>
        <w:t>年</w:t>
      </w:r>
      <w:r>
        <w:rPr>
          <w:rFonts w:hint="eastAsia"/>
          <w:bCs/>
          <w:color w:val="auto"/>
          <w:sz w:val="24"/>
          <w:highlight w:val="none"/>
        </w:rPr>
        <w:t>采矿量100万吨，排弃渣石量4136m</w:t>
      </w:r>
      <w:r>
        <w:rPr>
          <w:rFonts w:hint="eastAsia"/>
          <w:bCs/>
          <w:color w:val="auto"/>
          <w:sz w:val="24"/>
          <w:highlight w:val="none"/>
          <w:vertAlign w:val="superscript"/>
        </w:rPr>
        <w:t>3</w:t>
      </w:r>
      <w:r>
        <w:rPr>
          <w:rFonts w:hint="eastAsia"/>
          <w:bCs/>
          <w:color w:val="auto"/>
          <w:sz w:val="24"/>
          <w:highlight w:val="none"/>
        </w:rPr>
        <w:t>。</w:t>
      </w:r>
      <w:r>
        <w:rPr>
          <w:rFonts w:hint="eastAsia"/>
          <w:bCs/>
          <w:color w:val="auto"/>
          <w:sz w:val="24"/>
          <w:highlight w:val="none"/>
          <w:lang w:val="en-US" w:eastAsia="zh-CN"/>
        </w:rPr>
        <w:t>本年开采范围见下表：</w:t>
      </w:r>
    </w:p>
    <w:p>
      <w:pP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br w:type="page"/>
      </w:r>
    </w:p>
    <w:p>
      <w:pPr>
        <w:pStyle w:val="2"/>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表3-1    本年度开采范围拐点坐标表</w:t>
      </w:r>
    </w:p>
    <w:tbl>
      <w:tblPr>
        <w:tblStyle w:val="1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56"/>
        <w:gridCol w:w="1537"/>
        <w:gridCol w:w="1669"/>
        <w:gridCol w:w="1056"/>
        <w:gridCol w:w="1538"/>
        <w:gridCol w:w="16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拐点编号</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X</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Y</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拐点编号</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X</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4595811.70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40420523.02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44</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4595618.55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40420606.02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4595800.87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40420525.46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45</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4595651.44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40420618.05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4595781.35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40420533.83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46</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4595668.92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40420624.45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4</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4595766.88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40420551.37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47</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4595702.00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40420633.47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4595756.28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40420565.41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48</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4595719.72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40420636.33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6</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4595749.72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40420573.40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49</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4595732.03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40420636.01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7</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4595741.85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40420584.99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50</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4595741.61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40420632.62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8</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4595737.73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40420593.67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51</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4595741.62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40420632.65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9</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4595734.95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40420598.45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52</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4595748.59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40420632.10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10</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4595730.63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40420603.85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53</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4595753.14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40420633.91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11</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4595724.98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40420609.32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54</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4595767.05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40420644.69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12</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4595716.74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40420615.32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55</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4595771.31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40420643.12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13</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4595716.19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40420615.73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56</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4595772.66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40420641.25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14</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4595716.19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40420615.73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57</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4595774.10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40420636.95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15</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4595712.77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40420618.32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58</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4595771.90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40420632.10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16</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4595704.57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40420623.84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59</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4595770.61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40420629.49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17</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4595696.15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40420627.11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60</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4595771.88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40420632.11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18</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4595684.48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40420625.88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61</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4595769.30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40420626.86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19</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4595677.80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40420624.56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62</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4595767.29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40420617.85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20</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4595671.88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40420622.11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63</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4595767.53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40420617.70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21</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4595620.24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40420587.99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64</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4595767.53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40420617.70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22</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4595613.66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40420583.53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65</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4595774.96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40420612.97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23</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4595594.84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40420576.82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66</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4595795.16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40420598.14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24</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4595584.43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40420573.85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67</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4595812.52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40420576.04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25</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4595576.97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40420570.72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68</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4595824.83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40420567.20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26</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4595571.81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40420565.80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69</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4595845.97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40420553.32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27</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4595569.06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40420561.32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70</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4595865.33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40420537.31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28</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4595568.11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40420554.01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71</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4595897.84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40420515.53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29</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4595568.11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40420542.03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72</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4595907.49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40420510.63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30</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4595568.58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40420537.52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73</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4595907.49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40420510.63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31</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4595570.51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40420518.05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74</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4595909.34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40420510.34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32</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4595573.06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40420508.03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75</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4595940.12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40420508.01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33</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4595579.52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40420493.28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76</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4595945.66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40420504.69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34</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4595571.39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40420495.96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77</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4595945.66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40420504.69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35</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4595562.28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40420499.13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78</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4595946.52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40420503.25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36</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4595553.43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40420509.94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79</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4595897.10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40420504.29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37</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4595548.52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40420522.22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80</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4595890.17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40420504.54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38</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4595546.55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40420540.90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81</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4595870.92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40420508.10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39</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4595546.55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40420555.40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82</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4595857.73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40420511.82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40</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4595548.27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40420568.67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83</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4595837.30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40420517.20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41</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4595554.90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40420579.48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84</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4595826.85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40420519.84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42</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4595564.98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40420589.06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85</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4595822.55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40420520.74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43</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4595577.27 </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40420594.22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rPr>
            </w:pPr>
          </w:p>
        </w:tc>
      </w:tr>
    </w:tbl>
    <w:p>
      <w:pPr>
        <w:ind w:firstLine="480"/>
        <w:rPr>
          <w:rFonts w:hint="default" w:ascii="Times New Roman" w:hAnsi="Times New Roman" w:eastAsia="宋体" w:cs="Times New Roman"/>
          <w:color w:val="FF0000"/>
          <w:sz w:val="24"/>
          <w:highlight w:val="none"/>
          <w:lang w:val="en-US" w:eastAsia="zh-CN"/>
        </w:rPr>
      </w:pPr>
      <w:r>
        <w:rPr>
          <w:rFonts w:hint="default" w:ascii="Times New Roman" w:hAnsi="Times New Roman" w:cs="Times New Roman"/>
          <w:color w:val="000000" w:themeColor="text1"/>
          <w:sz w:val="24"/>
          <w:highlight w:val="none"/>
          <w:lang w:val="en-US" w:eastAsia="zh-CN"/>
          <w14:textFill>
            <w14:solidFill>
              <w14:schemeClr w14:val="tx1"/>
            </w14:solidFill>
          </w14:textFill>
        </w:rPr>
        <w:t xml:space="preserve"> </w:t>
      </w:r>
      <w:r>
        <w:rPr>
          <w:rFonts w:hint="default" w:ascii="Times New Roman" w:hAnsi="Times New Roman" w:cs="Times New Roman"/>
          <w:color w:val="FF0000"/>
          <w:sz w:val="24"/>
          <w:highlight w:val="none"/>
          <w:lang w:val="en-US" w:eastAsia="zh-CN"/>
        </w:rPr>
        <w:t xml:space="preserve">                                                                                                 </w:t>
      </w:r>
    </w:p>
    <w:p>
      <w:pPr>
        <w:pStyle w:val="3"/>
        <w:spacing w:before="120" w:after="120" w:line="360" w:lineRule="auto"/>
        <w:rPr>
          <w:rFonts w:hint="default" w:ascii="Times New Roman" w:hAnsi="Times New Roman" w:cs="Times New Roman"/>
          <w:sz w:val="36"/>
          <w:szCs w:val="36"/>
          <w:highlight w:val="none"/>
        </w:rPr>
      </w:pPr>
      <w:bookmarkStart w:id="13" w:name="_Toc26906"/>
      <w:r>
        <w:rPr>
          <w:rFonts w:hint="default" w:ascii="Times New Roman" w:hAnsi="Times New Roman" w:cs="Times New Roman"/>
          <w:sz w:val="36"/>
          <w:szCs w:val="36"/>
          <w:highlight w:val="none"/>
        </w:rPr>
        <w:t>四、矿山地质环境问题</w:t>
      </w:r>
      <w:bookmarkEnd w:id="13"/>
    </w:p>
    <w:p>
      <w:pPr>
        <w:pStyle w:val="4"/>
        <w:spacing w:before="120" w:after="120" w:line="360" w:lineRule="auto"/>
        <w:jc w:val="left"/>
        <w:rPr>
          <w:rFonts w:hint="default" w:ascii="Times New Roman" w:hAnsi="Times New Roman" w:cs="Times New Roman"/>
          <w:color w:val="auto"/>
          <w:highlight w:val="none"/>
        </w:rPr>
      </w:pPr>
      <w:bookmarkStart w:id="14" w:name="_Toc1430"/>
      <w:bookmarkStart w:id="15" w:name="_Toc362269331"/>
      <w:bookmarkStart w:id="16" w:name="_Toc356205339"/>
      <w:r>
        <w:rPr>
          <w:rFonts w:hint="default" w:ascii="Times New Roman" w:hAnsi="Times New Roman" w:cs="Times New Roman"/>
          <w:color w:val="auto"/>
          <w:sz w:val="30"/>
          <w:highlight w:val="none"/>
        </w:rPr>
        <w:t>（一）矿山地质环境问题现状</w:t>
      </w:r>
      <w:bookmarkEnd w:id="14"/>
    </w:p>
    <w:p>
      <w:pPr>
        <w:adjustRightInd/>
        <w:ind w:firstLine="480"/>
        <w:rPr>
          <w:rFonts w:hint="default" w:ascii="Times New Roman" w:hAnsi="Times New Roman" w:cs="Times New Roman"/>
          <w:bCs/>
          <w:highlight w:val="none"/>
        </w:rPr>
      </w:pPr>
      <w:r>
        <w:rPr>
          <w:rFonts w:hint="default" w:ascii="Times New Roman" w:hAnsi="Times New Roman" w:cs="Times New Roman"/>
          <w:highlight w:val="none"/>
        </w:rPr>
        <w:t>下面按矿山场地类型分别对各场地矿山地质环境及土地利用现状分述如下：</w:t>
      </w:r>
    </w:p>
    <w:p>
      <w:pPr>
        <w:tabs>
          <w:tab w:val="left" w:pos="720"/>
        </w:tabs>
        <w:autoSpaceDE w:val="0"/>
        <w:autoSpaceDN w:val="0"/>
        <w:adjustRightInd w:val="0"/>
        <w:snapToGrid/>
        <w:spacing w:beforeLines="50" w:line="360" w:lineRule="auto"/>
        <w:ind w:firstLine="470" w:firstLineChars="196"/>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-4540250</wp:posOffset>
                </wp:positionH>
                <wp:positionV relativeFrom="paragraph">
                  <wp:posOffset>127000</wp:posOffset>
                </wp:positionV>
                <wp:extent cx="3695700" cy="1014095"/>
                <wp:effectExtent l="0" t="191770" r="0" b="203835"/>
                <wp:wrapNone/>
                <wp:docPr id="46" name="任意多边形 46"/>
                <wp:cNvGraphicFramePr/>
                <a:graphic xmlns:a="http://schemas.openxmlformats.org/drawingml/2006/main">
                  <a:graphicData uri="http://schemas.microsoft.com/office/word/2010/wordprocessingShape">
                    <wps:wsp>
                      <wps:cNvSpPr/>
                      <wps:spPr>
                        <a:xfrm rot="-489491">
                          <a:off x="0" y="0"/>
                          <a:ext cx="3695700" cy="1014095"/>
                        </a:xfrm>
                        <a:custGeom>
                          <a:avLst/>
                          <a:gdLst/>
                          <a:ahLst/>
                          <a:cxnLst/>
                          <a:pathLst>
                            <a:path w="6724" h="2262">
                              <a:moveTo>
                                <a:pt x="132" y="1937"/>
                              </a:moveTo>
                              <a:cubicBezTo>
                                <a:pt x="147" y="1910"/>
                                <a:pt x="19" y="1992"/>
                                <a:pt x="237" y="1877"/>
                              </a:cubicBezTo>
                              <a:cubicBezTo>
                                <a:pt x="455" y="1762"/>
                                <a:pt x="439" y="1547"/>
                                <a:pt x="1437" y="1247"/>
                              </a:cubicBezTo>
                              <a:cubicBezTo>
                                <a:pt x="2435" y="947"/>
                                <a:pt x="5720" y="0"/>
                                <a:pt x="6222" y="77"/>
                              </a:cubicBezTo>
                              <a:cubicBezTo>
                                <a:pt x="6724" y="154"/>
                                <a:pt x="5309" y="1357"/>
                                <a:pt x="4452" y="1712"/>
                              </a:cubicBezTo>
                              <a:cubicBezTo>
                                <a:pt x="3595" y="2067"/>
                                <a:pt x="1794" y="2152"/>
                                <a:pt x="1077" y="2207"/>
                              </a:cubicBezTo>
                              <a:cubicBezTo>
                                <a:pt x="360" y="2262"/>
                                <a:pt x="294" y="2087"/>
                                <a:pt x="147" y="2042"/>
                              </a:cubicBezTo>
                              <a:cubicBezTo>
                                <a:pt x="0" y="1997"/>
                                <a:pt x="117" y="1964"/>
                                <a:pt x="132" y="1937"/>
                              </a:cubicBezTo>
                              <a:close/>
                            </a:path>
                          </a:pathLst>
                        </a:custGeom>
                        <a:noFill/>
                        <a:ln w="15875"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57.5pt;margin-top:10pt;height:79.85pt;width:291pt;rotation:-534655f;z-index:251661312;mso-width-relative:page;mso-height-relative:page;" filled="f" stroked="t" coordsize="6724,2262" o:gfxdata="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IwIP0tkAAAAMAQAADwAAAAAAAAABACAAAAAiAAAAZHJzL2Rvd25yZXYueG1sUEsBAhQA&#10;FAAAAAgAh07iQNoNOcwOAwAATQcAAA4AAAAAAAAAAQAgAAAAKAEAAGRycy9lMm9Eb2MueG1sUEsF&#10;BgAAAAAGAAYAWQEAAKgGAAAAAA==&#10;" path="m132,1937c147,1910,19,1992,237,1877c455,1762,439,1547,1437,1247c2435,947,5720,0,6222,77c6724,154,5309,1357,4452,1712c3595,2067,1794,2152,1077,2207c360,2262,294,2087,147,2042c0,1997,117,1964,132,1937xe">
                <v:fill on="f" focussize="0,0"/>
                <v:stroke weight="1.25pt" color="#FF0000" joinstyle="round"/>
                <v:imagedata o:title=""/>
                <o:lock v:ext="edit" aspectratio="f"/>
              </v:shape>
            </w:pict>
          </mc:Fallback>
        </mc:AlternateContent>
      </w:r>
      <w:r>
        <w:rPr>
          <w:rFonts w:hint="default" w:ascii="Times New Roman" w:hAnsi="Times New Roman" w:cs="Times New Roman"/>
          <w:color w:val="auto"/>
          <w:sz w:val="24"/>
          <w:szCs w:val="24"/>
          <w:highlight w:val="none"/>
        </w:rPr>
        <w:t>1、露天采场</w:t>
      </w:r>
    </w:p>
    <w:p>
      <w:pPr>
        <w:widowControl w:val="0"/>
        <w:autoSpaceDE w:val="0"/>
        <w:autoSpaceDN w:val="0"/>
        <w:adjustRightInd w:val="0"/>
        <w:spacing w:line="360" w:lineRule="auto"/>
        <w:ind w:firstLine="480" w:firstLineChars="200"/>
        <w:jc w:val="left"/>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露天采场位于矿区中部，面积92158m</w:t>
      </w:r>
      <w:r>
        <w:rPr>
          <w:rFonts w:hint="default" w:ascii="Times New Roman" w:hAnsi="Times New Roman" w:eastAsia="宋体" w:cs="Times New Roman"/>
          <w:color w:val="auto"/>
          <w:sz w:val="24"/>
          <w:szCs w:val="24"/>
          <w:highlight w:val="none"/>
          <w:vertAlign w:val="superscript"/>
          <w:lang w:val="en-US" w:eastAsia="zh-CN" w:bidi="ar-SA"/>
        </w:rPr>
        <w:t>2</w:t>
      </w:r>
      <w:r>
        <w:rPr>
          <w:rFonts w:hint="default" w:ascii="Times New Roman" w:hAnsi="Times New Roman" w:eastAsia="宋体" w:cs="Times New Roman"/>
          <w:color w:val="auto"/>
          <w:sz w:val="24"/>
          <w:szCs w:val="24"/>
          <w:highlight w:val="none"/>
          <w:lang w:val="en-US" w:eastAsia="zh-CN" w:bidi="ar-SA"/>
        </w:rPr>
        <w:t>，开采范围全部位于矿区内。采用台阶式开采方式，采场西部已形成635m、615m、600m、580m等水平；东部已形成600m、590m、580m等水平。边坡较不规则，高2～20m，开采标高663～573m，采场深2～90m，坡面角40°～60°。露天开采开挖山体，形成凹坑，坑底积水，坑内边坡耸立，坡面岩石裸露，裂隙不发育，边坡稳定，植被破坏（照片4-1），露天开采形成与周边地形地貌极不协调的生态斑块，对地形地貌景观影响严重。</w:t>
      </w:r>
    </w:p>
    <w:p>
      <w:pPr>
        <w:adjustRightInd/>
        <w:snapToGrid/>
        <w:spacing w:line="36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drawing>
          <wp:inline distT="0" distB="0" distL="0" distR="0">
            <wp:extent cx="5052695" cy="1535430"/>
            <wp:effectExtent l="0" t="0" r="14605" b="7620"/>
            <wp:docPr id="29" name="图片 19" descr="E:\宁城生鑫\宁城生鑫\露天采场\IMG2021022711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descr="E:\宁城生鑫\宁城生鑫\露天采场\IMG20210227113709.jpg"/>
                    <pic:cNvPicPr>
                      <a:picLocks noChangeAspect="1" noChangeArrowheads="1"/>
                    </pic:cNvPicPr>
                  </pic:nvPicPr>
                  <pic:blipFill>
                    <a:blip r:embed="rId27" cstate="print"/>
                    <a:srcRect t="26361" r="4250" b="34858"/>
                    <a:stretch>
                      <a:fillRect/>
                    </a:stretch>
                  </pic:blipFill>
                  <pic:spPr>
                    <a:xfrm>
                      <a:off x="0" y="0"/>
                      <a:ext cx="5053282" cy="1535502"/>
                    </a:xfrm>
                    <a:prstGeom prst="rect">
                      <a:avLst/>
                    </a:prstGeom>
                    <a:noFill/>
                    <a:ln w="9525">
                      <a:noFill/>
                      <a:miter lim="800000"/>
                      <a:headEnd/>
                      <a:tailEnd/>
                    </a:ln>
                  </pic:spPr>
                </pic:pic>
              </a:graphicData>
            </a:graphic>
          </wp:inline>
        </w:drawing>
      </w:r>
    </w:p>
    <w:p>
      <w:pPr>
        <w:adjustRightInd/>
        <w:snapToGrid/>
        <w:spacing w:line="36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照片</w:t>
      </w:r>
      <w:r>
        <w:rPr>
          <w:rFonts w:hint="default" w:ascii="Times New Roman" w:hAnsi="Times New Roman"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val="en-US" w:eastAsia="zh-CN"/>
        </w:rPr>
        <w:t>1</w:t>
      </w:r>
      <w:r>
        <w:rPr>
          <w:rFonts w:hint="default" w:ascii="Times New Roman" w:hAnsi="Times New Roman" w:cs="Times New Roman"/>
          <w:b/>
          <w:color w:val="auto"/>
          <w:sz w:val="21"/>
          <w:szCs w:val="21"/>
          <w:highlight w:val="none"/>
        </w:rPr>
        <w:t xml:space="preserve">  露天采场</w:t>
      </w:r>
    </w:p>
    <w:p>
      <w:pPr>
        <w:tabs>
          <w:tab w:val="left" w:pos="720"/>
        </w:tabs>
        <w:autoSpaceDE w:val="0"/>
        <w:autoSpaceDN w:val="0"/>
        <w:adjustRightInd w:val="0"/>
        <w:snapToGrid/>
        <w:spacing w:line="360" w:lineRule="auto"/>
        <w:ind w:firstLine="470" w:firstLineChars="196"/>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-4540250</wp:posOffset>
                </wp:positionH>
                <wp:positionV relativeFrom="paragraph">
                  <wp:posOffset>127000</wp:posOffset>
                </wp:positionV>
                <wp:extent cx="3695700" cy="1014095"/>
                <wp:effectExtent l="0" t="191770" r="0" b="203835"/>
                <wp:wrapNone/>
                <wp:docPr id="47" name="任意多边形 47"/>
                <wp:cNvGraphicFramePr/>
                <a:graphic xmlns:a="http://schemas.openxmlformats.org/drawingml/2006/main">
                  <a:graphicData uri="http://schemas.microsoft.com/office/word/2010/wordprocessingShape">
                    <wps:wsp>
                      <wps:cNvSpPr/>
                      <wps:spPr>
                        <a:xfrm rot="-489491">
                          <a:off x="0" y="0"/>
                          <a:ext cx="3695700" cy="1014095"/>
                        </a:xfrm>
                        <a:custGeom>
                          <a:avLst/>
                          <a:gdLst/>
                          <a:ahLst/>
                          <a:cxnLst/>
                          <a:pathLst>
                            <a:path w="6724" h="2262">
                              <a:moveTo>
                                <a:pt x="132" y="1937"/>
                              </a:moveTo>
                              <a:cubicBezTo>
                                <a:pt x="147" y="1910"/>
                                <a:pt x="19" y="1992"/>
                                <a:pt x="237" y="1877"/>
                              </a:cubicBezTo>
                              <a:cubicBezTo>
                                <a:pt x="455" y="1762"/>
                                <a:pt x="439" y="1547"/>
                                <a:pt x="1437" y="1247"/>
                              </a:cubicBezTo>
                              <a:cubicBezTo>
                                <a:pt x="2435" y="947"/>
                                <a:pt x="5720" y="0"/>
                                <a:pt x="6222" y="77"/>
                              </a:cubicBezTo>
                              <a:cubicBezTo>
                                <a:pt x="6724" y="154"/>
                                <a:pt x="5309" y="1357"/>
                                <a:pt x="4452" y="1712"/>
                              </a:cubicBezTo>
                              <a:cubicBezTo>
                                <a:pt x="3595" y="2067"/>
                                <a:pt x="1794" y="2152"/>
                                <a:pt x="1077" y="2207"/>
                              </a:cubicBezTo>
                              <a:cubicBezTo>
                                <a:pt x="360" y="2262"/>
                                <a:pt x="294" y="2087"/>
                                <a:pt x="147" y="2042"/>
                              </a:cubicBezTo>
                              <a:cubicBezTo>
                                <a:pt x="0" y="1997"/>
                                <a:pt x="117" y="1964"/>
                                <a:pt x="132" y="1937"/>
                              </a:cubicBezTo>
                              <a:close/>
                            </a:path>
                          </a:pathLst>
                        </a:custGeom>
                        <a:noFill/>
                        <a:ln w="15875"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57.5pt;margin-top:10pt;height:79.85pt;width:291pt;rotation:-534655f;z-index:251663360;mso-width-relative:page;mso-height-relative:page;" filled="f" stroked="t" coordsize="6724,2262" o:gfxdata="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AjAg/S2QAAAAwBAAAPAAAAAAAAAAEAIAAAACIAAABkcnMvZG93bnJldi54bWxQ&#10;SwECFAAUAAAACACHTuJAOTorqRMDAABNBwAADgAAAAAAAAABACAAAAAoAQAAZHJzL2Uyb0RvYy54&#10;bWxQSwUGAAAAAAYABgBZAQAArQYAAAAA&#10;" path="m132,1937c147,1910,19,1992,237,1877c455,1762,439,1547,1437,1247c2435,947,5720,0,6222,77c6724,154,5309,1357,4452,1712c3595,2067,1794,2152,1077,2207c360,2262,294,2087,147,2042c0,1997,117,1964,132,1937xe">
                <v:fill on="f" focussize="0,0"/>
                <v:stroke weight="1.25pt" color="#FF0000" joinstyle="round"/>
                <v:imagedata o:title=""/>
                <o:lock v:ext="edit" aspectratio="f"/>
              </v:shape>
            </w:pict>
          </mc:Fallback>
        </mc:AlternateContent>
      </w:r>
      <w:r>
        <w:rPr>
          <w:rFonts w:hint="default" w:ascii="Times New Roman" w:hAnsi="Times New Roman" w:cs="Times New Roman"/>
          <w:color w:val="auto"/>
          <w:sz w:val="24"/>
          <w:szCs w:val="24"/>
          <w:highlight w:val="none"/>
        </w:rPr>
        <w:t>2、工业场地</w:t>
      </w:r>
    </w:p>
    <w:p>
      <w:pPr>
        <w:widowControl w:val="0"/>
        <w:autoSpaceDE w:val="0"/>
        <w:autoSpaceDN w:val="0"/>
        <w:adjustRightInd w:val="0"/>
        <w:spacing w:line="360" w:lineRule="auto"/>
        <w:ind w:firstLine="480" w:firstLineChars="200"/>
        <w:jc w:val="left"/>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工业场地位于矿区外西部，面积36530m</w:t>
      </w:r>
      <w:r>
        <w:rPr>
          <w:rFonts w:hint="default" w:ascii="Times New Roman" w:hAnsi="Times New Roman" w:eastAsia="宋体" w:cs="Times New Roman"/>
          <w:color w:val="auto"/>
          <w:sz w:val="24"/>
          <w:szCs w:val="24"/>
          <w:highlight w:val="none"/>
          <w:vertAlign w:val="superscript"/>
          <w:lang w:val="en-US" w:eastAsia="zh-CN" w:bidi="ar-SA"/>
        </w:rPr>
        <w:t>2</w:t>
      </w:r>
      <w:r>
        <w:rPr>
          <w:rFonts w:hint="default" w:ascii="Times New Roman" w:hAnsi="Times New Roman" w:eastAsia="宋体" w:cs="Times New Roman"/>
          <w:color w:val="auto"/>
          <w:sz w:val="24"/>
          <w:szCs w:val="24"/>
          <w:highlight w:val="none"/>
          <w:lang w:val="en-US" w:eastAsia="zh-CN" w:bidi="ar-SA"/>
        </w:rPr>
        <w:t>，场地内安设有加工设备，加工的尾矿砂堆积在场地内，场地南部开挖山体形成切坡。尾矿砂堆积呈松散，粒径小于0.01m，堆高小于3m，坡面角小于60°，堆积量87672m</w:t>
      </w:r>
      <w:r>
        <w:rPr>
          <w:rFonts w:hint="default" w:ascii="Times New Roman" w:hAnsi="Times New Roman" w:eastAsia="宋体" w:cs="Times New Roman"/>
          <w:color w:val="auto"/>
          <w:sz w:val="24"/>
          <w:szCs w:val="24"/>
          <w:highlight w:val="none"/>
          <w:vertAlign w:val="superscript"/>
          <w:lang w:val="en-US" w:eastAsia="zh-CN" w:bidi="ar-SA"/>
        </w:rPr>
        <w:t>3</w:t>
      </w:r>
      <w:r>
        <w:rPr>
          <w:rFonts w:hint="default" w:ascii="Times New Roman" w:hAnsi="Times New Roman" w:eastAsia="宋体" w:cs="Times New Roman"/>
          <w:color w:val="auto"/>
          <w:sz w:val="24"/>
          <w:szCs w:val="24"/>
          <w:highlight w:val="none"/>
          <w:lang w:val="en-US" w:eastAsia="zh-CN" w:bidi="ar-SA"/>
        </w:rPr>
        <w:t>（图4-1），堆体稳定。场地南部切坡高小于5m，坡长350m，坡角小于60°，边坡为土质切坡，坡面土体稳定。加工设备处砌筑了水泥沉淀池，面积80m</w:t>
      </w:r>
      <w:r>
        <w:rPr>
          <w:rFonts w:hint="default" w:ascii="Times New Roman" w:hAnsi="Times New Roman" w:eastAsia="宋体" w:cs="Times New Roman"/>
          <w:color w:val="auto"/>
          <w:sz w:val="24"/>
          <w:szCs w:val="24"/>
          <w:highlight w:val="none"/>
          <w:vertAlign w:val="superscript"/>
          <w:lang w:val="en-US" w:eastAsia="zh-CN" w:bidi="ar-SA"/>
        </w:rPr>
        <w:t>2</w:t>
      </w:r>
      <w:r>
        <w:rPr>
          <w:rFonts w:hint="default" w:ascii="Times New Roman" w:hAnsi="Times New Roman" w:eastAsia="宋体" w:cs="Times New Roman"/>
          <w:color w:val="auto"/>
          <w:sz w:val="24"/>
          <w:szCs w:val="24"/>
          <w:highlight w:val="none"/>
          <w:lang w:val="en-US" w:eastAsia="zh-CN" w:bidi="ar-SA"/>
        </w:rPr>
        <w:t>，厚度0.5m。场地南部建设一处工人宿舍，高3m，建筑面积150m</w:t>
      </w:r>
      <w:r>
        <w:rPr>
          <w:rFonts w:hint="default" w:ascii="Times New Roman" w:hAnsi="Times New Roman" w:eastAsia="宋体" w:cs="Times New Roman"/>
          <w:color w:val="auto"/>
          <w:sz w:val="24"/>
          <w:szCs w:val="24"/>
          <w:highlight w:val="none"/>
          <w:vertAlign w:val="superscript"/>
          <w:lang w:val="en-US" w:eastAsia="zh-CN" w:bidi="ar-SA"/>
        </w:rPr>
        <w:t>2</w:t>
      </w:r>
      <w:r>
        <w:rPr>
          <w:rFonts w:hint="default" w:ascii="Times New Roman" w:hAnsi="Times New Roman" w:eastAsia="宋体" w:cs="Times New Roman"/>
          <w:color w:val="auto"/>
          <w:sz w:val="24"/>
          <w:szCs w:val="24"/>
          <w:highlight w:val="none"/>
          <w:lang w:val="en-US" w:eastAsia="zh-CN" w:bidi="ar-SA"/>
        </w:rPr>
        <w:t>。场地建设，形成切坡，石料堆积，形成堆积地貌，破坏植被，见照片4-2，现状对地形地貌景观影响严重。</w:t>
      </w:r>
    </w:p>
    <w:p>
      <w:pPr>
        <w:widowControl w:val="0"/>
        <w:autoSpaceDE w:val="0"/>
        <w:autoSpaceDN w:val="0"/>
        <w:adjustRightInd w:val="0"/>
        <w:spacing w:line="360" w:lineRule="auto"/>
        <w:ind w:left="0" w:leftChars="0" w:firstLine="0" w:firstLineChars="0"/>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drawing>
          <wp:inline distT="0" distB="0" distL="0" distR="0">
            <wp:extent cx="4952365" cy="2080260"/>
            <wp:effectExtent l="0" t="0" r="635" b="7620"/>
            <wp:docPr id="30" name="图片 20" descr="E:\宁城生鑫\宁城生鑫\尾矿加工场地\IMG2021022711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descr="E:\宁城生鑫\宁城生鑫\尾矿加工场地\IMG20210227113230.jpg"/>
                    <pic:cNvPicPr>
                      <a:picLocks noChangeAspect="1" noChangeArrowheads="1"/>
                    </pic:cNvPicPr>
                  </pic:nvPicPr>
                  <pic:blipFill>
                    <a:blip r:embed="rId28" cstate="print"/>
                    <a:srcRect t="19608" b="24401"/>
                    <a:stretch>
                      <a:fillRect/>
                    </a:stretch>
                  </pic:blipFill>
                  <pic:spPr>
                    <a:xfrm>
                      <a:off x="0" y="0"/>
                      <a:ext cx="4952365" cy="2080260"/>
                    </a:xfrm>
                    <a:prstGeom prst="rect">
                      <a:avLst/>
                    </a:prstGeom>
                    <a:noFill/>
                    <a:ln w="9525">
                      <a:noFill/>
                      <a:miter lim="800000"/>
                      <a:headEnd/>
                      <a:tailEnd/>
                    </a:ln>
                  </pic:spPr>
                </pic:pic>
              </a:graphicData>
            </a:graphic>
          </wp:inline>
        </w:drawing>
      </w:r>
    </w:p>
    <w:p>
      <w:pPr>
        <w:adjustRightInd/>
        <w:snapToGrid/>
        <w:spacing w:line="36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照片</w:t>
      </w:r>
      <w:r>
        <w:rPr>
          <w:rFonts w:hint="default" w:ascii="Times New Roman" w:hAnsi="Times New Roman"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rPr>
        <w:t xml:space="preserve">  </w:t>
      </w:r>
      <w:r>
        <w:rPr>
          <w:rFonts w:hint="default" w:ascii="Times New Roman" w:hAnsi="Times New Roman" w:cs="Times New Roman"/>
          <w:b/>
          <w:bCs/>
          <w:color w:val="auto"/>
          <w:sz w:val="21"/>
          <w:szCs w:val="21"/>
          <w:highlight w:val="none"/>
        </w:rPr>
        <w:t>工业场地</w:t>
      </w:r>
    </w:p>
    <w:p>
      <w:pPr>
        <w:adjustRightInd/>
        <w:snapToGrid/>
        <w:spacing w:line="360" w:lineRule="auto"/>
        <w:ind w:firstLine="480" w:firstLineChars="200"/>
        <w:rPr>
          <w:rFonts w:hint="default" w:ascii="Times New Roman" w:hAnsi="Times New Roman" w:cs="Times New Roman"/>
          <w:color w:val="auto"/>
          <w:sz w:val="21"/>
          <w:szCs w:val="24"/>
          <w:highlight w:val="none"/>
        </w:rPr>
      </w:pPr>
      <w:r>
        <w:rPr>
          <w:rFonts w:hint="default" w:ascii="Times New Roman" w:hAnsi="Times New Roman" w:cs="Times New Roman"/>
          <w:color w:val="auto"/>
          <w:szCs w:val="24"/>
          <w:highlight w:val="none"/>
        </w:rPr>
        <w:t>3、选矿厂</w:t>
      </w:r>
    </w:p>
    <w:p>
      <w:pPr>
        <w:widowControl w:val="0"/>
        <w:autoSpaceDE w:val="0"/>
        <w:autoSpaceDN w:val="0"/>
        <w:adjustRightInd w:val="0"/>
        <w:spacing w:line="360" w:lineRule="auto"/>
        <w:jc w:val="both"/>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选矿厂位于矿区北部，面积25550m</w:t>
      </w:r>
      <w:r>
        <w:rPr>
          <w:rFonts w:hint="default" w:ascii="Times New Roman" w:hAnsi="Times New Roman" w:eastAsia="宋体" w:cs="Times New Roman"/>
          <w:color w:val="auto"/>
          <w:sz w:val="24"/>
          <w:szCs w:val="24"/>
          <w:highlight w:val="none"/>
          <w:vertAlign w:val="superscript"/>
          <w:lang w:val="en-US" w:eastAsia="zh-CN" w:bidi="ar-SA"/>
        </w:rPr>
        <w:t>2</w:t>
      </w:r>
      <w:r>
        <w:rPr>
          <w:rFonts w:hint="default" w:ascii="Times New Roman" w:hAnsi="Times New Roman" w:eastAsia="宋体" w:cs="Times New Roman"/>
          <w:color w:val="auto"/>
          <w:sz w:val="24"/>
          <w:szCs w:val="24"/>
          <w:highlight w:val="none"/>
          <w:lang w:val="en-US" w:eastAsia="zh-CN" w:bidi="ar-SA"/>
        </w:rPr>
        <w:t>，场地内安设有加工设备，建设砖混结构房舍（高2.5～5m），建设面积350m</w:t>
      </w:r>
      <w:r>
        <w:rPr>
          <w:rFonts w:hint="default" w:ascii="Times New Roman" w:hAnsi="Times New Roman" w:eastAsia="宋体" w:cs="Times New Roman"/>
          <w:color w:val="auto"/>
          <w:sz w:val="24"/>
          <w:szCs w:val="24"/>
          <w:highlight w:val="none"/>
          <w:vertAlign w:val="superscript"/>
          <w:lang w:val="en-US" w:eastAsia="zh-CN" w:bidi="ar-SA"/>
        </w:rPr>
        <w:t>2</w:t>
      </w:r>
      <w:r>
        <w:rPr>
          <w:rFonts w:hint="default" w:ascii="Times New Roman" w:hAnsi="Times New Roman" w:eastAsia="宋体" w:cs="Times New Roman"/>
          <w:color w:val="auto"/>
          <w:sz w:val="24"/>
          <w:szCs w:val="24"/>
          <w:highlight w:val="none"/>
          <w:lang w:val="en-US" w:eastAsia="zh-CN" w:bidi="ar-SA"/>
        </w:rPr>
        <w:t>，加工的矿石堆积在场地内，堆积呈松散自然堆积，粒径小于0.1m，堆高小于3m，坡面角小于40°，堆体稳定（照片4-</w:t>
      </w:r>
      <w:r>
        <w:rPr>
          <w:rFonts w:hint="default" w:ascii="Times New Roman" w:hAnsi="Times New Roman" w:cs="Times New Roman"/>
          <w:color w:val="auto"/>
          <w:sz w:val="24"/>
          <w:szCs w:val="24"/>
          <w:highlight w:val="none"/>
          <w:lang w:val="en-US" w:eastAsia="zh-CN" w:bidi="ar-SA"/>
        </w:rPr>
        <w:t>3</w:t>
      </w:r>
      <w:r>
        <w:rPr>
          <w:rFonts w:hint="default" w:ascii="Times New Roman" w:hAnsi="Times New Roman" w:eastAsia="宋体" w:cs="Times New Roman"/>
          <w:color w:val="auto"/>
          <w:sz w:val="24"/>
          <w:szCs w:val="24"/>
          <w:highlight w:val="none"/>
          <w:lang w:val="en-US" w:eastAsia="zh-CN" w:bidi="ar-SA"/>
        </w:rPr>
        <w:t>和照片</w:t>
      </w:r>
      <w:r>
        <w:rPr>
          <w:rFonts w:hint="default" w:ascii="Times New Roman" w:hAnsi="Times New Roman" w:cs="Times New Roman"/>
          <w:color w:val="auto"/>
          <w:sz w:val="24"/>
          <w:szCs w:val="24"/>
          <w:highlight w:val="none"/>
          <w:lang w:val="en-US" w:eastAsia="zh-CN" w:bidi="ar-SA"/>
        </w:rPr>
        <w:t>4</w:t>
      </w:r>
      <w:r>
        <w:rPr>
          <w:rFonts w:hint="default" w:ascii="Times New Roman" w:hAnsi="Times New Roman" w:eastAsia="宋体" w:cs="Times New Roman"/>
          <w:color w:val="auto"/>
          <w:sz w:val="24"/>
          <w:szCs w:val="24"/>
          <w:highlight w:val="none"/>
          <w:lang w:val="en-US" w:eastAsia="zh-CN" w:bidi="ar-SA"/>
        </w:rPr>
        <w:t>-</w:t>
      </w:r>
      <w:r>
        <w:rPr>
          <w:rFonts w:hint="default" w:ascii="Times New Roman" w:hAnsi="Times New Roman" w:cs="Times New Roman"/>
          <w:color w:val="auto"/>
          <w:sz w:val="24"/>
          <w:szCs w:val="24"/>
          <w:highlight w:val="none"/>
          <w:lang w:val="en-US" w:eastAsia="zh-CN" w:bidi="ar-SA"/>
        </w:rPr>
        <w:t>4</w:t>
      </w:r>
      <w:r>
        <w:rPr>
          <w:rFonts w:hint="default" w:ascii="Times New Roman" w:hAnsi="Times New Roman" w:eastAsia="宋体" w:cs="Times New Roman"/>
          <w:color w:val="auto"/>
          <w:sz w:val="24"/>
          <w:szCs w:val="24"/>
          <w:highlight w:val="none"/>
          <w:lang w:val="en-US" w:eastAsia="zh-CN" w:bidi="ar-SA"/>
        </w:rPr>
        <w:t>），场地植被破坏，现状对地形地貌景观影响严重。</w:t>
      </w:r>
    </w:p>
    <w:p>
      <w:pPr>
        <w:widowControl w:val="0"/>
        <w:autoSpaceDE w:val="0"/>
        <w:autoSpaceDN w:val="0"/>
        <w:adjustRightInd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bidi="ar-SA"/>
        </w:rPr>
      </w:pPr>
    </w:p>
    <w:p>
      <w:pPr>
        <w:widowControl w:val="0"/>
        <w:autoSpaceDE w:val="0"/>
        <w:autoSpaceDN w:val="0"/>
        <w:adjustRightInd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bidi="ar-SA"/>
        </w:rPr>
      </w:pPr>
    </w:p>
    <w:p>
      <w:pPr>
        <w:adjustRightInd/>
        <w:snapToGrid/>
        <w:spacing w:line="36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drawing>
          <wp:inline distT="0" distB="0" distL="0" distR="0">
            <wp:extent cx="3891915" cy="2425065"/>
            <wp:effectExtent l="0" t="0" r="9525" b="13335"/>
            <wp:docPr id="31" name="图片 2" descr="C:\Users\Administrator\Desktop\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C:\Users\Administrator\Desktop\场\5.JPG"/>
                    <pic:cNvPicPr>
                      <a:picLocks noChangeAspect="1" noChangeArrowheads="1"/>
                    </pic:cNvPicPr>
                  </pic:nvPicPr>
                  <pic:blipFill>
                    <a:blip r:embed="rId29" cstate="print"/>
                    <a:srcRect l="981" r="2154"/>
                    <a:stretch>
                      <a:fillRect/>
                    </a:stretch>
                  </pic:blipFill>
                  <pic:spPr>
                    <a:xfrm>
                      <a:off x="0" y="0"/>
                      <a:ext cx="3891915" cy="2425065"/>
                    </a:xfrm>
                    <a:prstGeom prst="rect">
                      <a:avLst/>
                    </a:prstGeom>
                    <a:noFill/>
                    <a:ln w="9525">
                      <a:noFill/>
                      <a:miter lim="800000"/>
                      <a:headEnd/>
                      <a:tailEnd/>
                    </a:ln>
                  </pic:spPr>
                </pic:pic>
              </a:graphicData>
            </a:graphic>
          </wp:inline>
        </w:drawing>
      </w:r>
    </w:p>
    <w:p>
      <w:pPr>
        <w:adjustRightInd/>
        <w:snapToGrid/>
        <w:spacing w:line="36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图</w:t>
      </w:r>
      <w:r>
        <w:rPr>
          <w:rFonts w:hint="default" w:ascii="Times New Roman" w:hAnsi="Times New Roman"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-1  三角网法计算</w:t>
      </w:r>
      <w:r>
        <w:rPr>
          <w:rFonts w:hint="default" w:ascii="Times New Roman" w:hAnsi="Times New Roman" w:cs="Times New Roman"/>
          <w:b/>
          <w:bCs/>
          <w:color w:val="auto"/>
          <w:sz w:val="21"/>
          <w:szCs w:val="21"/>
          <w:highlight w:val="none"/>
        </w:rPr>
        <w:t>工业场地尾矿砂堆放量成果图</w:t>
      </w:r>
    </w:p>
    <w:p>
      <w:pPr>
        <w:adjustRightInd/>
        <w:snapToGrid/>
        <w:spacing w:line="36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drawing>
          <wp:inline distT="0" distB="0" distL="0" distR="0">
            <wp:extent cx="4594225" cy="1466215"/>
            <wp:effectExtent l="0" t="0" r="15875" b="635"/>
            <wp:docPr id="32" name="图片 21" descr="E:\宁城生鑫\宁城生鑫\选矿厂\IMG2021022710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descr="E:\宁城生鑫\宁城生鑫\选矿厂\IMG20210227103830.jpg"/>
                    <pic:cNvPicPr>
                      <a:picLocks noChangeAspect="1" noChangeArrowheads="1"/>
                    </pic:cNvPicPr>
                  </pic:nvPicPr>
                  <pic:blipFill>
                    <a:blip r:embed="rId30" cstate="print"/>
                    <a:srcRect t="29630" r="12937" b="33333"/>
                    <a:stretch>
                      <a:fillRect/>
                    </a:stretch>
                  </pic:blipFill>
                  <pic:spPr>
                    <a:xfrm>
                      <a:off x="0" y="0"/>
                      <a:ext cx="4594812" cy="1466491"/>
                    </a:xfrm>
                    <a:prstGeom prst="rect">
                      <a:avLst/>
                    </a:prstGeom>
                    <a:noFill/>
                    <a:ln w="9525">
                      <a:noFill/>
                      <a:miter lim="800000"/>
                      <a:headEnd/>
                      <a:tailEnd/>
                    </a:ln>
                  </pic:spPr>
                </pic:pic>
              </a:graphicData>
            </a:graphic>
          </wp:inline>
        </w:drawing>
      </w:r>
    </w:p>
    <w:p>
      <w:pPr>
        <w:adjustRightInd/>
        <w:snapToGrid/>
        <w:spacing w:line="36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照片</w:t>
      </w:r>
      <w:r>
        <w:rPr>
          <w:rFonts w:hint="default" w:ascii="Times New Roman" w:hAnsi="Times New Roman"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val="en-US" w:eastAsia="zh-CN"/>
        </w:rPr>
        <w:t>3</w:t>
      </w:r>
      <w:r>
        <w:rPr>
          <w:rFonts w:hint="default" w:ascii="Times New Roman" w:hAnsi="Times New Roman" w:cs="Times New Roman"/>
          <w:b/>
          <w:color w:val="auto"/>
          <w:sz w:val="21"/>
          <w:szCs w:val="21"/>
          <w:highlight w:val="none"/>
        </w:rPr>
        <w:t xml:space="preserve">  </w:t>
      </w:r>
      <w:r>
        <w:rPr>
          <w:rFonts w:hint="default" w:ascii="Times New Roman" w:hAnsi="Times New Roman" w:cs="Times New Roman"/>
          <w:b/>
          <w:bCs/>
          <w:color w:val="auto"/>
          <w:sz w:val="21"/>
          <w:szCs w:val="21"/>
          <w:highlight w:val="none"/>
        </w:rPr>
        <w:t>选矿厂北部</w:t>
      </w:r>
    </w:p>
    <w:p>
      <w:pPr>
        <w:widowControl w:val="0"/>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drawing>
          <wp:inline distT="0" distB="0" distL="0" distR="0">
            <wp:extent cx="4634865" cy="1541145"/>
            <wp:effectExtent l="0" t="0" r="13335" b="13335"/>
            <wp:docPr id="33" name="图片 23" descr="E:\宁城生鑫\宁城生鑫\选矿厂\IMG2021022711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descr="E:\宁城生鑫\宁城生鑫\选矿厂\IMG20210227112931.jpg"/>
                    <pic:cNvPicPr>
                      <a:picLocks noChangeAspect="1" noChangeArrowheads="1"/>
                    </pic:cNvPicPr>
                  </pic:nvPicPr>
                  <pic:blipFill>
                    <a:blip r:embed="rId31" cstate="print"/>
                    <a:srcRect l="7496" t="32533" r="11190" b="32308"/>
                    <a:stretch>
                      <a:fillRect/>
                    </a:stretch>
                  </pic:blipFill>
                  <pic:spPr>
                    <a:xfrm>
                      <a:off x="0" y="0"/>
                      <a:ext cx="4634865" cy="1541145"/>
                    </a:xfrm>
                    <a:prstGeom prst="rect">
                      <a:avLst/>
                    </a:prstGeom>
                    <a:noFill/>
                    <a:ln w="9525">
                      <a:noFill/>
                      <a:miter lim="800000"/>
                      <a:headEnd/>
                      <a:tailEnd/>
                    </a:ln>
                  </pic:spPr>
                </pic:pic>
              </a:graphicData>
            </a:graphic>
          </wp:inline>
        </w:drawing>
      </w:r>
    </w:p>
    <w:p>
      <w:pPr>
        <w:adjustRightInd/>
        <w:snapToGrid/>
        <w:spacing w:line="36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b/>
          <w:color w:val="auto"/>
          <w:sz w:val="21"/>
          <w:szCs w:val="21"/>
          <w:highlight w:val="none"/>
        </w:rPr>
        <w:t>照片</w:t>
      </w:r>
      <w:r>
        <w:rPr>
          <w:rFonts w:hint="default" w:ascii="Times New Roman" w:hAnsi="Times New Roman"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 xml:space="preserve">  </w:t>
      </w:r>
      <w:r>
        <w:rPr>
          <w:rFonts w:hint="default" w:ascii="Times New Roman" w:hAnsi="Times New Roman" w:cs="Times New Roman"/>
          <w:b/>
          <w:bCs/>
          <w:color w:val="auto"/>
          <w:sz w:val="21"/>
          <w:szCs w:val="21"/>
          <w:highlight w:val="none"/>
        </w:rPr>
        <w:t>选矿厂南部</w:t>
      </w:r>
    </w:p>
    <w:p>
      <w:pPr>
        <w:adjustRightInd/>
        <w:snapToGrid/>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4、1#尾矿库</w:t>
      </w:r>
    </w:p>
    <w:p>
      <w:pPr>
        <w:adjustRightInd/>
        <w:snapToGrid/>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1#尾矿库位于矿区西部，面积</w:t>
      </w:r>
      <w:r>
        <w:rPr>
          <w:rFonts w:hint="default" w:ascii="Times New Roman" w:hAnsi="Times New Roman" w:eastAsia="宋体" w:cs="Times New Roman"/>
          <w:color w:val="auto"/>
          <w:sz w:val="24"/>
          <w:szCs w:val="24"/>
          <w:highlight w:val="none"/>
          <w:lang w:eastAsia="zh-CN"/>
        </w:rPr>
        <w:t>48560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，设计库容121.8万m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（尚未达到）。主要建设有尾矿坝、回水井和防冲池，坝内堆积尾矿砂。尾矿坝高20m，使用尾矿砂堆置而成，一级和二级尾矿坝面已种植沙棘，初级尾矿坝</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前期设计治理，尚未治理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rPr>
        <w:t>和次级坝平台未栽植沙棘。尾矿库南部沿山体形成人工切坡，长445m，高小于2m，坡角70°。尾矿砂堆积呈松散，粒径小于0.01m，堆高达10m，库面占地面积35655m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。库面平整，堆体稳定，尾矿库建设破坏植被，形成黑灰色堆积地貌，与周边原始地形地貌景观不相协调（照片</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至照片</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），现状对地形地貌景观影响较严重。</w:t>
      </w:r>
    </w:p>
    <w:p>
      <w:pPr>
        <w:widowControl w:val="0"/>
        <w:autoSpaceDE w:val="0"/>
        <w:autoSpaceDN w:val="0"/>
        <w:adjustRightInd w:val="0"/>
        <w:spacing w:line="360" w:lineRule="auto"/>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drawing>
          <wp:inline distT="0" distB="0" distL="0" distR="0">
            <wp:extent cx="4258945" cy="2025650"/>
            <wp:effectExtent l="0" t="0" r="8255" b="1270"/>
            <wp:docPr id="34" name="图片 24" descr="E:\宁城生鑫\宁城生鑫\大尾矿库\IMG2021022711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descr="E:\宁城生鑫\宁城生鑫\大尾矿库\IMG20210227111657.jpg"/>
                    <pic:cNvPicPr>
                      <a:picLocks noChangeAspect="1" noChangeArrowheads="1"/>
                    </pic:cNvPicPr>
                  </pic:nvPicPr>
                  <pic:blipFill>
                    <a:blip r:embed="rId32" cstate="print"/>
                    <a:srcRect t="29194" b="7407"/>
                    <a:stretch>
                      <a:fillRect/>
                    </a:stretch>
                  </pic:blipFill>
                  <pic:spPr>
                    <a:xfrm>
                      <a:off x="0" y="0"/>
                      <a:ext cx="4258945" cy="2025650"/>
                    </a:xfrm>
                    <a:prstGeom prst="rect">
                      <a:avLst/>
                    </a:prstGeom>
                    <a:noFill/>
                    <a:ln w="9525">
                      <a:noFill/>
                      <a:miter lim="800000"/>
                      <a:headEnd/>
                      <a:tailEnd/>
                    </a:ln>
                  </pic:spPr>
                </pic:pic>
              </a:graphicData>
            </a:graphic>
          </wp:inline>
        </w:drawing>
      </w:r>
    </w:p>
    <w:p>
      <w:pPr>
        <w:adjustRightInd/>
        <w:snapToGrid/>
        <w:spacing w:line="30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照片</w:t>
      </w:r>
      <w:r>
        <w:rPr>
          <w:rFonts w:hint="default" w:ascii="Times New Roman" w:hAnsi="Times New Roman"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val="en-US" w:eastAsia="zh-CN"/>
        </w:rPr>
        <w:t>5</w:t>
      </w:r>
      <w:r>
        <w:rPr>
          <w:rFonts w:hint="default" w:ascii="Times New Roman" w:hAnsi="Times New Roman" w:cs="Times New Roman"/>
          <w:b/>
          <w:bCs/>
          <w:color w:val="auto"/>
          <w:sz w:val="21"/>
          <w:szCs w:val="21"/>
          <w:highlight w:val="none"/>
        </w:rPr>
        <w:t xml:space="preserve">  1#尾矿库库面</w:t>
      </w:r>
    </w:p>
    <w:p>
      <w:pPr>
        <w:widowControl w:val="0"/>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drawing>
          <wp:inline distT="0" distB="0" distL="0" distR="0">
            <wp:extent cx="4854575" cy="1669415"/>
            <wp:effectExtent l="0" t="0" r="3175" b="6985"/>
            <wp:docPr id="35" name="图片 4" descr="C:\Users\Administrator\Desktop\VID20210227112634[00_00_14][20210526-161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descr="C:\Users\Administrator\Desktop\VID20210227112634[00_00_14][20210526-161825].png"/>
                    <pic:cNvPicPr>
                      <a:picLocks noChangeAspect="1" noChangeArrowheads="1"/>
                    </pic:cNvPicPr>
                  </pic:nvPicPr>
                  <pic:blipFill>
                    <a:blip r:embed="rId33" cstate="print"/>
                    <a:srcRect t="20107" r="7709" b="23593"/>
                    <a:stretch>
                      <a:fillRect/>
                    </a:stretch>
                  </pic:blipFill>
                  <pic:spPr>
                    <a:xfrm>
                      <a:off x="0" y="0"/>
                      <a:ext cx="4855100" cy="1669774"/>
                    </a:xfrm>
                    <a:prstGeom prst="rect">
                      <a:avLst/>
                    </a:prstGeom>
                    <a:noFill/>
                    <a:ln w="9525">
                      <a:noFill/>
                      <a:miter lim="800000"/>
                      <a:headEnd/>
                      <a:tailEnd/>
                    </a:ln>
                  </pic:spPr>
                </pic:pic>
              </a:graphicData>
            </a:graphic>
          </wp:inline>
        </w:drawing>
      </w:r>
    </w:p>
    <w:p>
      <w:pPr>
        <w:widowControl w:val="0"/>
        <w:ind w:firstLine="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b/>
          <w:color w:val="auto"/>
          <w:sz w:val="21"/>
          <w:szCs w:val="21"/>
          <w:highlight w:val="none"/>
        </w:rPr>
        <w:t>照片</w:t>
      </w:r>
      <w:r>
        <w:rPr>
          <w:rFonts w:hint="default" w:ascii="Times New Roman" w:hAnsi="Times New Roman" w:cs="Times New Roman"/>
          <w:b/>
          <w:color w:val="auto"/>
          <w:sz w:val="21"/>
          <w:szCs w:val="21"/>
          <w:highlight w:val="none"/>
          <w:lang w:val="en-US" w:eastAsia="zh-CN"/>
        </w:rPr>
        <w:t>4</w:t>
      </w:r>
      <w:r>
        <w:rPr>
          <w:rFonts w:hint="default" w:ascii="Times New Roman" w:hAnsi="Times New Roman" w:cs="Times New Roman"/>
          <w:b/>
          <w:bCs/>
          <w:color w:val="auto"/>
          <w:sz w:val="21"/>
          <w:szCs w:val="21"/>
          <w:highlight w:val="none"/>
        </w:rPr>
        <w:t>-</w:t>
      </w:r>
      <w:r>
        <w:rPr>
          <w:rFonts w:hint="default" w:ascii="Times New Roman" w:hAnsi="Times New Roman" w:cs="Times New Roman"/>
          <w:b/>
          <w:bCs/>
          <w:color w:val="auto"/>
          <w:sz w:val="21"/>
          <w:szCs w:val="21"/>
          <w:highlight w:val="none"/>
          <w:lang w:val="en-US" w:eastAsia="zh-CN"/>
        </w:rPr>
        <w:t>6</w:t>
      </w:r>
      <w:r>
        <w:rPr>
          <w:rFonts w:hint="default" w:ascii="Times New Roman" w:hAnsi="Times New Roman" w:cs="Times New Roman"/>
          <w:b/>
          <w:bCs/>
          <w:color w:val="auto"/>
          <w:sz w:val="21"/>
          <w:szCs w:val="21"/>
          <w:highlight w:val="none"/>
        </w:rPr>
        <w:t xml:space="preserve">  1#尾矿库库面</w:t>
      </w:r>
    </w:p>
    <w:p>
      <w:pPr>
        <w:adjustRightInd/>
        <w:snapToGrid/>
        <w:spacing w:beforeLines="50" w:line="36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drawing>
          <wp:inline distT="0" distB="0" distL="0" distR="0">
            <wp:extent cx="4911090" cy="2084070"/>
            <wp:effectExtent l="0" t="0" r="11430" b="3810"/>
            <wp:docPr id="36" name="图片 25" descr="E:\宁城生鑫\宁城生鑫\大尾矿库\IMG2021022710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descr="E:\宁城生鑫\宁城生鑫\大尾矿库\IMG20210227105343.jpg"/>
                    <pic:cNvPicPr>
                      <a:picLocks noChangeAspect="1" noChangeArrowheads="1"/>
                    </pic:cNvPicPr>
                  </pic:nvPicPr>
                  <pic:blipFill>
                    <a:blip r:embed="rId34" cstate="print"/>
                    <a:srcRect t="30283" r="551" b="6318"/>
                    <a:stretch>
                      <a:fillRect/>
                    </a:stretch>
                  </pic:blipFill>
                  <pic:spPr>
                    <a:xfrm>
                      <a:off x="0" y="0"/>
                      <a:ext cx="4911090" cy="2084070"/>
                    </a:xfrm>
                    <a:prstGeom prst="rect">
                      <a:avLst/>
                    </a:prstGeom>
                    <a:noFill/>
                    <a:ln w="9525">
                      <a:noFill/>
                      <a:miter lim="800000"/>
                      <a:headEnd/>
                      <a:tailEnd/>
                    </a:ln>
                  </pic:spPr>
                </pic:pic>
              </a:graphicData>
            </a:graphic>
          </wp:inline>
        </w:drawing>
      </w:r>
    </w:p>
    <w:p>
      <w:pPr>
        <w:adjustRightInd/>
        <w:snapToGrid/>
        <w:spacing w:line="36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照片</w:t>
      </w:r>
      <w:r>
        <w:rPr>
          <w:rFonts w:hint="default" w:ascii="Times New Roman" w:hAnsi="Times New Roman" w:cs="Times New Roman"/>
          <w:b/>
          <w:color w:val="auto"/>
          <w:sz w:val="21"/>
          <w:szCs w:val="21"/>
          <w:highlight w:val="none"/>
          <w:lang w:val="en-US" w:eastAsia="zh-CN"/>
        </w:rPr>
        <w:t>4</w:t>
      </w:r>
      <w:r>
        <w:rPr>
          <w:rFonts w:hint="default" w:ascii="Times New Roman" w:hAnsi="Times New Roman" w:cs="Times New Roman"/>
          <w:b/>
          <w:bCs/>
          <w:color w:val="auto"/>
          <w:sz w:val="21"/>
          <w:szCs w:val="21"/>
          <w:highlight w:val="none"/>
        </w:rPr>
        <w:t>-</w:t>
      </w:r>
      <w:r>
        <w:rPr>
          <w:rFonts w:hint="default" w:ascii="Times New Roman" w:hAnsi="Times New Roman" w:cs="Times New Roman"/>
          <w:b/>
          <w:bCs/>
          <w:color w:val="auto"/>
          <w:sz w:val="21"/>
          <w:szCs w:val="21"/>
          <w:highlight w:val="none"/>
          <w:lang w:val="en-US" w:eastAsia="zh-CN"/>
        </w:rPr>
        <w:t>7</w:t>
      </w:r>
      <w:r>
        <w:rPr>
          <w:rFonts w:hint="default" w:ascii="Times New Roman" w:hAnsi="Times New Roman" w:cs="Times New Roman"/>
          <w:b/>
          <w:bCs/>
          <w:color w:val="auto"/>
          <w:sz w:val="21"/>
          <w:szCs w:val="21"/>
          <w:highlight w:val="none"/>
        </w:rPr>
        <w:t xml:space="preserve">  1#尾矿库尾矿坝 </w:t>
      </w:r>
    </w:p>
    <w:p>
      <w:pPr>
        <w:widowControl w:val="0"/>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drawing>
          <wp:inline distT="0" distB="0" distL="0" distR="0">
            <wp:extent cx="4839335" cy="2141855"/>
            <wp:effectExtent l="0" t="0" r="6985" b="6985"/>
            <wp:docPr id="37" name="图片 3" descr="C:\Users\Administrator\Desktop\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C:\Users\Administrator\Desktop\无标题.jpg"/>
                    <pic:cNvPicPr>
                      <a:picLocks noChangeAspect="1" noChangeArrowheads="1"/>
                    </pic:cNvPicPr>
                  </pic:nvPicPr>
                  <pic:blipFill>
                    <a:blip r:embed="rId35" cstate="print"/>
                    <a:srcRect r="10127" b="29444"/>
                    <a:stretch>
                      <a:fillRect/>
                    </a:stretch>
                  </pic:blipFill>
                  <pic:spPr>
                    <a:xfrm>
                      <a:off x="0" y="0"/>
                      <a:ext cx="4839335" cy="2141855"/>
                    </a:xfrm>
                    <a:prstGeom prst="rect">
                      <a:avLst/>
                    </a:prstGeom>
                    <a:noFill/>
                    <a:ln w="9525">
                      <a:noFill/>
                      <a:miter lim="800000"/>
                      <a:headEnd/>
                      <a:tailEnd/>
                    </a:ln>
                  </pic:spPr>
                </pic:pic>
              </a:graphicData>
            </a:graphic>
          </wp:inline>
        </w:drawing>
      </w:r>
    </w:p>
    <w:p>
      <w:pPr>
        <w:adjustRightInd/>
        <w:snapToGrid/>
        <w:spacing w:line="36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照片</w:t>
      </w:r>
      <w:r>
        <w:rPr>
          <w:rFonts w:hint="default" w:ascii="Times New Roman" w:hAnsi="Times New Roman"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w:t>
      </w:r>
      <w:r>
        <w:rPr>
          <w:rFonts w:hint="default" w:ascii="Times New Roman" w:hAnsi="Times New Roman" w:cs="Times New Roman"/>
          <w:b/>
          <w:bCs/>
          <w:color w:val="auto"/>
          <w:sz w:val="21"/>
          <w:szCs w:val="21"/>
          <w:highlight w:val="none"/>
          <w:lang w:val="en-US" w:eastAsia="zh-CN"/>
        </w:rPr>
        <w:t>8</w:t>
      </w:r>
      <w:r>
        <w:rPr>
          <w:rFonts w:hint="default" w:ascii="Times New Roman" w:hAnsi="Times New Roman" w:cs="Times New Roman"/>
          <w:b/>
          <w:bCs/>
          <w:color w:val="auto"/>
          <w:sz w:val="21"/>
          <w:szCs w:val="21"/>
          <w:highlight w:val="none"/>
        </w:rPr>
        <w:t xml:space="preserve">  1#尾矿库南部切坡</w:t>
      </w:r>
    </w:p>
    <w:p>
      <w:pPr>
        <w:tabs>
          <w:tab w:val="left" w:pos="2189"/>
          <w:tab w:val="left" w:pos="2419"/>
        </w:tabs>
        <w:adjustRightInd/>
        <w:snapToGrid/>
        <w:spacing w:line="360" w:lineRule="auto"/>
        <w:ind w:firstLine="480" w:firstLineChars="200"/>
        <w:rPr>
          <w:rFonts w:hint="default" w:ascii="Times New Roman" w:hAnsi="Times New Roman" w:cs="Times New Roman"/>
          <w:color w:val="auto"/>
          <w:sz w:val="24"/>
          <w:szCs w:val="24"/>
          <w:highlight w:val="none"/>
        </w:rPr>
      </w:pPr>
      <w:bookmarkStart w:id="17" w:name="_Hlk533360394"/>
      <w:r>
        <w:rPr>
          <w:rFonts w:hint="default" w:ascii="Times New Roman" w:hAnsi="Times New Roman" w:cs="Times New Roman"/>
          <w:color w:val="auto"/>
          <w:sz w:val="24"/>
          <w:szCs w:val="24"/>
          <w:highlight w:val="none"/>
        </w:rPr>
        <w:t>5、2#尾矿库</w:t>
      </w:r>
    </w:p>
    <w:p>
      <w:pPr>
        <w:adjustRightInd/>
        <w:snapToGrid/>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2#尾矿库位于矿区外南部山谷中，现状仅建设了干砌石尾矿坝，尚未投入使用，面积6080m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，设计库容81.9万m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（尚未排放尾矿）。尾矿坝长140m，坝顶宽5m，坝底宽8～100m，外侧坝修筑了泄洪槽。尾矿坝建设，破坏植被，现状对地形地貌景观影响较严重，见照片</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9</w:t>
      </w:r>
      <w:r>
        <w:rPr>
          <w:rFonts w:hint="default" w:ascii="Times New Roman" w:hAnsi="Times New Roman" w:cs="Times New Roman"/>
          <w:color w:val="auto"/>
          <w:sz w:val="24"/>
          <w:szCs w:val="24"/>
          <w:highlight w:val="none"/>
        </w:rPr>
        <w:t>。</w:t>
      </w:r>
    </w:p>
    <w:p>
      <w:pPr>
        <w:tabs>
          <w:tab w:val="left" w:pos="2189"/>
          <w:tab w:val="left" w:pos="2419"/>
        </w:tabs>
        <w:adjustRightInd/>
        <w:snapToGrid/>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6、废石场</w:t>
      </w:r>
    </w:p>
    <w:p>
      <w:pPr>
        <w:adjustRightInd/>
        <w:snapToGrid/>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废石场位于露天采场南部，占地面积21220m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，为露天采矿产出废石废渣的集中堆场，现状废石废渣堆高2～20m，坡面角30°～60°，粒径0.01～0.1m，堆积量113086m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（图</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-2）。呈圆台状堆积，形态较规整。废石废渣堆积，形成堆积地貌，破坏植被，现状对地形地貌景观影响较严重，见照片</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rPr>
        <w:t>。</w:t>
      </w:r>
    </w:p>
    <w:p>
      <w:pPr>
        <w:widowControl w:val="0"/>
        <w:ind w:left="0" w:lef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drawing>
          <wp:inline distT="0" distB="0" distL="0" distR="0">
            <wp:extent cx="4979670" cy="1995170"/>
            <wp:effectExtent l="0" t="0" r="3810" b="1270"/>
            <wp:docPr id="38" name="图片 7" descr="E:\宁城生鑫\宁城生鑫\3#尾矿库\IMG2021022711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E:\宁城生鑫\宁城生鑫\3#尾矿库\IMG20210227111033.jpg"/>
                    <pic:cNvPicPr>
                      <a:picLocks noChangeAspect="1" noChangeArrowheads="1"/>
                    </pic:cNvPicPr>
                  </pic:nvPicPr>
                  <pic:blipFill>
                    <a:blip r:embed="rId36" cstate="print">
                      <a:lum bright="20000"/>
                    </a:blip>
                    <a:srcRect t="28606" b="18029"/>
                    <a:stretch>
                      <a:fillRect/>
                    </a:stretch>
                  </pic:blipFill>
                  <pic:spPr>
                    <a:xfrm>
                      <a:off x="0" y="0"/>
                      <a:ext cx="4979670" cy="1995170"/>
                    </a:xfrm>
                    <a:prstGeom prst="rect">
                      <a:avLst/>
                    </a:prstGeom>
                    <a:noFill/>
                    <a:ln w="9525">
                      <a:noFill/>
                      <a:miter lim="800000"/>
                      <a:headEnd/>
                      <a:tailEnd/>
                    </a:ln>
                  </pic:spPr>
                </pic:pic>
              </a:graphicData>
            </a:graphic>
          </wp:inline>
        </w:drawing>
      </w:r>
    </w:p>
    <w:p>
      <w:pPr>
        <w:adjustRightInd/>
        <w:snapToGrid/>
        <w:spacing w:line="36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照片</w:t>
      </w:r>
      <w:r>
        <w:rPr>
          <w:rFonts w:hint="default" w:ascii="Times New Roman" w:hAnsi="Times New Roman"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val="en-US" w:eastAsia="zh-CN"/>
        </w:rPr>
        <w:t>9</w:t>
      </w:r>
      <w:r>
        <w:rPr>
          <w:rFonts w:hint="default" w:ascii="Times New Roman" w:hAnsi="Times New Roman" w:cs="Times New Roman"/>
          <w:b/>
          <w:color w:val="auto"/>
          <w:sz w:val="21"/>
          <w:szCs w:val="21"/>
          <w:highlight w:val="none"/>
        </w:rPr>
        <w:t xml:space="preserve">  2#</w:t>
      </w:r>
      <w:r>
        <w:rPr>
          <w:rFonts w:hint="default" w:ascii="Times New Roman" w:hAnsi="Times New Roman" w:cs="Times New Roman"/>
          <w:b/>
          <w:bCs/>
          <w:color w:val="auto"/>
          <w:sz w:val="21"/>
          <w:szCs w:val="21"/>
          <w:highlight w:val="none"/>
        </w:rPr>
        <w:t>尾矿库（仅见库坝）</w:t>
      </w:r>
    </w:p>
    <w:p>
      <w:pPr>
        <w:adjustRightInd/>
        <w:snapToGrid/>
        <w:spacing w:line="240" w:lineRule="auto"/>
        <w:ind w:firstLine="0" w:firstLineChars="0"/>
        <w:jc w:val="center"/>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drawing>
          <wp:inline distT="0" distB="0" distL="0" distR="0">
            <wp:extent cx="4951730" cy="2136140"/>
            <wp:effectExtent l="0" t="0" r="1270" b="12700"/>
            <wp:docPr id="39" name="图片 8" descr="E:\宁城生鑫\宁城生鑫\废石场\IMG2021022711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descr="E:\宁城生鑫\宁城生鑫\废石场\IMG20210227111444.jpg"/>
                    <pic:cNvPicPr>
                      <a:picLocks noChangeAspect="1" noChangeArrowheads="1"/>
                    </pic:cNvPicPr>
                  </pic:nvPicPr>
                  <pic:blipFill>
                    <a:blip r:embed="rId37" cstate="print"/>
                    <a:srcRect t="27163" b="15385"/>
                    <a:stretch>
                      <a:fillRect/>
                    </a:stretch>
                  </pic:blipFill>
                  <pic:spPr>
                    <a:xfrm>
                      <a:off x="0" y="0"/>
                      <a:ext cx="4951730" cy="2136140"/>
                    </a:xfrm>
                    <a:prstGeom prst="rect">
                      <a:avLst/>
                    </a:prstGeom>
                    <a:noFill/>
                    <a:ln w="9525">
                      <a:noFill/>
                      <a:miter lim="800000"/>
                      <a:headEnd/>
                      <a:tailEnd/>
                    </a:ln>
                  </pic:spPr>
                </pic:pic>
              </a:graphicData>
            </a:graphic>
          </wp:inline>
        </w:drawing>
      </w:r>
    </w:p>
    <w:p>
      <w:pPr>
        <w:adjustRightInd/>
        <w:snapToGrid/>
        <w:spacing w:line="36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照片</w:t>
      </w:r>
      <w:r>
        <w:rPr>
          <w:rFonts w:hint="default" w:ascii="Times New Roman" w:hAnsi="Times New Roman"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-1</w:t>
      </w:r>
      <w:r>
        <w:rPr>
          <w:rFonts w:hint="default" w:ascii="Times New Roman" w:hAnsi="Times New Roman" w:cs="Times New Roman"/>
          <w:b/>
          <w:color w:val="auto"/>
          <w:sz w:val="21"/>
          <w:szCs w:val="21"/>
          <w:highlight w:val="none"/>
          <w:lang w:val="en-US" w:eastAsia="zh-CN"/>
        </w:rPr>
        <w:t>0</w:t>
      </w:r>
      <w:r>
        <w:rPr>
          <w:rFonts w:hint="default" w:ascii="Times New Roman" w:hAnsi="Times New Roman" w:cs="Times New Roman"/>
          <w:b/>
          <w:color w:val="auto"/>
          <w:sz w:val="21"/>
          <w:szCs w:val="21"/>
          <w:highlight w:val="none"/>
        </w:rPr>
        <w:t xml:space="preserve">  废石场</w:t>
      </w:r>
    </w:p>
    <w:p>
      <w:pPr>
        <w:widowControl w:val="0"/>
        <w:autoSpaceDE w:val="0"/>
        <w:autoSpaceDN w:val="0"/>
        <w:adjustRightInd w:val="0"/>
        <w:jc w:val="center"/>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drawing>
          <wp:inline distT="0" distB="0" distL="0" distR="0">
            <wp:extent cx="3920490" cy="3442970"/>
            <wp:effectExtent l="0" t="0" r="11430" b="1270"/>
            <wp:docPr id="40" name="图片 3" descr="C:\Users\Administrator\Desktop\废\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descr="C:\Users\Administrator\Desktop\废\废.JPG"/>
                    <pic:cNvPicPr>
                      <a:picLocks noChangeAspect="1" noChangeArrowheads="1"/>
                    </pic:cNvPicPr>
                  </pic:nvPicPr>
                  <pic:blipFill>
                    <a:blip r:embed="rId38" cstate="print"/>
                    <a:srcRect l="1642" t="1931" r="4461" b="2575"/>
                    <a:stretch>
                      <a:fillRect/>
                    </a:stretch>
                  </pic:blipFill>
                  <pic:spPr>
                    <a:xfrm>
                      <a:off x="0" y="0"/>
                      <a:ext cx="3920490" cy="3442970"/>
                    </a:xfrm>
                    <a:prstGeom prst="rect">
                      <a:avLst/>
                    </a:prstGeom>
                    <a:noFill/>
                    <a:ln w="9525">
                      <a:noFill/>
                      <a:miter lim="800000"/>
                      <a:headEnd/>
                      <a:tailEnd/>
                    </a:ln>
                  </pic:spPr>
                </pic:pic>
              </a:graphicData>
            </a:graphic>
          </wp:inline>
        </w:drawing>
      </w:r>
    </w:p>
    <w:p>
      <w:pPr>
        <w:adjustRightInd/>
        <w:snapToGrid/>
        <w:spacing w:line="36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图</w:t>
      </w:r>
      <w:r>
        <w:rPr>
          <w:rFonts w:hint="default" w:ascii="Times New Roman" w:hAnsi="Times New Roman"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-2  三角网法计算</w:t>
      </w:r>
      <w:r>
        <w:rPr>
          <w:rFonts w:hint="default" w:ascii="Times New Roman" w:hAnsi="Times New Roman" w:cs="Times New Roman"/>
          <w:b/>
          <w:bCs/>
          <w:color w:val="auto"/>
          <w:sz w:val="21"/>
          <w:szCs w:val="21"/>
          <w:highlight w:val="none"/>
        </w:rPr>
        <w:t>废石场堆放量成果图</w:t>
      </w:r>
    </w:p>
    <w:p>
      <w:pPr>
        <w:widowControl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p>
    <w:p>
      <w:pPr>
        <w:widowControl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p>
    <w:p>
      <w:pPr>
        <w:widowControl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7、民采坑</w:t>
      </w:r>
    </w:p>
    <w:p>
      <w:pPr>
        <w:adjustRightInd/>
        <w:snapToGrid/>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民采坑位于矿区南东角，采坑呈弧状切坡，高2～26.5m，坡面角33°，面积3636m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，挖方量16362m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（图</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）。采坑仅现一面边坡，岩石裸露，凹凸不平，植被破坏，现状对地形地貌景观影响较严重，见照片</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-1</w:t>
      </w:r>
      <w:r>
        <w:rPr>
          <w:rFonts w:hint="default"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w:t>
      </w:r>
    </w:p>
    <w:p>
      <w:pPr>
        <w:widowControl w:val="0"/>
        <w:ind w:firstLine="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drawing>
          <wp:inline distT="0" distB="0" distL="0" distR="0">
            <wp:extent cx="4248150" cy="1990725"/>
            <wp:effectExtent l="0" t="0" r="0" b="9525"/>
            <wp:docPr id="41" name="图片 9" descr="E:\生鑫初稿\1生鑫新照片\DSC0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descr="E:\生鑫初稿\1生鑫新照片\DSC00126.JPG"/>
                    <pic:cNvPicPr>
                      <a:picLocks noChangeAspect="1" noChangeArrowheads="1"/>
                    </pic:cNvPicPr>
                  </pic:nvPicPr>
                  <pic:blipFill>
                    <a:blip r:embed="rId39" cstate="print"/>
                    <a:srcRect l="10469" t="42548" r="9025" b="7212"/>
                    <a:stretch>
                      <a:fillRect/>
                    </a:stretch>
                  </pic:blipFill>
                  <pic:spPr>
                    <a:xfrm>
                      <a:off x="0" y="0"/>
                      <a:ext cx="4248150" cy="1990725"/>
                    </a:xfrm>
                    <a:prstGeom prst="rect">
                      <a:avLst/>
                    </a:prstGeom>
                    <a:noFill/>
                    <a:ln w="9525">
                      <a:noFill/>
                      <a:miter lim="800000"/>
                      <a:headEnd/>
                      <a:tailEnd/>
                    </a:ln>
                  </pic:spPr>
                </pic:pic>
              </a:graphicData>
            </a:graphic>
          </wp:inline>
        </w:drawing>
      </w:r>
    </w:p>
    <w:p>
      <w:pPr>
        <w:adjustRightInd/>
        <w:snapToGrid/>
        <w:spacing w:line="36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照片</w:t>
      </w:r>
      <w:r>
        <w:rPr>
          <w:rFonts w:hint="default" w:ascii="Times New Roman" w:hAnsi="Times New Roman"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-1</w:t>
      </w:r>
      <w:r>
        <w:rPr>
          <w:rFonts w:hint="default" w:ascii="Times New Roman" w:hAnsi="Times New Roman" w:cs="Times New Roman"/>
          <w:b/>
          <w:color w:val="auto"/>
          <w:sz w:val="21"/>
          <w:szCs w:val="21"/>
          <w:highlight w:val="none"/>
          <w:lang w:val="en-US" w:eastAsia="zh-CN"/>
        </w:rPr>
        <w:t>0</w:t>
      </w:r>
      <w:r>
        <w:rPr>
          <w:rFonts w:hint="default" w:ascii="Times New Roman" w:hAnsi="Times New Roman" w:cs="Times New Roman"/>
          <w:b/>
          <w:color w:val="auto"/>
          <w:sz w:val="21"/>
          <w:szCs w:val="21"/>
          <w:highlight w:val="none"/>
        </w:rPr>
        <w:t xml:space="preserve">  民采坑</w:t>
      </w:r>
    </w:p>
    <w:p>
      <w:pPr>
        <w:widowControl w:val="0"/>
        <w:ind w:firstLine="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drawing>
          <wp:inline distT="0" distB="0" distL="0" distR="0">
            <wp:extent cx="3270250" cy="3473450"/>
            <wp:effectExtent l="0" t="0" r="6350" b="1270"/>
            <wp:docPr id="42" name="图片 4" descr="C:\Users\Administrator\Desktop\坑\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descr="C:\Users\Administrator\Desktop\坑\坑.JPG"/>
                    <pic:cNvPicPr>
                      <a:picLocks noChangeAspect="1" noChangeArrowheads="1"/>
                    </pic:cNvPicPr>
                  </pic:nvPicPr>
                  <pic:blipFill>
                    <a:blip r:embed="rId40" cstate="print"/>
                    <a:srcRect l="4565" t="3791" r="11981" b="5158"/>
                    <a:stretch>
                      <a:fillRect/>
                    </a:stretch>
                  </pic:blipFill>
                  <pic:spPr>
                    <a:xfrm>
                      <a:off x="0" y="0"/>
                      <a:ext cx="3270250" cy="3473450"/>
                    </a:xfrm>
                    <a:prstGeom prst="rect">
                      <a:avLst/>
                    </a:prstGeom>
                    <a:noFill/>
                    <a:ln w="9525">
                      <a:noFill/>
                      <a:miter lim="800000"/>
                      <a:headEnd/>
                      <a:tailEnd/>
                    </a:ln>
                  </pic:spPr>
                </pic:pic>
              </a:graphicData>
            </a:graphic>
          </wp:inline>
        </w:drawing>
      </w:r>
    </w:p>
    <w:p>
      <w:pPr>
        <w:adjustRightInd/>
        <w:snapToGrid/>
        <w:spacing w:line="36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图</w:t>
      </w:r>
      <w:r>
        <w:rPr>
          <w:rFonts w:hint="default" w:ascii="Times New Roman" w:hAnsi="Times New Roman"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-3  三角网法计算</w:t>
      </w:r>
      <w:r>
        <w:rPr>
          <w:rFonts w:hint="default" w:ascii="Times New Roman" w:hAnsi="Times New Roman" w:cs="Times New Roman"/>
          <w:b/>
          <w:bCs/>
          <w:color w:val="auto"/>
          <w:sz w:val="21"/>
          <w:szCs w:val="21"/>
          <w:highlight w:val="none"/>
        </w:rPr>
        <w:t>民采坑挖方量成果图</w:t>
      </w:r>
    </w:p>
    <w:p>
      <w:pPr>
        <w:tabs>
          <w:tab w:val="left" w:pos="2189"/>
          <w:tab w:val="left" w:pos="2419"/>
        </w:tabs>
        <w:adjustRightInd/>
        <w:snapToGrid/>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8、民采坑废石堆</w:t>
      </w:r>
    </w:p>
    <w:p>
      <w:pPr>
        <w:widowControl w:val="0"/>
        <w:autoSpaceDE w:val="0"/>
        <w:autoSpaceDN w:val="0"/>
        <w:adjustRightInd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废石堆位于民采坑坑底边缘，沿坡排放，堆积厚度0.5～2.3m，面积2095m</w:t>
      </w:r>
      <w:r>
        <w:rPr>
          <w:rFonts w:hint="default" w:ascii="Times New Roman" w:hAnsi="Times New Roman" w:eastAsia="宋体" w:cs="Times New Roman"/>
          <w:color w:val="auto"/>
          <w:sz w:val="24"/>
          <w:szCs w:val="24"/>
          <w:highlight w:val="none"/>
          <w:vertAlign w:val="superscript"/>
          <w:lang w:val="en-US" w:eastAsia="zh-CN" w:bidi="ar-SA"/>
        </w:rPr>
        <w:t>2</w:t>
      </w:r>
      <w:r>
        <w:rPr>
          <w:rFonts w:hint="default" w:ascii="Times New Roman" w:hAnsi="Times New Roman" w:eastAsia="宋体" w:cs="Times New Roman"/>
          <w:color w:val="auto"/>
          <w:sz w:val="24"/>
          <w:szCs w:val="24"/>
          <w:highlight w:val="none"/>
          <w:lang w:val="en-US" w:eastAsia="zh-CN" w:bidi="ar-SA"/>
        </w:rPr>
        <w:t>，堆积量3771m</w:t>
      </w:r>
      <w:r>
        <w:rPr>
          <w:rFonts w:hint="default" w:ascii="Times New Roman" w:hAnsi="Times New Roman" w:eastAsia="宋体" w:cs="Times New Roman"/>
          <w:color w:val="auto"/>
          <w:sz w:val="24"/>
          <w:szCs w:val="24"/>
          <w:highlight w:val="none"/>
          <w:vertAlign w:val="superscript"/>
          <w:lang w:val="en-US" w:eastAsia="zh-CN" w:bidi="ar-SA"/>
        </w:rPr>
        <w:t>3</w:t>
      </w:r>
      <w:r>
        <w:rPr>
          <w:rFonts w:hint="default" w:ascii="Times New Roman" w:hAnsi="Times New Roman" w:eastAsia="宋体" w:cs="Times New Roman"/>
          <w:color w:val="auto"/>
          <w:sz w:val="24"/>
          <w:szCs w:val="24"/>
          <w:highlight w:val="none"/>
          <w:lang w:val="en-US" w:eastAsia="zh-CN" w:bidi="ar-SA"/>
        </w:rPr>
        <w:t>（图4-4）。废石废渣堆积，形成堆积地貌，破坏植被，现状对地形地貌景观影响较严重。</w:t>
      </w:r>
    </w:p>
    <w:p>
      <w:pPr>
        <w:tabs>
          <w:tab w:val="left" w:pos="2189"/>
          <w:tab w:val="left" w:pos="2419"/>
        </w:tabs>
        <w:adjustRightInd/>
        <w:snapToGrid/>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9、办公生活区</w:t>
      </w:r>
    </w:p>
    <w:p>
      <w:pPr>
        <w:adjustRightInd/>
        <w:snapToGrid/>
        <w:spacing w:line="360" w:lineRule="auto"/>
        <w:ind w:firstLine="0" w:firstLine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办公生活区位于矿区北部，占地面积7146m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，包括办公室和工人宿舍等。建筑为砖混结构平房，高3m，建筑面积550m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。周边围墙长90m，宽0.3m，高3m，办公生活区处于平坦地势之上，周边未见人工切坡。场地建设，使地面硬化，破坏植被，现状对地形地貌景观影响较严重，见照片</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-1</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w:t>
      </w:r>
    </w:p>
    <w:p>
      <w:pPr>
        <w:adjustRightInd/>
        <w:snapToGrid/>
        <w:spacing w:line="36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drawing>
          <wp:inline distT="0" distB="0" distL="0" distR="0">
            <wp:extent cx="2052955" cy="3083560"/>
            <wp:effectExtent l="0" t="0" r="4445" b="10160"/>
            <wp:docPr id="43" name="图片 5" descr="C:\Users\Administrator\Desktop\坑废\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descr="C:\Users\Administrator\Desktop\坑废\废.JPG"/>
                    <pic:cNvPicPr>
                      <a:picLocks noChangeAspect="1" noChangeArrowheads="1"/>
                    </pic:cNvPicPr>
                  </pic:nvPicPr>
                  <pic:blipFill>
                    <a:blip r:embed="rId41" cstate="print"/>
                    <a:srcRect l="5914" t="4651" r="12721" b="5685"/>
                    <a:stretch>
                      <a:fillRect/>
                    </a:stretch>
                  </pic:blipFill>
                  <pic:spPr>
                    <a:xfrm>
                      <a:off x="0" y="0"/>
                      <a:ext cx="2052955" cy="3083560"/>
                    </a:xfrm>
                    <a:prstGeom prst="rect">
                      <a:avLst/>
                    </a:prstGeom>
                    <a:noFill/>
                    <a:ln w="9525">
                      <a:noFill/>
                      <a:miter lim="800000"/>
                      <a:headEnd/>
                      <a:tailEnd/>
                    </a:ln>
                  </pic:spPr>
                </pic:pic>
              </a:graphicData>
            </a:graphic>
          </wp:inline>
        </w:drawing>
      </w:r>
    </w:p>
    <w:p>
      <w:pPr>
        <w:adjustRightInd/>
        <w:snapToGrid/>
        <w:spacing w:line="36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图</w:t>
      </w:r>
      <w:r>
        <w:rPr>
          <w:rFonts w:hint="default" w:ascii="Times New Roman" w:hAnsi="Times New Roman"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-4  三角网法计算</w:t>
      </w:r>
      <w:r>
        <w:rPr>
          <w:rFonts w:hint="default" w:ascii="Times New Roman" w:hAnsi="Times New Roman" w:cs="Times New Roman"/>
          <w:b/>
          <w:bCs/>
          <w:color w:val="auto"/>
          <w:sz w:val="21"/>
          <w:szCs w:val="21"/>
          <w:highlight w:val="none"/>
        </w:rPr>
        <w:t>民采坑废石堆堆放量成果图</w:t>
      </w:r>
    </w:p>
    <w:bookmarkEnd w:id="17"/>
    <w:p>
      <w:pPr>
        <w:adjustRightInd w:val="0"/>
        <w:snapToGrid w:val="0"/>
        <w:spacing w:line="36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drawing>
          <wp:inline distT="0" distB="0" distL="0" distR="0">
            <wp:extent cx="3138170" cy="1251585"/>
            <wp:effectExtent l="0" t="0" r="5080" b="5715"/>
            <wp:docPr id="44" name="图片 26" descr="E:\宁城生鑫\宁城生鑫\办公生活区\IMG2021022710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 descr="E:\宁城生鑫\宁城生鑫\办公生活区\IMG20210227102928.jpg"/>
                    <pic:cNvPicPr>
                      <a:picLocks noChangeAspect="1" noChangeArrowheads="1"/>
                    </pic:cNvPicPr>
                  </pic:nvPicPr>
                  <pic:blipFill>
                    <a:blip r:embed="rId42" cstate="print"/>
                    <a:srcRect l="22196" t="38126" r="18320" b="30262"/>
                    <a:stretch>
                      <a:fillRect/>
                    </a:stretch>
                  </pic:blipFill>
                  <pic:spPr>
                    <a:xfrm>
                      <a:off x="0" y="0"/>
                      <a:ext cx="3138218" cy="1251681"/>
                    </a:xfrm>
                    <a:prstGeom prst="rect">
                      <a:avLst/>
                    </a:prstGeom>
                    <a:noFill/>
                    <a:ln w="9525">
                      <a:noFill/>
                      <a:miter lim="800000"/>
                      <a:headEnd/>
                      <a:tailEnd/>
                    </a:ln>
                  </pic:spPr>
                </pic:pic>
              </a:graphicData>
            </a:graphic>
          </wp:inline>
        </w:drawing>
      </w:r>
    </w:p>
    <w:p>
      <w:pPr>
        <w:adjustRightInd w:val="0"/>
        <w:snapToGrid w:val="0"/>
        <w:spacing w:line="36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照片</w:t>
      </w:r>
      <w:r>
        <w:rPr>
          <w:rFonts w:hint="default" w:ascii="Times New Roman" w:hAnsi="Times New Roman"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w:t>
      </w:r>
      <w:r>
        <w:rPr>
          <w:rFonts w:hint="default" w:ascii="Times New Roman" w:hAnsi="Times New Roman" w:cs="Times New Roman"/>
          <w:b/>
          <w:color w:val="auto"/>
          <w:sz w:val="21"/>
          <w:szCs w:val="21"/>
          <w:highlight w:val="none"/>
          <w:lang w:val="en-US" w:eastAsia="zh-CN"/>
        </w:rPr>
        <w:t>11</w:t>
      </w:r>
      <w:r>
        <w:rPr>
          <w:rFonts w:hint="default" w:ascii="Times New Roman" w:hAnsi="Times New Roman" w:cs="Times New Roman"/>
          <w:b/>
          <w:color w:val="auto"/>
          <w:sz w:val="21"/>
          <w:szCs w:val="21"/>
          <w:highlight w:val="none"/>
        </w:rPr>
        <w:t xml:space="preserve">  办公生活区</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10、矿区道路</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矿区道路连接各功能单元与乡村道路相接，现状已开拓道路总长1543m，路宽3～5m，占地面积13794m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位于排渣场一侧切坡长140m，高1.5～4m，坡角50°，坡面岩土体稳定。工业场地和1#尾矿库北部库坝之间切坡高小于2m，长252m，坡角50°，坡面岩土体稳定。运输机械碾压地表，地面硬化，植被破坏，现状对地形地貌景观影响较严重，见照片</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-1</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w:t>
      </w:r>
    </w:p>
    <w:p>
      <w:pPr>
        <w:adjustRightInd w:val="0"/>
        <w:snapToGrid w:val="0"/>
        <w:spacing w:line="36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drawing>
          <wp:inline distT="0" distB="0" distL="0" distR="0">
            <wp:extent cx="4380230" cy="2075815"/>
            <wp:effectExtent l="0" t="0" r="1270" b="635"/>
            <wp:docPr id="45" name="图片 27" descr="E:\宁城生鑫\宁城生鑫\道路切坡、堆坡\IMG2021022711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7" descr="E:\宁城生鑫\宁城生鑫\道路切坡、堆坡\IMG20210227112227.jpg"/>
                    <pic:cNvPicPr>
                      <a:picLocks noChangeAspect="1" noChangeArrowheads="1"/>
                    </pic:cNvPicPr>
                  </pic:nvPicPr>
                  <pic:blipFill>
                    <a:blip r:embed="rId43" cstate="print"/>
                    <a:srcRect t="18736" b="18083"/>
                    <a:stretch>
                      <a:fillRect/>
                    </a:stretch>
                  </pic:blipFill>
                  <pic:spPr>
                    <a:xfrm>
                      <a:off x="0" y="0"/>
                      <a:ext cx="4380423" cy="2076398"/>
                    </a:xfrm>
                    <a:prstGeom prst="rect">
                      <a:avLst/>
                    </a:prstGeom>
                    <a:noFill/>
                    <a:ln w="9525">
                      <a:noFill/>
                      <a:miter lim="800000"/>
                      <a:headEnd/>
                      <a:tailEnd/>
                    </a:ln>
                  </pic:spPr>
                </pic:pic>
              </a:graphicData>
            </a:graphic>
          </wp:inline>
        </w:drawing>
      </w:r>
    </w:p>
    <w:p>
      <w:pPr>
        <w:adjustRightInd w:val="0"/>
        <w:snapToGrid w:val="0"/>
        <w:spacing w:line="36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照片</w:t>
      </w:r>
      <w:r>
        <w:rPr>
          <w:rFonts w:hint="default" w:ascii="Times New Roman" w:hAnsi="Times New Roman"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-1</w:t>
      </w:r>
      <w:r>
        <w:rPr>
          <w:rFonts w:hint="default" w:ascii="Times New Roman" w:hAnsi="Times New Roman"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rPr>
        <w:t xml:space="preserve">  矿区道路（切坡路段）</w:t>
      </w:r>
    </w:p>
    <w:p>
      <w:pPr>
        <w:tabs>
          <w:tab w:val="left" w:pos="1300"/>
        </w:tabs>
        <w:spacing w:line="360" w:lineRule="auto"/>
        <w:ind w:firstLine="456" w:firstLineChars="200"/>
        <w:rPr>
          <w:rFonts w:hint="default" w:ascii="Times New Roman" w:hAnsi="Times New Roman" w:eastAsia="宋体" w:cs="Times New Roman"/>
          <w:sz w:val="24"/>
          <w:highlight w:val="none"/>
        </w:rPr>
      </w:pPr>
      <w:r>
        <w:rPr>
          <w:rFonts w:hint="default" w:ascii="Times New Roman" w:hAnsi="Times New Roman" w:cs="Times New Roman"/>
          <w:color w:val="auto"/>
          <w:spacing w:val="-6"/>
          <w:sz w:val="24"/>
          <w:highlight w:val="none"/>
        </w:rPr>
        <w:t>根据</w:t>
      </w:r>
      <w:r>
        <w:rPr>
          <w:rFonts w:hint="default" w:ascii="Times New Roman" w:hAnsi="Times New Roman" w:cs="Times New Roman"/>
          <w:color w:val="auto"/>
          <w:sz w:val="24"/>
          <w:highlight w:val="none"/>
        </w:rPr>
        <w:t>1:1万必斯营子幅[K50G061081]土地利用现状图，现状已损毁破坏的土地资源利用类型包括水浇地(2806</w:t>
      </w:r>
      <w:r>
        <w:rPr>
          <w:rFonts w:hint="default" w:ascii="Times New Roman" w:hAnsi="Times New Roman" w:cs="Times New Roman"/>
          <w:color w:val="auto"/>
          <w:sz w:val="28"/>
          <w:szCs w:val="28"/>
          <w:highlight w:val="none"/>
        </w:rPr>
        <w:t>m</w:t>
      </w:r>
      <w:r>
        <w:rPr>
          <w:rFonts w:hint="default" w:ascii="Times New Roman" w:hAnsi="Times New Roman" w:cs="Times New Roman"/>
          <w:color w:val="auto"/>
          <w:sz w:val="28"/>
          <w:szCs w:val="28"/>
          <w:highlight w:val="none"/>
          <w:vertAlign w:val="superscript"/>
        </w:rPr>
        <w:t>2</w:t>
      </w:r>
      <w:r>
        <w:rPr>
          <w:rFonts w:hint="default" w:ascii="Times New Roman" w:hAnsi="Times New Roman" w:cs="Times New Roman"/>
          <w:color w:val="auto"/>
          <w:sz w:val="24"/>
          <w:highlight w:val="none"/>
        </w:rPr>
        <w:t>)、有林地(35049</w:t>
      </w:r>
      <w:r>
        <w:rPr>
          <w:rFonts w:hint="default" w:ascii="Times New Roman" w:hAnsi="Times New Roman" w:cs="Times New Roman"/>
          <w:color w:val="auto"/>
          <w:sz w:val="28"/>
          <w:szCs w:val="28"/>
          <w:highlight w:val="none"/>
        </w:rPr>
        <w:t>m</w:t>
      </w:r>
      <w:r>
        <w:rPr>
          <w:rFonts w:hint="default" w:ascii="Times New Roman" w:hAnsi="Times New Roman" w:cs="Times New Roman"/>
          <w:color w:val="auto"/>
          <w:sz w:val="28"/>
          <w:szCs w:val="28"/>
          <w:highlight w:val="none"/>
          <w:vertAlign w:val="superscript"/>
        </w:rPr>
        <w:t>2</w:t>
      </w:r>
      <w:r>
        <w:rPr>
          <w:rFonts w:hint="default" w:ascii="Times New Roman" w:hAnsi="Times New Roman" w:cs="Times New Roman"/>
          <w:color w:val="auto"/>
          <w:sz w:val="28"/>
          <w:szCs w:val="28"/>
          <w:highlight w:val="none"/>
        </w:rPr>
        <w:t>)</w:t>
      </w:r>
      <w:r>
        <w:rPr>
          <w:rFonts w:hint="default" w:ascii="Times New Roman" w:hAnsi="Times New Roman" w:cs="Times New Roman"/>
          <w:bCs/>
          <w:color w:val="auto"/>
          <w:sz w:val="24"/>
          <w:highlight w:val="none"/>
        </w:rPr>
        <w:t>、</w:t>
      </w:r>
      <w:r>
        <w:rPr>
          <w:rFonts w:hint="default" w:ascii="Times New Roman" w:hAnsi="Times New Roman" w:cs="Times New Roman"/>
          <w:color w:val="auto"/>
          <w:sz w:val="24"/>
          <w:highlight w:val="none"/>
        </w:rPr>
        <w:t>灌木林地(5648</w:t>
      </w:r>
      <w:r>
        <w:rPr>
          <w:rFonts w:hint="default" w:ascii="Times New Roman" w:hAnsi="Times New Roman" w:cs="Times New Roman"/>
          <w:color w:val="auto"/>
          <w:sz w:val="28"/>
          <w:szCs w:val="28"/>
          <w:highlight w:val="none"/>
        </w:rPr>
        <w:t>m</w:t>
      </w:r>
      <w:r>
        <w:rPr>
          <w:rFonts w:hint="default" w:ascii="Times New Roman" w:hAnsi="Times New Roman" w:cs="Times New Roman"/>
          <w:color w:val="auto"/>
          <w:sz w:val="28"/>
          <w:szCs w:val="28"/>
          <w:highlight w:val="none"/>
          <w:vertAlign w:val="superscript"/>
        </w:rPr>
        <w:t>2</w:t>
      </w:r>
      <w:r>
        <w:rPr>
          <w:rFonts w:hint="default" w:ascii="Times New Roman" w:hAnsi="Times New Roman" w:cs="Times New Roman"/>
          <w:color w:val="auto"/>
          <w:sz w:val="28"/>
          <w:szCs w:val="28"/>
          <w:highlight w:val="none"/>
        </w:rPr>
        <w:t>)</w:t>
      </w:r>
      <w:r>
        <w:rPr>
          <w:rFonts w:hint="default" w:ascii="Times New Roman" w:hAnsi="Times New Roman" w:cs="Times New Roman"/>
          <w:bCs/>
          <w:color w:val="auto"/>
          <w:sz w:val="24"/>
          <w:highlight w:val="none"/>
        </w:rPr>
        <w:t>、</w:t>
      </w:r>
      <w:r>
        <w:rPr>
          <w:rFonts w:hint="default" w:ascii="Times New Roman" w:hAnsi="Times New Roman" w:cs="Times New Roman"/>
          <w:color w:val="auto"/>
          <w:sz w:val="24"/>
          <w:highlight w:val="none"/>
        </w:rPr>
        <w:t>其它草地(249</w:t>
      </w:r>
      <w:r>
        <w:rPr>
          <w:rFonts w:hint="default" w:ascii="Times New Roman" w:hAnsi="Times New Roman" w:cs="Times New Roman"/>
          <w:color w:val="auto"/>
          <w:sz w:val="28"/>
          <w:szCs w:val="28"/>
          <w:highlight w:val="none"/>
        </w:rPr>
        <w:t>m</w:t>
      </w:r>
      <w:r>
        <w:rPr>
          <w:rFonts w:hint="default" w:ascii="Times New Roman" w:hAnsi="Times New Roman" w:cs="Times New Roman"/>
          <w:color w:val="auto"/>
          <w:sz w:val="28"/>
          <w:szCs w:val="28"/>
          <w:highlight w:val="none"/>
          <w:vertAlign w:val="superscript"/>
        </w:rPr>
        <w:t>2</w:t>
      </w:r>
      <w:r>
        <w:rPr>
          <w:rFonts w:hint="default" w:ascii="Times New Roman" w:hAnsi="Times New Roman" w:cs="Times New Roman"/>
          <w:color w:val="auto"/>
          <w:sz w:val="28"/>
          <w:szCs w:val="28"/>
          <w:highlight w:val="none"/>
        </w:rPr>
        <w:t>)</w:t>
      </w:r>
      <w:r>
        <w:rPr>
          <w:rFonts w:hint="default" w:ascii="Times New Roman" w:hAnsi="Times New Roman" w:cs="Times New Roman"/>
          <w:bCs/>
          <w:color w:val="auto"/>
          <w:sz w:val="24"/>
          <w:highlight w:val="none"/>
        </w:rPr>
        <w:t>、</w:t>
      </w:r>
      <w:r>
        <w:rPr>
          <w:rFonts w:hint="default" w:ascii="Times New Roman" w:hAnsi="Times New Roman" w:cs="Times New Roman"/>
          <w:color w:val="auto"/>
          <w:sz w:val="24"/>
          <w:highlight w:val="none"/>
        </w:rPr>
        <w:t>采矿用地(10808</w:t>
      </w:r>
      <w:r>
        <w:rPr>
          <w:rFonts w:hint="default" w:ascii="Times New Roman" w:hAnsi="Times New Roman" w:cs="Times New Roman"/>
          <w:color w:val="auto"/>
          <w:sz w:val="28"/>
          <w:szCs w:val="28"/>
          <w:highlight w:val="none"/>
        </w:rPr>
        <w:t>m</w:t>
      </w:r>
      <w:r>
        <w:rPr>
          <w:rFonts w:hint="default" w:ascii="Times New Roman" w:hAnsi="Times New Roman" w:cs="Times New Roman"/>
          <w:color w:val="auto"/>
          <w:sz w:val="28"/>
          <w:szCs w:val="28"/>
          <w:highlight w:val="none"/>
          <w:vertAlign w:val="superscript"/>
        </w:rPr>
        <w:t>2</w:t>
      </w:r>
      <w:r>
        <w:rPr>
          <w:rFonts w:hint="default" w:ascii="Times New Roman" w:hAnsi="Times New Roman" w:cs="Times New Roman"/>
          <w:color w:val="auto"/>
          <w:sz w:val="28"/>
          <w:szCs w:val="28"/>
          <w:highlight w:val="none"/>
        </w:rPr>
        <w:t>)</w:t>
      </w:r>
      <w:r>
        <w:rPr>
          <w:rFonts w:hint="default" w:ascii="Times New Roman" w:hAnsi="Times New Roman" w:cs="Times New Roman"/>
          <w:bCs/>
          <w:color w:val="auto"/>
          <w:sz w:val="24"/>
          <w:highlight w:val="none"/>
        </w:rPr>
        <w:t>、</w:t>
      </w:r>
      <w:r>
        <w:rPr>
          <w:rFonts w:hint="default" w:ascii="Times New Roman" w:hAnsi="Times New Roman" w:cs="Times New Roman"/>
          <w:color w:val="auto"/>
          <w:sz w:val="24"/>
          <w:highlight w:val="none"/>
        </w:rPr>
        <w:t>裸地(</w:t>
      </w:r>
      <w:r>
        <w:rPr>
          <w:rFonts w:hint="default" w:ascii="Times New Roman" w:hAnsi="Times New Roman" w:cs="Times New Roman"/>
          <w:color w:val="auto"/>
          <w:sz w:val="24"/>
          <w:highlight w:val="none"/>
          <w:lang w:val="en-US" w:eastAsia="zh-CN"/>
        </w:rPr>
        <w:t>202211</w:t>
      </w:r>
      <w:r>
        <w:rPr>
          <w:rFonts w:hint="default" w:ascii="Times New Roman" w:hAnsi="Times New Roman" w:cs="Times New Roman"/>
          <w:color w:val="auto"/>
          <w:sz w:val="28"/>
          <w:szCs w:val="28"/>
          <w:highlight w:val="none"/>
        </w:rPr>
        <w:t>m</w:t>
      </w:r>
      <w:r>
        <w:rPr>
          <w:rFonts w:hint="default" w:ascii="Times New Roman" w:hAnsi="Times New Roman" w:cs="Times New Roman"/>
          <w:color w:val="auto"/>
          <w:sz w:val="28"/>
          <w:szCs w:val="28"/>
          <w:highlight w:val="none"/>
          <w:vertAlign w:val="superscript"/>
        </w:rPr>
        <w:t>2</w:t>
      </w:r>
      <w:r>
        <w:rPr>
          <w:rFonts w:hint="default" w:ascii="Times New Roman" w:hAnsi="Times New Roman" w:cs="Times New Roman"/>
          <w:color w:val="auto"/>
          <w:sz w:val="28"/>
          <w:szCs w:val="28"/>
          <w:highlight w:val="none"/>
        </w:rPr>
        <w:t>)</w:t>
      </w:r>
      <w:r>
        <w:rPr>
          <w:rFonts w:hint="default" w:ascii="Times New Roman" w:hAnsi="Times New Roman" w:cs="Times New Roman"/>
          <w:bCs/>
          <w:color w:val="auto"/>
          <w:sz w:val="24"/>
          <w:highlight w:val="none"/>
        </w:rPr>
        <w:t>，总面积</w:t>
      </w:r>
      <w:r>
        <w:rPr>
          <w:rFonts w:hint="default" w:ascii="Times New Roman" w:hAnsi="Times New Roman" w:cs="Times New Roman"/>
          <w:bCs/>
          <w:color w:val="auto"/>
          <w:sz w:val="24"/>
          <w:highlight w:val="none"/>
          <w:lang w:eastAsia="zh-CN"/>
        </w:rPr>
        <w:t>256769</w:t>
      </w:r>
      <w:r>
        <w:rPr>
          <w:rFonts w:hint="default" w:ascii="Times New Roman" w:hAnsi="Times New Roman" w:cs="Times New Roman"/>
          <w:color w:val="auto"/>
          <w:sz w:val="28"/>
          <w:szCs w:val="28"/>
          <w:highlight w:val="none"/>
        </w:rPr>
        <w:t>m</w:t>
      </w:r>
      <w:r>
        <w:rPr>
          <w:rFonts w:hint="default" w:ascii="Times New Roman" w:hAnsi="Times New Roman" w:cs="Times New Roman"/>
          <w:color w:val="auto"/>
          <w:sz w:val="28"/>
          <w:szCs w:val="28"/>
          <w:highlight w:val="none"/>
          <w:vertAlign w:val="superscript"/>
        </w:rPr>
        <w:t>2</w:t>
      </w:r>
      <w:r>
        <w:rPr>
          <w:rFonts w:hint="default" w:ascii="Times New Roman" w:hAnsi="Times New Roman" w:cs="Times New Roman"/>
          <w:color w:val="auto"/>
          <w:sz w:val="28"/>
          <w:szCs w:val="28"/>
          <w:highlight w:val="none"/>
        </w:rPr>
        <w:t>。</w:t>
      </w:r>
      <w:r>
        <w:rPr>
          <w:rFonts w:hint="default" w:ascii="Times New Roman" w:hAnsi="Times New Roman" w:cs="Times New Roman"/>
          <w:bCs/>
          <w:color w:val="auto"/>
          <w:sz w:val="24"/>
          <w:highlight w:val="none"/>
        </w:rPr>
        <w:t>土地权属归宁城县必斯营子乡七家村和忙农镇水泉村集体所有，</w:t>
      </w:r>
      <w:r>
        <w:rPr>
          <w:rFonts w:hint="default" w:ascii="Times New Roman" w:hAnsi="Times New Roman" w:cs="Times New Roman"/>
          <w:color w:val="auto"/>
          <w:sz w:val="24"/>
          <w:highlight w:val="none"/>
        </w:rPr>
        <w:t>界线明晰，无争议。现状条件下，地表各单元对土地损毁情况</w:t>
      </w:r>
      <w:r>
        <w:rPr>
          <w:rFonts w:hint="default" w:ascii="Times New Roman" w:hAnsi="Times New Roman" w:eastAsia="宋体" w:cs="Times New Roman"/>
          <w:sz w:val="24"/>
          <w:highlight w:val="none"/>
        </w:rPr>
        <w:t>见表</w:t>
      </w:r>
      <w:r>
        <w:rPr>
          <w:rFonts w:hint="default" w:ascii="Times New Roman" w:hAnsi="Times New Roman" w:cs="Times New Roman"/>
          <w:sz w:val="24"/>
          <w:highlight w:val="none"/>
          <w:lang w:val="en-US" w:eastAsia="zh-CN"/>
        </w:rPr>
        <w:t>4</w:t>
      </w:r>
      <w:r>
        <w:rPr>
          <w:rFonts w:hint="default" w:ascii="Times New Roman" w:hAnsi="Times New Roman" w:eastAsia="宋体" w:cs="Times New Roman"/>
          <w:sz w:val="24"/>
          <w:highlight w:val="none"/>
        </w:rPr>
        <w:t>-</w:t>
      </w:r>
      <w:r>
        <w:rPr>
          <w:rFonts w:hint="default" w:ascii="Times New Roman" w:hAnsi="Times New Roman" w:cs="Times New Roman"/>
          <w:sz w:val="24"/>
          <w:highlight w:val="none"/>
          <w:lang w:val="en-US" w:eastAsia="zh-CN"/>
        </w:rPr>
        <w:t>1</w:t>
      </w:r>
      <w:r>
        <w:rPr>
          <w:rFonts w:hint="default" w:ascii="Times New Roman" w:hAnsi="Times New Roman" w:eastAsia="宋体" w:cs="Times New Roman"/>
          <w:sz w:val="24"/>
          <w:highlight w:val="none"/>
        </w:rPr>
        <w:t>。</w:t>
      </w:r>
    </w:p>
    <w:p>
      <w:pPr>
        <w:ind w:firstLine="0" w:firstLineChars="0"/>
        <w:jc w:val="center"/>
        <w:rPr>
          <w:rStyle w:val="18"/>
          <w:rFonts w:hint="default" w:ascii="Times New Roman" w:hAnsi="Times New Roman" w:cs="Times New Roman"/>
          <w:sz w:val="21"/>
          <w:szCs w:val="21"/>
          <w:highlight w:val="none"/>
        </w:rPr>
      </w:pPr>
      <w:r>
        <w:rPr>
          <w:rStyle w:val="18"/>
          <w:rFonts w:hint="default" w:ascii="Times New Roman" w:hAnsi="Times New Roman" w:cs="Times New Roman"/>
          <w:sz w:val="21"/>
          <w:szCs w:val="21"/>
          <w:highlight w:val="none"/>
        </w:rPr>
        <w:t>表</w:t>
      </w:r>
      <w:r>
        <w:rPr>
          <w:rStyle w:val="18"/>
          <w:rFonts w:hint="default" w:ascii="Times New Roman" w:hAnsi="Times New Roman" w:eastAsia="黑体" w:cs="Times New Roman"/>
          <w:sz w:val="21"/>
          <w:szCs w:val="21"/>
          <w:highlight w:val="none"/>
          <w:lang w:val="en-US" w:eastAsia="zh-CN"/>
        </w:rPr>
        <w:t>4</w:t>
      </w:r>
      <w:r>
        <w:rPr>
          <w:rStyle w:val="18"/>
          <w:rFonts w:hint="default" w:ascii="Times New Roman" w:hAnsi="Times New Roman" w:cs="Times New Roman"/>
          <w:sz w:val="21"/>
          <w:szCs w:val="21"/>
          <w:highlight w:val="none"/>
        </w:rPr>
        <w:t>-</w:t>
      </w:r>
      <w:r>
        <w:rPr>
          <w:rStyle w:val="18"/>
          <w:rFonts w:hint="default" w:ascii="Times New Roman" w:hAnsi="Times New Roman" w:eastAsia="黑体" w:cs="Times New Roman"/>
          <w:sz w:val="21"/>
          <w:szCs w:val="21"/>
          <w:highlight w:val="none"/>
          <w:lang w:val="en-US" w:eastAsia="zh-CN"/>
        </w:rPr>
        <w:t>1</w:t>
      </w:r>
      <w:r>
        <w:rPr>
          <w:rStyle w:val="18"/>
          <w:rFonts w:hint="default" w:ascii="Times New Roman" w:hAnsi="Times New Roman" w:cs="Times New Roman"/>
          <w:sz w:val="21"/>
          <w:szCs w:val="21"/>
          <w:highlight w:val="none"/>
        </w:rPr>
        <w:t xml:space="preserve">  已损毁土地利用现状及权属表</w:t>
      </w:r>
    </w:p>
    <w:tbl>
      <w:tblPr>
        <w:tblStyle w:val="13"/>
        <w:tblW w:w="50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1131"/>
        <w:gridCol w:w="1276"/>
        <w:gridCol w:w="707"/>
        <w:gridCol w:w="1276"/>
        <w:gridCol w:w="693"/>
        <w:gridCol w:w="1265"/>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07" w:type="pct"/>
            <w:vMerge w:val="restart"/>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单元名称</w:t>
            </w:r>
          </w:p>
        </w:tc>
        <w:tc>
          <w:tcPr>
            <w:tcW w:w="1400" w:type="pct"/>
            <w:gridSpan w:val="2"/>
            <w:vMerge w:val="restart"/>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面积</w:t>
            </w:r>
          </w:p>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(m</w:t>
            </w:r>
            <w:r>
              <w:rPr>
                <w:rFonts w:hint="default" w:ascii="Times New Roman" w:hAnsi="Times New Roman" w:cs="Times New Roman"/>
                <w:color w:val="auto"/>
                <w:kern w:val="0"/>
                <w:sz w:val="21"/>
                <w:szCs w:val="21"/>
                <w:highlight w:val="none"/>
                <w:vertAlign w:val="superscript"/>
              </w:rPr>
              <w:t>2</w:t>
            </w:r>
            <w:r>
              <w:rPr>
                <w:rFonts w:hint="default" w:ascii="Times New Roman" w:hAnsi="Times New Roman" w:cs="Times New Roman"/>
                <w:color w:val="auto"/>
                <w:kern w:val="0"/>
                <w:sz w:val="21"/>
                <w:szCs w:val="21"/>
                <w:highlight w:val="none"/>
              </w:rPr>
              <w:t>)</w:t>
            </w:r>
          </w:p>
        </w:tc>
        <w:tc>
          <w:tcPr>
            <w:tcW w:w="2292" w:type="pct"/>
            <w:gridSpan w:val="4"/>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已损毁土地类型</w:t>
            </w:r>
          </w:p>
        </w:tc>
        <w:tc>
          <w:tcPr>
            <w:tcW w:w="399" w:type="pct"/>
            <w:vMerge w:val="restart"/>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土地权属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07" w:type="pct"/>
            <w:vMerge w:val="continue"/>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p>
        </w:tc>
        <w:tc>
          <w:tcPr>
            <w:tcW w:w="1400" w:type="pct"/>
            <w:gridSpan w:val="2"/>
            <w:vMerge w:val="continue"/>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p>
        </w:tc>
        <w:tc>
          <w:tcPr>
            <w:tcW w:w="1153" w:type="pct"/>
            <w:gridSpan w:val="2"/>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一级地类</w:t>
            </w:r>
          </w:p>
        </w:tc>
        <w:tc>
          <w:tcPr>
            <w:tcW w:w="1138" w:type="pct"/>
            <w:gridSpan w:val="2"/>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二级地类</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907" w:type="pct"/>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露天采场</w:t>
            </w:r>
          </w:p>
        </w:tc>
        <w:tc>
          <w:tcPr>
            <w:tcW w:w="658" w:type="pct"/>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92158</w:t>
            </w:r>
          </w:p>
        </w:tc>
        <w:tc>
          <w:tcPr>
            <w:tcW w:w="742"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1527</w:t>
            </w:r>
          </w:p>
        </w:tc>
        <w:tc>
          <w:tcPr>
            <w:tcW w:w="411" w:type="pct"/>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w:t>
            </w:r>
          </w:p>
        </w:tc>
        <w:tc>
          <w:tcPr>
            <w:tcW w:w="742" w:type="pct"/>
            <w:vMerge w:val="restart"/>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林地</w:t>
            </w:r>
          </w:p>
        </w:tc>
        <w:tc>
          <w:tcPr>
            <w:tcW w:w="403" w:type="pct"/>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031</w:t>
            </w:r>
          </w:p>
        </w:tc>
        <w:tc>
          <w:tcPr>
            <w:tcW w:w="735"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有林地</w:t>
            </w:r>
          </w:p>
        </w:tc>
        <w:tc>
          <w:tcPr>
            <w:tcW w:w="399" w:type="pct"/>
            <w:vMerge w:val="restart"/>
            <w:vAlign w:val="center"/>
          </w:tcPr>
          <w:p>
            <w:pPr>
              <w:adjustRightInd/>
              <w:snapToGrid/>
              <w:spacing w:line="240" w:lineRule="auto"/>
              <w:ind w:left="-72" w:leftChars="-30" w:right="-72" w:rightChars="-3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宁城县必斯营子乡七家</w:t>
            </w:r>
          </w:p>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和忙农镇水泉村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907"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658"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42"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800</w:t>
            </w:r>
          </w:p>
        </w:tc>
        <w:tc>
          <w:tcPr>
            <w:tcW w:w="411"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42" w:type="pct"/>
            <w:vMerge w:val="continue"/>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p>
        </w:tc>
        <w:tc>
          <w:tcPr>
            <w:tcW w:w="403" w:type="pct"/>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032</w:t>
            </w:r>
          </w:p>
        </w:tc>
        <w:tc>
          <w:tcPr>
            <w:tcW w:w="735"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灌木林地</w:t>
            </w:r>
          </w:p>
        </w:tc>
        <w:tc>
          <w:tcPr>
            <w:tcW w:w="399" w:type="pct"/>
            <w:vMerge w:val="continue"/>
            <w:vAlign w:val="center"/>
          </w:tcPr>
          <w:p>
            <w:pPr>
              <w:adjustRightInd/>
              <w:snapToGrid/>
              <w:spacing w:line="240" w:lineRule="auto"/>
              <w:ind w:left="-72" w:leftChars="-30" w:right="-72" w:rightChars="-30"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907"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658"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42"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89831</w:t>
            </w:r>
          </w:p>
        </w:tc>
        <w:tc>
          <w:tcPr>
            <w:tcW w:w="411"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742" w:type="pct"/>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其它土地</w:t>
            </w:r>
          </w:p>
        </w:tc>
        <w:tc>
          <w:tcPr>
            <w:tcW w:w="403" w:type="pct"/>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127</w:t>
            </w:r>
          </w:p>
        </w:tc>
        <w:tc>
          <w:tcPr>
            <w:tcW w:w="735"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裸地</w:t>
            </w:r>
          </w:p>
        </w:tc>
        <w:tc>
          <w:tcPr>
            <w:tcW w:w="399" w:type="pct"/>
            <w:vMerge w:val="continue"/>
            <w:vAlign w:val="center"/>
          </w:tcPr>
          <w:p>
            <w:pPr>
              <w:adjustRightInd/>
              <w:snapToGrid/>
              <w:spacing w:line="240" w:lineRule="auto"/>
              <w:ind w:left="-72" w:leftChars="-30" w:right="-72" w:rightChars="-30"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907" w:type="pct"/>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工业场地</w:t>
            </w:r>
          </w:p>
        </w:tc>
        <w:tc>
          <w:tcPr>
            <w:tcW w:w="658" w:type="pct"/>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36530</w:t>
            </w:r>
          </w:p>
        </w:tc>
        <w:tc>
          <w:tcPr>
            <w:tcW w:w="742"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1837</w:t>
            </w:r>
          </w:p>
        </w:tc>
        <w:tc>
          <w:tcPr>
            <w:tcW w:w="411"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c>
          <w:tcPr>
            <w:tcW w:w="742" w:type="pct"/>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耕地</w:t>
            </w:r>
          </w:p>
        </w:tc>
        <w:tc>
          <w:tcPr>
            <w:tcW w:w="403" w:type="pct"/>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012</w:t>
            </w:r>
          </w:p>
        </w:tc>
        <w:tc>
          <w:tcPr>
            <w:tcW w:w="735"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水浇地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907"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658"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42"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4045</w:t>
            </w:r>
          </w:p>
        </w:tc>
        <w:tc>
          <w:tcPr>
            <w:tcW w:w="411"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w:t>
            </w:r>
          </w:p>
        </w:tc>
        <w:tc>
          <w:tcPr>
            <w:tcW w:w="742" w:type="pct"/>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林地</w:t>
            </w:r>
          </w:p>
        </w:tc>
        <w:tc>
          <w:tcPr>
            <w:tcW w:w="403" w:type="pct"/>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031</w:t>
            </w:r>
          </w:p>
        </w:tc>
        <w:tc>
          <w:tcPr>
            <w:tcW w:w="735"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有林地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907"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658"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42"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249</w:t>
            </w:r>
          </w:p>
        </w:tc>
        <w:tc>
          <w:tcPr>
            <w:tcW w:w="411"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04</w:t>
            </w:r>
          </w:p>
        </w:tc>
        <w:tc>
          <w:tcPr>
            <w:tcW w:w="742" w:type="pct"/>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草地</w:t>
            </w:r>
          </w:p>
        </w:tc>
        <w:tc>
          <w:tcPr>
            <w:tcW w:w="403" w:type="pct"/>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043</w:t>
            </w:r>
          </w:p>
        </w:tc>
        <w:tc>
          <w:tcPr>
            <w:tcW w:w="735"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其它草地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907"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658"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42"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30399</w:t>
            </w:r>
          </w:p>
        </w:tc>
        <w:tc>
          <w:tcPr>
            <w:tcW w:w="411"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742" w:type="pct"/>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其它土地</w:t>
            </w:r>
          </w:p>
        </w:tc>
        <w:tc>
          <w:tcPr>
            <w:tcW w:w="403" w:type="pct"/>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127</w:t>
            </w:r>
          </w:p>
        </w:tc>
        <w:tc>
          <w:tcPr>
            <w:tcW w:w="735"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裸地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907" w:type="pct"/>
            <w:vMerge w:val="restart"/>
            <w:vAlign w:val="center"/>
          </w:tcPr>
          <w:p>
            <w:pPr>
              <w:widowControl/>
              <w:adjustRightInd/>
              <w:snapToGrid/>
              <w:spacing w:line="30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选矿厂</w:t>
            </w:r>
          </w:p>
        </w:tc>
        <w:tc>
          <w:tcPr>
            <w:tcW w:w="658" w:type="pct"/>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25550</w:t>
            </w:r>
          </w:p>
        </w:tc>
        <w:tc>
          <w:tcPr>
            <w:tcW w:w="742"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608</w:t>
            </w:r>
          </w:p>
        </w:tc>
        <w:tc>
          <w:tcPr>
            <w:tcW w:w="411"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c>
          <w:tcPr>
            <w:tcW w:w="742" w:type="pct"/>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耕地</w:t>
            </w:r>
          </w:p>
        </w:tc>
        <w:tc>
          <w:tcPr>
            <w:tcW w:w="403" w:type="pct"/>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012</w:t>
            </w:r>
          </w:p>
        </w:tc>
        <w:tc>
          <w:tcPr>
            <w:tcW w:w="735"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水浇地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907" w:type="pct"/>
            <w:vMerge w:val="continue"/>
            <w:vAlign w:val="center"/>
          </w:tcPr>
          <w:p>
            <w:pPr>
              <w:widowControl/>
              <w:adjustRightInd/>
              <w:snapToGrid/>
              <w:spacing w:line="300" w:lineRule="exact"/>
              <w:ind w:firstLine="0" w:firstLineChars="0"/>
              <w:jc w:val="center"/>
              <w:rPr>
                <w:rFonts w:hint="default" w:ascii="Times New Roman" w:hAnsi="Times New Roman" w:cs="Times New Roman"/>
                <w:color w:val="auto"/>
                <w:sz w:val="21"/>
                <w:szCs w:val="21"/>
                <w:highlight w:val="none"/>
              </w:rPr>
            </w:pPr>
          </w:p>
        </w:tc>
        <w:tc>
          <w:tcPr>
            <w:tcW w:w="658"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42"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5296</w:t>
            </w:r>
          </w:p>
        </w:tc>
        <w:tc>
          <w:tcPr>
            <w:tcW w:w="411"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742" w:type="pct"/>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工矿用地</w:t>
            </w:r>
          </w:p>
        </w:tc>
        <w:tc>
          <w:tcPr>
            <w:tcW w:w="403" w:type="pct"/>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204</w:t>
            </w:r>
          </w:p>
        </w:tc>
        <w:tc>
          <w:tcPr>
            <w:tcW w:w="735"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采矿用地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907" w:type="pct"/>
            <w:vMerge w:val="continue"/>
            <w:vAlign w:val="center"/>
          </w:tcPr>
          <w:p>
            <w:pPr>
              <w:widowControl/>
              <w:adjustRightInd/>
              <w:snapToGrid/>
              <w:spacing w:line="300" w:lineRule="exact"/>
              <w:ind w:firstLine="0" w:firstLineChars="0"/>
              <w:jc w:val="center"/>
              <w:rPr>
                <w:rFonts w:hint="default" w:ascii="Times New Roman" w:hAnsi="Times New Roman" w:cs="Times New Roman"/>
                <w:color w:val="auto"/>
                <w:sz w:val="21"/>
                <w:szCs w:val="21"/>
                <w:highlight w:val="none"/>
              </w:rPr>
            </w:pPr>
          </w:p>
        </w:tc>
        <w:tc>
          <w:tcPr>
            <w:tcW w:w="658"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42"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19646</w:t>
            </w:r>
          </w:p>
        </w:tc>
        <w:tc>
          <w:tcPr>
            <w:tcW w:w="411"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742" w:type="pct"/>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其它土地</w:t>
            </w:r>
          </w:p>
        </w:tc>
        <w:tc>
          <w:tcPr>
            <w:tcW w:w="403" w:type="pct"/>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127</w:t>
            </w:r>
          </w:p>
        </w:tc>
        <w:tc>
          <w:tcPr>
            <w:tcW w:w="735"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裸地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907" w:type="pct"/>
            <w:vMerge w:val="restart"/>
            <w:tcBorders>
              <w:top w:val="single" w:color="auto" w:sz="4" w:space="0"/>
            </w:tcBorders>
            <w:vAlign w:val="center"/>
          </w:tcPr>
          <w:p>
            <w:pPr>
              <w:widowControl/>
              <w:adjustRightInd/>
              <w:snapToGrid/>
              <w:spacing w:line="30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1#尾矿库</w:t>
            </w:r>
          </w:p>
        </w:tc>
        <w:tc>
          <w:tcPr>
            <w:tcW w:w="658" w:type="pct"/>
            <w:vMerge w:val="restart"/>
            <w:tcBorders>
              <w:top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48560</w:t>
            </w:r>
          </w:p>
        </w:tc>
        <w:tc>
          <w:tcPr>
            <w:tcW w:w="742" w:type="pct"/>
            <w:tcBorders>
              <w:top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7745</w:t>
            </w:r>
          </w:p>
        </w:tc>
        <w:tc>
          <w:tcPr>
            <w:tcW w:w="411" w:type="pct"/>
            <w:tcBorders>
              <w:top w:val="single" w:color="auto" w:sz="6" w:space="0"/>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w:t>
            </w:r>
          </w:p>
        </w:tc>
        <w:tc>
          <w:tcPr>
            <w:tcW w:w="742" w:type="pct"/>
            <w:tcBorders>
              <w:top w:val="single" w:color="auto" w:sz="6" w:space="0"/>
            </w:tcBorders>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林地</w:t>
            </w:r>
          </w:p>
        </w:tc>
        <w:tc>
          <w:tcPr>
            <w:tcW w:w="403" w:type="pct"/>
            <w:tcBorders>
              <w:top w:val="single" w:color="auto" w:sz="6" w:space="0"/>
            </w:tcBorders>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031</w:t>
            </w:r>
          </w:p>
        </w:tc>
        <w:tc>
          <w:tcPr>
            <w:tcW w:w="735" w:type="pct"/>
            <w:tcBorders>
              <w:top w:val="single" w:color="auto" w:sz="6" w:space="0"/>
            </w:tcBorders>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有林地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907" w:type="pct"/>
            <w:vMerge w:val="continue"/>
            <w:vAlign w:val="center"/>
          </w:tcPr>
          <w:p>
            <w:pPr>
              <w:adjustRightInd/>
              <w:snapToGrid/>
              <w:spacing w:line="300" w:lineRule="exact"/>
              <w:ind w:firstLine="0" w:firstLineChars="0"/>
              <w:jc w:val="center"/>
              <w:rPr>
                <w:rFonts w:hint="default" w:ascii="Times New Roman" w:hAnsi="Times New Roman" w:cs="Times New Roman"/>
                <w:color w:val="auto"/>
                <w:sz w:val="21"/>
                <w:szCs w:val="21"/>
                <w:highlight w:val="none"/>
              </w:rPr>
            </w:pPr>
          </w:p>
        </w:tc>
        <w:tc>
          <w:tcPr>
            <w:tcW w:w="658"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42" w:type="pct"/>
            <w:tcBorders>
              <w:top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40815</w:t>
            </w:r>
          </w:p>
        </w:tc>
        <w:tc>
          <w:tcPr>
            <w:tcW w:w="411" w:type="pct"/>
            <w:tcBorders>
              <w:top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742" w:type="pct"/>
            <w:tcBorders>
              <w:top w:val="single" w:color="auto" w:sz="4" w:space="0"/>
            </w:tcBorders>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其它土地</w:t>
            </w:r>
          </w:p>
        </w:tc>
        <w:tc>
          <w:tcPr>
            <w:tcW w:w="403" w:type="pct"/>
            <w:tcBorders>
              <w:top w:val="single" w:color="auto" w:sz="4" w:space="0"/>
            </w:tcBorders>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127</w:t>
            </w:r>
          </w:p>
        </w:tc>
        <w:tc>
          <w:tcPr>
            <w:tcW w:w="735" w:type="pct"/>
            <w:tcBorders>
              <w:top w:val="single" w:color="auto" w:sz="4" w:space="0"/>
            </w:tcBorders>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裸地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907" w:type="pct"/>
            <w:vMerge w:val="restart"/>
            <w:vAlign w:val="center"/>
          </w:tcPr>
          <w:p>
            <w:pPr>
              <w:adjustRightInd/>
              <w:snapToGrid/>
              <w:spacing w:line="30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2#尾矿库</w:t>
            </w:r>
          </w:p>
        </w:tc>
        <w:tc>
          <w:tcPr>
            <w:tcW w:w="658" w:type="pct"/>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6080</w:t>
            </w:r>
          </w:p>
        </w:tc>
        <w:tc>
          <w:tcPr>
            <w:tcW w:w="742" w:type="pct"/>
            <w:tcBorders>
              <w:top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4492</w:t>
            </w:r>
          </w:p>
        </w:tc>
        <w:tc>
          <w:tcPr>
            <w:tcW w:w="411" w:type="pct"/>
            <w:vMerge w:val="restart"/>
            <w:tcBorders>
              <w:top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w:t>
            </w:r>
          </w:p>
        </w:tc>
        <w:tc>
          <w:tcPr>
            <w:tcW w:w="742" w:type="pct"/>
            <w:vMerge w:val="restart"/>
            <w:tcBorders>
              <w:top w:val="single" w:color="auto" w:sz="4" w:space="0"/>
            </w:tcBorders>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林地</w:t>
            </w:r>
          </w:p>
        </w:tc>
        <w:tc>
          <w:tcPr>
            <w:tcW w:w="403" w:type="pct"/>
            <w:tcBorders>
              <w:top w:val="single" w:color="auto" w:sz="4" w:space="0"/>
            </w:tcBorders>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031</w:t>
            </w:r>
          </w:p>
        </w:tc>
        <w:tc>
          <w:tcPr>
            <w:tcW w:w="735" w:type="pct"/>
            <w:tcBorders>
              <w:top w:val="single" w:color="auto" w:sz="4" w:space="0"/>
            </w:tcBorders>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有林地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907" w:type="pct"/>
            <w:vMerge w:val="continue"/>
            <w:vAlign w:val="center"/>
          </w:tcPr>
          <w:p>
            <w:pPr>
              <w:adjustRightInd/>
              <w:snapToGrid/>
              <w:spacing w:line="300" w:lineRule="exact"/>
              <w:ind w:firstLine="0" w:firstLineChars="0"/>
              <w:jc w:val="center"/>
              <w:rPr>
                <w:rFonts w:hint="default" w:ascii="Times New Roman" w:hAnsi="Times New Roman" w:cs="Times New Roman"/>
                <w:color w:val="auto"/>
                <w:sz w:val="21"/>
                <w:szCs w:val="21"/>
                <w:highlight w:val="none"/>
              </w:rPr>
            </w:pPr>
          </w:p>
        </w:tc>
        <w:tc>
          <w:tcPr>
            <w:tcW w:w="658"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42" w:type="pct"/>
            <w:tcBorders>
              <w:top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1588</w:t>
            </w:r>
          </w:p>
        </w:tc>
        <w:tc>
          <w:tcPr>
            <w:tcW w:w="411"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42" w:type="pct"/>
            <w:vMerge w:val="continue"/>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p>
        </w:tc>
        <w:tc>
          <w:tcPr>
            <w:tcW w:w="403" w:type="pct"/>
            <w:tcBorders>
              <w:top w:val="single" w:color="auto" w:sz="4" w:space="0"/>
            </w:tcBorders>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032</w:t>
            </w:r>
          </w:p>
        </w:tc>
        <w:tc>
          <w:tcPr>
            <w:tcW w:w="735" w:type="pct"/>
            <w:tcBorders>
              <w:top w:val="single" w:color="auto" w:sz="4" w:space="0"/>
            </w:tcBorders>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灌木林地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907" w:type="pct"/>
            <w:vMerge w:val="restart"/>
            <w:tcBorders>
              <w:top w:val="single" w:color="auto" w:sz="6" w:space="0"/>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bookmarkStart w:id="18" w:name="_Hlk395793898"/>
            <w:r>
              <w:rPr>
                <w:rFonts w:hint="default" w:ascii="Times New Roman" w:hAnsi="Times New Roman" w:cs="Times New Roman"/>
                <w:color w:val="auto"/>
                <w:sz w:val="21"/>
                <w:szCs w:val="21"/>
                <w:highlight w:val="none"/>
              </w:rPr>
              <w:t>废石场</w:t>
            </w:r>
          </w:p>
        </w:tc>
        <w:tc>
          <w:tcPr>
            <w:tcW w:w="658" w:type="pct"/>
            <w:vMerge w:val="restart"/>
            <w:tcBorders>
              <w:top w:val="single" w:color="auto" w:sz="6" w:space="0"/>
            </w:tcBorders>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21220</w:t>
            </w:r>
          </w:p>
        </w:tc>
        <w:tc>
          <w:tcPr>
            <w:tcW w:w="742" w:type="pct"/>
            <w:tcBorders>
              <w:top w:val="single" w:color="auto" w:sz="6" w:space="0"/>
            </w:tcBorders>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11865</w:t>
            </w:r>
          </w:p>
        </w:tc>
        <w:tc>
          <w:tcPr>
            <w:tcW w:w="411" w:type="pct"/>
            <w:tcBorders>
              <w:top w:val="single" w:color="auto" w:sz="6" w:space="0"/>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w:t>
            </w:r>
          </w:p>
        </w:tc>
        <w:tc>
          <w:tcPr>
            <w:tcW w:w="742" w:type="pct"/>
            <w:tcBorders>
              <w:top w:val="single" w:color="auto" w:sz="6" w:space="0"/>
            </w:tcBorders>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林地</w:t>
            </w:r>
          </w:p>
        </w:tc>
        <w:tc>
          <w:tcPr>
            <w:tcW w:w="403" w:type="pct"/>
            <w:tcBorders>
              <w:top w:val="single" w:color="auto" w:sz="6" w:space="0"/>
            </w:tcBorders>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031</w:t>
            </w:r>
          </w:p>
        </w:tc>
        <w:tc>
          <w:tcPr>
            <w:tcW w:w="735" w:type="pct"/>
            <w:tcBorders>
              <w:top w:val="single" w:color="auto" w:sz="6" w:space="0"/>
            </w:tcBorders>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有林地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907"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658"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p>
        </w:tc>
        <w:tc>
          <w:tcPr>
            <w:tcW w:w="742" w:type="pct"/>
            <w:tcBorders>
              <w:top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9355</w:t>
            </w:r>
          </w:p>
        </w:tc>
        <w:tc>
          <w:tcPr>
            <w:tcW w:w="411"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742" w:type="pct"/>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其它土地</w:t>
            </w:r>
          </w:p>
        </w:tc>
        <w:tc>
          <w:tcPr>
            <w:tcW w:w="403" w:type="pct"/>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127</w:t>
            </w:r>
          </w:p>
        </w:tc>
        <w:tc>
          <w:tcPr>
            <w:tcW w:w="735"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裸地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07" w:type="pct"/>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民采坑</w:t>
            </w:r>
          </w:p>
        </w:tc>
        <w:tc>
          <w:tcPr>
            <w:tcW w:w="658" w:type="pct"/>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3636</w:t>
            </w:r>
          </w:p>
        </w:tc>
        <w:tc>
          <w:tcPr>
            <w:tcW w:w="742" w:type="pct"/>
            <w:tcBorders>
              <w:top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3166</w:t>
            </w:r>
          </w:p>
        </w:tc>
        <w:tc>
          <w:tcPr>
            <w:tcW w:w="411" w:type="pct"/>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w:t>
            </w:r>
          </w:p>
        </w:tc>
        <w:tc>
          <w:tcPr>
            <w:tcW w:w="742" w:type="pct"/>
            <w:vMerge w:val="restart"/>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林地</w:t>
            </w:r>
          </w:p>
        </w:tc>
        <w:tc>
          <w:tcPr>
            <w:tcW w:w="403" w:type="pct"/>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031</w:t>
            </w:r>
          </w:p>
        </w:tc>
        <w:tc>
          <w:tcPr>
            <w:tcW w:w="735"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有林地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907"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658"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p>
        </w:tc>
        <w:tc>
          <w:tcPr>
            <w:tcW w:w="742" w:type="pct"/>
            <w:tcBorders>
              <w:top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470</w:t>
            </w:r>
          </w:p>
        </w:tc>
        <w:tc>
          <w:tcPr>
            <w:tcW w:w="411"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42" w:type="pct"/>
            <w:vMerge w:val="continue"/>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p>
        </w:tc>
        <w:tc>
          <w:tcPr>
            <w:tcW w:w="403" w:type="pct"/>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032</w:t>
            </w:r>
          </w:p>
        </w:tc>
        <w:tc>
          <w:tcPr>
            <w:tcW w:w="735"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灌木林地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907" w:type="pct"/>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民采坑废石堆</w:t>
            </w:r>
          </w:p>
        </w:tc>
        <w:tc>
          <w:tcPr>
            <w:tcW w:w="658" w:type="pct"/>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2095</w:t>
            </w:r>
          </w:p>
        </w:tc>
        <w:tc>
          <w:tcPr>
            <w:tcW w:w="742" w:type="pct"/>
            <w:tcBorders>
              <w:top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1989</w:t>
            </w:r>
          </w:p>
        </w:tc>
        <w:tc>
          <w:tcPr>
            <w:tcW w:w="411" w:type="pct"/>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w:t>
            </w:r>
          </w:p>
        </w:tc>
        <w:tc>
          <w:tcPr>
            <w:tcW w:w="742" w:type="pct"/>
            <w:vMerge w:val="restart"/>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林地</w:t>
            </w:r>
          </w:p>
        </w:tc>
        <w:tc>
          <w:tcPr>
            <w:tcW w:w="403" w:type="pct"/>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031</w:t>
            </w:r>
          </w:p>
        </w:tc>
        <w:tc>
          <w:tcPr>
            <w:tcW w:w="735"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有林地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907"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658"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p>
        </w:tc>
        <w:tc>
          <w:tcPr>
            <w:tcW w:w="742" w:type="pct"/>
            <w:tcBorders>
              <w:top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106</w:t>
            </w:r>
          </w:p>
        </w:tc>
        <w:tc>
          <w:tcPr>
            <w:tcW w:w="411"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42" w:type="pct"/>
            <w:vMerge w:val="continue"/>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p>
        </w:tc>
        <w:tc>
          <w:tcPr>
            <w:tcW w:w="403" w:type="pct"/>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032</w:t>
            </w:r>
          </w:p>
        </w:tc>
        <w:tc>
          <w:tcPr>
            <w:tcW w:w="735"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灌木林地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bookmarkEnd w:id="1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907" w:type="pct"/>
            <w:vMerge w:val="restart"/>
            <w:tcBorders>
              <w:top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办公生活区</w:t>
            </w:r>
          </w:p>
        </w:tc>
        <w:tc>
          <w:tcPr>
            <w:tcW w:w="658" w:type="pct"/>
            <w:vMerge w:val="restart"/>
            <w:tcBorders>
              <w:top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7146</w:t>
            </w:r>
          </w:p>
        </w:tc>
        <w:tc>
          <w:tcPr>
            <w:tcW w:w="742" w:type="pct"/>
            <w:tcBorders>
              <w:top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361</w:t>
            </w:r>
          </w:p>
        </w:tc>
        <w:tc>
          <w:tcPr>
            <w:tcW w:w="411" w:type="pct"/>
            <w:tcBorders>
              <w:top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c>
          <w:tcPr>
            <w:tcW w:w="742" w:type="pct"/>
            <w:tcBorders>
              <w:top w:val="single" w:color="auto" w:sz="4" w:space="0"/>
            </w:tcBorders>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耕地</w:t>
            </w:r>
          </w:p>
        </w:tc>
        <w:tc>
          <w:tcPr>
            <w:tcW w:w="403" w:type="pct"/>
            <w:tcBorders>
              <w:top w:val="single" w:color="auto" w:sz="4" w:space="0"/>
            </w:tcBorders>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012</w:t>
            </w:r>
          </w:p>
        </w:tc>
        <w:tc>
          <w:tcPr>
            <w:tcW w:w="735" w:type="pct"/>
            <w:tcBorders>
              <w:top w:val="single" w:color="auto" w:sz="4" w:space="0"/>
            </w:tcBorders>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水浇地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907"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658"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p>
        </w:tc>
        <w:tc>
          <w:tcPr>
            <w:tcW w:w="742" w:type="pct"/>
            <w:tcBorders>
              <w:top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5512</w:t>
            </w:r>
          </w:p>
        </w:tc>
        <w:tc>
          <w:tcPr>
            <w:tcW w:w="411" w:type="pct"/>
            <w:tcBorders>
              <w:top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742" w:type="pct"/>
            <w:tcBorders>
              <w:top w:val="single" w:color="auto" w:sz="4" w:space="0"/>
            </w:tcBorders>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工矿用地</w:t>
            </w:r>
          </w:p>
        </w:tc>
        <w:tc>
          <w:tcPr>
            <w:tcW w:w="403" w:type="pct"/>
            <w:tcBorders>
              <w:top w:val="single" w:color="auto" w:sz="4" w:space="0"/>
            </w:tcBorders>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204</w:t>
            </w:r>
          </w:p>
        </w:tc>
        <w:tc>
          <w:tcPr>
            <w:tcW w:w="735" w:type="pct"/>
            <w:tcBorders>
              <w:top w:val="single" w:color="auto" w:sz="4" w:space="0"/>
            </w:tcBorders>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采矿用地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07"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658"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p>
        </w:tc>
        <w:tc>
          <w:tcPr>
            <w:tcW w:w="742" w:type="pct"/>
            <w:tcBorders>
              <w:top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1273</w:t>
            </w:r>
          </w:p>
        </w:tc>
        <w:tc>
          <w:tcPr>
            <w:tcW w:w="411" w:type="pct"/>
            <w:tcBorders>
              <w:top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742" w:type="pct"/>
            <w:tcBorders>
              <w:top w:val="single" w:color="auto" w:sz="4" w:space="0"/>
            </w:tcBorders>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其它土地</w:t>
            </w:r>
          </w:p>
        </w:tc>
        <w:tc>
          <w:tcPr>
            <w:tcW w:w="403" w:type="pct"/>
            <w:tcBorders>
              <w:top w:val="single" w:color="auto" w:sz="4" w:space="0"/>
            </w:tcBorders>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127</w:t>
            </w:r>
          </w:p>
        </w:tc>
        <w:tc>
          <w:tcPr>
            <w:tcW w:w="735" w:type="pct"/>
            <w:tcBorders>
              <w:top w:val="single" w:color="auto" w:sz="4" w:space="0"/>
            </w:tcBorders>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裸地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907" w:type="pct"/>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矿区道路</w:t>
            </w:r>
          </w:p>
        </w:tc>
        <w:tc>
          <w:tcPr>
            <w:tcW w:w="658" w:type="pct"/>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13794</w:t>
            </w:r>
          </w:p>
        </w:tc>
        <w:tc>
          <w:tcPr>
            <w:tcW w:w="742"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220</w:t>
            </w:r>
          </w:p>
        </w:tc>
        <w:tc>
          <w:tcPr>
            <w:tcW w:w="411" w:type="pct"/>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w:t>
            </w:r>
          </w:p>
        </w:tc>
        <w:tc>
          <w:tcPr>
            <w:tcW w:w="742" w:type="pct"/>
            <w:vMerge w:val="restart"/>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林地</w:t>
            </w:r>
          </w:p>
        </w:tc>
        <w:tc>
          <w:tcPr>
            <w:tcW w:w="403" w:type="pct"/>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031</w:t>
            </w:r>
          </w:p>
        </w:tc>
        <w:tc>
          <w:tcPr>
            <w:tcW w:w="735"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有林地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907"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658"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42"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2684</w:t>
            </w:r>
          </w:p>
        </w:tc>
        <w:tc>
          <w:tcPr>
            <w:tcW w:w="411"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42" w:type="pct"/>
            <w:vMerge w:val="continue"/>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p>
        </w:tc>
        <w:tc>
          <w:tcPr>
            <w:tcW w:w="403" w:type="pct"/>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032</w:t>
            </w:r>
          </w:p>
        </w:tc>
        <w:tc>
          <w:tcPr>
            <w:tcW w:w="735"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灌木林地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907"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658"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42"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10890</w:t>
            </w:r>
          </w:p>
        </w:tc>
        <w:tc>
          <w:tcPr>
            <w:tcW w:w="411"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742" w:type="pct"/>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其它土地</w:t>
            </w:r>
          </w:p>
        </w:tc>
        <w:tc>
          <w:tcPr>
            <w:tcW w:w="403" w:type="pct"/>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127</w:t>
            </w:r>
          </w:p>
        </w:tc>
        <w:tc>
          <w:tcPr>
            <w:tcW w:w="735"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裸地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907" w:type="pct"/>
            <w:vMerge w:val="restar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合计</w:t>
            </w:r>
          </w:p>
        </w:tc>
        <w:tc>
          <w:tcPr>
            <w:tcW w:w="658" w:type="pct"/>
            <w:vMerge w:val="restart"/>
            <w:vAlign w:val="center"/>
          </w:tcPr>
          <w:p>
            <w:pPr>
              <w:adjustRightInd/>
              <w:snapToGrid/>
              <w:spacing w:line="240" w:lineRule="auto"/>
              <w:ind w:left="-48" w:leftChars="-20" w:right="-48" w:rightChars="-20"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256769</w:t>
            </w:r>
          </w:p>
        </w:tc>
        <w:tc>
          <w:tcPr>
            <w:tcW w:w="742"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2806</w:t>
            </w:r>
          </w:p>
        </w:tc>
        <w:tc>
          <w:tcPr>
            <w:tcW w:w="411"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c>
          <w:tcPr>
            <w:tcW w:w="742" w:type="pct"/>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耕地</w:t>
            </w:r>
          </w:p>
        </w:tc>
        <w:tc>
          <w:tcPr>
            <w:tcW w:w="403" w:type="pct"/>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012</w:t>
            </w:r>
          </w:p>
        </w:tc>
        <w:tc>
          <w:tcPr>
            <w:tcW w:w="735"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水浇地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907" w:type="pct"/>
            <w:vMerge w:val="continue"/>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p>
        </w:tc>
        <w:tc>
          <w:tcPr>
            <w:tcW w:w="658" w:type="pct"/>
            <w:vMerge w:val="continue"/>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p>
        </w:tc>
        <w:tc>
          <w:tcPr>
            <w:tcW w:w="742"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35049</w:t>
            </w:r>
          </w:p>
        </w:tc>
        <w:tc>
          <w:tcPr>
            <w:tcW w:w="411" w:type="pct"/>
            <w:vMerge w:val="restar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w:t>
            </w:r>
          </w:p>
        </w:tc>
        <w:tc>
          <w:tcPr>
            <w:tcW w:w="742" w:type="pct"/>
            <w:vMerge w:val="restart"/>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林地</w:t>
            </w:r>
          </w:p>
        </w:tc>
        <w:tc>
          <w:tcPr>
            <w:tcW w:w="403" w:type="pct"/>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031</w:t>
            </w:r>
          </w:p>
        </w:tc>
        <w:tc>
          <w:tcPr>
            <w:tcW w:w="735"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有林地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907" w:type="pct"/>
            <w:vMerge w:val="continue"/>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p>
        </w:tc>
        <w:tc>
          <w:tcPr>
            <w:tcW w:w="658" w:type="pct"/>
            <w:vMerge w:val="continue"/>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p>
        </w:tc>
        <w:tc>
          <w:tcPr>
            <w:tcW w:w="742"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5648</w:t>
            </w:r>
          </w:p>
        </w:tc>
        <w:tc>
          <w:tcPr>
            <w:tcW w:w="411" w:type="pct"/>
            <w:vMerge w:val="continue"/>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742" w:type="pct"/>
            <w:vMerge w:val="continue"/>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p>
        </w:tc>
        <w:tc>
          <w:tcPr>
            <w:tcW w:w="403" w:type="pct"/>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032</w:t>
            </w:r>
          </w:p>
        </w:tc>
        <w:tc>
          <w:tcPr>
            <w:tcW w:w="735"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灌木林地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907" w:type="pct"/>
            <w:vMerge w:val="continue"/>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p>
        </w:tc>
        <w:tc>
          <w:tcPr>
            <w:tcW w:w="658" w:type="pct"/>
            <w:vMerge w:val="continue"/>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p>
        </w:tc>
        <w:tc>
          <w:tcPr>
            <w:tcW w:w="742"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249</w:t>
            </w:r>
          </w:p>
        </w:tc>
        <w:tc>
          <w:tcPr>
            <w:tcW w:w="411"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04</w:t>
            </w:r>
          </w:p>
        </w:tc>
        <w:tc>
          <w:tcPr>
            <w:tcW w:w="742" w:type="pct"/>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草地</w:t>
            </w:r>
          </w:p>
        </w:tc>
        <w:tc>
          <w:tcPr>
            <w:tcW w:w="403" w:type="pct"/>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043</w:t>
            </w:r>
          </w:p>
        </w:tc>
        <w:tc>
          <w:tcPr>
            <w:tcW w:w="735"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其它草地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907" w:type="pct"/>
            <w:vMerge w:val="continue"/>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p>
        </w:tc>
        <w:tc>
          <w:tcPr>
            <w:tcW w:w="658" w:type="pct"/>
            <w:vMerge w:val="continue"/>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p>
        </w:tc>
        <w:tc>
          <w:tcPr>
            <w:tcW w:w="742" w:type="pct"/>
            <w:vAlign w:val="center"/>
          </w:tcPr>
          <w:p>
            <w:pPr>
              <w:adjustRightInd/>
              <w:snapToGrid/>
              <w:spacing w:line="240" w:lineRule="auto"/>
              <w:ind w:left="-48" w:leftChars="-20" w:right="-48" w:rightChars="-2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202211</w:t>
            </w:r>
          </w:p>
        </w:tc>
        <w:tc>
          <w:tcPr>
            <w:tcW w:w="411"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742" w:type="pct"/>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其它土地</w:t>
            </w:r>
          </w:p>
        </w:tc>
        <w:tc>
          <w:tcPr>
            <w:tcW w:w="403" w:type="pct"/>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127</w:t>
            </w:r>
          </w:p>
        </w:tc>
        <w:tc>
          <w:tcPr>
            <w:tcW w:w="735"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裸地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907" w:type="pct"/>
            <w:vMerge w:val="continue"/>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p>
        </w:tc>
        <w:tc>
          <w:tcPr>
            <w:tcW w:w="658" w:type="pct"/>
            <w:vMerge w:val="continue"/>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p>
        </w:tc>
        <w:tc>
          <w:tcPr>
            <w:tcW w:w="742"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10808</w:t>
            </w:r>
          </w:p>
        </w:tc>
        <w:tc>
          <w:tcPr>
            <w:tcW w:w="411" w:type="pct"/>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742" w:type="pct"/>
            <w:vAlign w:val="center"/>
          </w:tcPr>
          <w:p>
            <w:pPr>
              <w:adjustRightInd/>
              <w:snapToGrid/>
              <w:spacing w:line="240" w:lineRule="auto"/>
              <w:ind w:left="-120" w:leftChars="-50" w:right="-120" w:rightChars="-5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工矿用地</w:t>
            </w:r>
          </w:p>
        </w:tc>
        <w:tc>
          <w:tcPr>
            <w:tcW w:w="403" w:type="pct"/>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204</w:t>
            </w:r>
          </w:p>
        </w:tc>
        <w:tc>
          <w:tcPr>
            <w:tcW w:w="735" w:type="pct"/>
            <w:vAlign w:val="center"/>
          </w:tcPr>
          <w:p>
            <w:pPr>
              <w:adjustRightInd/>
              <w:snapToGrid/>
              <w:spacing w:line="240" w:lineRule="auto"/>
              <w:ind w:left="-48" w:leftChars="-20" w:right="-48" w:rightChars="-2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采矿用地</w:t>
            </w:r>
          </w:p>
        </w:tc>
        <w:tc>
          <w:tcPr>
            <w:tcW w:w="399" w:type="pct"/>
            <w:vMerge w:val="continue"/>
            <w:vAlign w:val="center"/>
          </w:tcPr>
          <w:p>
            <w:pPr>
              <w:adjustRightInd/>
              <w:snapToGrid/>
              <w:spacing w:line="240" w:lineRule="auto"/>
              <w:ind w:firstLine="0" w:firstLineChars="0"/>
              <w:jc w:val="center"/>
              <w:rPr>
                <w:rFonts w:hint="default" w:ascii="Times New Roman" w:hAnsi="Times New Roman" w:cs="Times New Roman"/>
                <w:color w:val="auto"/>
                <w:sz w:val="21"/>
                <w:szCs w:val="21"/>
                <w:highlight w:val="none"/>
              </w:rPr>
            </w:pPr>
          </w:p>
        </w:tc>
      </w:tr>
    </w:tbl>
    <w:p>
      <w:pPr>
        <w:pStyle w:val="4"/>
        <w:pageBreakBefore w:val="0"/>
        <w:widowControl w:val="0"/>
        <w:kinsoku/>
        <w:wordWrap/>
        <w:overflowPunct/>
        <w:topLinePunct w:val="0"/>
        <w:bidi w:val="0"/>
        <w:adjustRightInd w:val="0"/>
        <w:snapToGrid w:val="0"/>
        <w:spacing w:before="0" w:beforeLines="0" w:after="0" w:afterLines="0" w:line="360" w:lineRule="auto"/>
        <w:jc w:val="left"/>
        <w:textAlignment w:val="auto"/>
        <w:rPr>
          <w:rFonts w:hint="default" w:ascii="Times New Roman" w:hAnsi="Times New Roman" w:cs="Times New Roman"/>
          <w:color w:val="auto"/>
          <w:sz w:val="30"/>
          <w:highlight w:val="none"/>
        </w:rPr>
      </w:pPr>
      <w:bookmarkStart w:id="19" w:name="_Toc32726"/>
      <w:r>
        <w:rPr>
          <w:rFonts w:hint="default" w:ascii="Times New Roman" w:hAnsi="Times New Roman" w:cs="Times New Roman"/>
          <w:color w:val="auto"/>
          <w:sz w:val="30"/>
          <w:highlight w:val="none"/>
        </w:rPr>
        <w:t>（二）矿山地质环境问题预测</w:t>
      </w:r>
      <w:bookmarkEnd w:id="19"/>
    </w:p>
    <w:p>
      <w:pPr>
        <w:pageBreakBefore w:val="0"/>
        <w:widowControl w:val="0"/>
        <w:kinsoku/>
        <w:wordWrap/>
        <w:overflowPunct/>
        <w:topLinePunct w:val="0"/>
        <w:autoSpaceDE w:val="0"/>
        <w:autoSpaceDN w:val="0"/>
        <w:bidi w:val="0"/>
        <w:adjustRightInd w:val="0"/>
        <w:snapToGrid w:val="0"/>
        <w:spacing w:line="360" w:lineRule="auto"/>
        <w:ind w:firstLine="560"/>
        <w:textAlignment w:val="auto"/>
        <w:rPr>
          <w:rFonts w:hint="default" w:ascii="Times New Roman" w:hAnsi="Times New Roman" w:cs="Times New Roman"/>
          <w:sz w:val="24"/>
          <w:szCs w:val="24"/>
          <w:highlight w:val="none"/>
          <w:lang w:val="zh-CN"/>
        </w:rPr>
      </w:pPr>
      <w:r>
        <w:rPr>
          <w:rFonts w:hint="default" w:ascii="Times New Roman" w:hAnsi="Times New Roman" w:cs="Times New Roman"/>
          <w:sz w:val="24"/>
          <w:szCs w:val="24"/>
          <w:highlight w:val="none"/>
        </w:rPr>
        <w:t>我矿</w:t>
      </w:r>
      <w:r>
        <w:rPr>
          <w:rFonts w:hint="eastAsia" w:cs="Times New Roman"/>
          <w:sz w:val="24"/>
          <w:szCs w:val="24"/>
          <w:highlight w:val="none"/>
          <w:lang w:val="en-US" w:eastAsia="zh-CN"/>
        </w:rPr>
        <w:t>根据《开发利用方案》设计，指定</w:t>
      </w:r>
      <w:r>
        <w:rPr>
          <w:rFonts w:hint="default" w:ascii="Times New Roman" w:hAnsi="Times New Roman" w:cs="Times New Roman"/>
          <w:sz w:val="24"/>
          <w:szCs w:val="24"/>
          <w:highlight w:val="none"/>
        </w:rPr>
        <w:t>本年度采掘计划，</w:t>
      </w:r>
      <w:r>
        <w:rPr>
          <w:rFonts w:hint="eastAsia" w:cs="Times New Roman"/>
          <w:sz w:val="24"/>
          <w:szCs w:val="24"/>
          <w:highlight w:val="none"/>
          <w:lang w:val="en-US" w:eastAsia="zh-CN"/>
        </w:rPr>
        <w:t>本年度</w:t>
      </w:r>
      <w:r>
        <w:rPr>
          <w:rFonts w:hint="default" w:ascii="Times New Roman" w:hAnsi="Times New Roman" w:cs="Times New Roman"/>
          <w:bCs/>
          <w:color w:val="auto"/>
          <w:sz w:val="24"/>
          <w:highlight w:val="none"/>
        </w:rPr>
        <w:t>设计开采640m、630m、620m</w:t>
      </w:r>
      <w:r>
        <w:rPr>
          <w:rFonts w:hint="default" w:ascii="Times New Roman" w:hAnsi="Times New Roman" w:cs="Times New Roman"/>
          <w:sz w:val="24"/>
          <w:szCs w:val="24"/>
          <w:highlight w:val="none"/>
          <w:lang w:val="zh-CN"/>
        </w:rPr>
        <w:t>矿体进行开采，计划年采出矿石约</w:t>
      </w:r>
      <w:r>
        <w:rPr>
          <w:rFonts w:hint="default" w:ascii="Times New Roman" w:hAnsi="Times New Roman" w:cs="Times New Roman"/>
          <w:sz w:val="24"/>
          <w:szCs w:val="24"/>
          <w:highlight w:val="none"/>
          <w:lang w:val="en-US" w:eastAsia="zh-CN"/>
        </w:rPr>
        <w:t>100</w:t>
      </w:r>
      <w:r>
        <w:rPr>
          <w:rFonts w:hint="default" w:ascii="Times New Roman" w:hAnsi="Times New Roman" w:cs="Times New Roman"/>
          <w:sz w:val="24"/>
          <w:szCs w:val="24"/>
          <w:highlight w:val="none"/>
          <w:lang w:val="zh-CN"/>
        </w:rPr>
        <w:t>×10</w:t>
      </w:r>
      <w:r>
        <w:rPr>
          <w:rFonts w:hint="default" w:ascii="Times New Roman" w:hAnsi="Times New Roman" w:cs="Times New Roman"/>
          <w:sz w:val="24"/>
          <w:szCs w:val="24"/>
          <w:highlight w:val="none"/>
          <w:vertAlign w:val="superscript"/>
          <w:lang w:val="zh-CN"/>
        </w:rPr>
        <w:t>4</w:t>
      </w:r>
      <w:r>
        <w:rPr>
          <w:rFonts w:hint="default" w:ascii="Times New Roman" w:hAnsi="Times New Roman" w:cs="Times New Roman"/>
          <w:sz w:val="24"/>
          <w:szCs w:val="24"/>
          <w:highlight w:val="none"/>
          <w:lang w:val="zh-CN"/>
        </w:rPr>
        <w:t>t。</w:t>
      </w:r>
    </w:p>
    <w:p>
      <w:pPr>
        <w:pageBreakBefore w:val="0"/>
        <w:widowControl w:val="0"/>
        <w:kinsoku/>
        <w:wordWrap/>
        <w:overflowPunct/>
        <w:topLinePunct w:val="0"/>
        <w:autoSpaceDE w:val="0"/>
        <w:autoSpaceDN w:val="0"/>
        <w:bidi w:val="0"/>
        <w:adjustRightInd w:val="0"/>
        <w:snapToGrid w:val="0"/>
        <w:spacing w:line="360" w:lineRule="auto"/>
        <w:ind w:firstLine="56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本年度内露天采场</w:t>
      </w:r>
      <w:r>
        <w:rPr>
          <w:rFonts w:hint="default" w:ascii="Times New Roman" w:hAnsi="Times New Roman" w:cs="Times New Roman"/>
          <w:sz w:val="24"/>
          <w:szCs w:val="24"/>
          <w:highlight w:val="none"/>
          <w:lang w:val="en-US" w:eastAsia="zh-CN"/>
        </w:rPr>
        <w:t>沿现有采掘面</w:t>
      </w:r>
      <w:r>
        <w:rPr>
          <w:rFonts w:hint="eastAsia" w:cs="Times New Roman"/>
          <w:sz w:val="24"/>
          <w:szCs w:val="24"/>
          <w:highlight w:val="none"/>
          <w:lang w:val="en-US" w:eastAsia="zh-CN"/>
        </w:rPr>
        <w:t>东</w:t>
      </w:r>
      <w:r>
        <w:rPr>
          <w:rFonts w:hint="default" w:ascii="Times New Roman" w:hAnsi="Times New Roman" w:cs="Times New Roman"/>
          <w:sz w:val="24"/>
          <w:szCs w:val="24"/>
          <w:highlight w:val="none"/>
          <w:lang w:val="en-US" w:eastAsia="zh-CN"/>
        </w:rPr>
        <w:t>推进，采坑</w:t>
      </w:r>
      <w:r>
        <w:rPr>
          <w:rFonts w:hint="default" w:ascii="Times New Roman" w:hAnsi="Times New Roman" w:cs="Times New Roman"/>
          <w:sz w:val="24"/>
          <w:szCs w:val="24"/>
          <w:highlight w:val="none"/>
        </w:rPr>
        <w:t>面积</w:t>
      </w:r>
      <w:r>
        <w:rPr>
          <w:rFonts w:hint="eastAsia" w:cs="Times New Roman"/>
          <w:sz w:val="24"/>
          <w:szCs w:val="24"/>
          <w:highlight w:val="none"/>
          <w:lang w:val="en-US" w:eastAsia="zh-CN"/>
        </w:rPr>
        <w:t>有部分</w:t>
      </w:r>
      <w:r>
        <w:rPr>
          <w:rFonts w:hint="default" w:ascii="Times New Roman" w:hAnsi="Times New Roman" w:cs="Times New Roman"/>
          <w:sz w:val="24"/>
          <w:szCs w:val="24"/>
          <w:highlight w:val="none"/>
        </w:rPr>
        <w:t>增加</w:t>
      </w:r>
      <w:r>
        <w:rPr>
          <w:rFonts w:hint="eastAsia" w:cs="Times New Roman"/>
          <w:sz w:val="24"/>
          <w:szCs w:val="24"/>
          <w:highlight w:val="none"/>
          <w:lang w:eastAsia="zh-CN"/>
        </w:rPr>
        <w:t>，</w:t>
      </w:r>
      <w:r>
        <w:rPr>
          <w:rFonts w:hint="eastAsia" w:cs="Times New Roman"/>
          <w:sz w:val="24"/>
          <w:szCs w:val="24"/>
          <w:highlight w:val="none"/>
          <w:lang w:val="en-US" w:eastAsia="zh-CN"/>
        </w:rPr>
        <w:t>增加面积为6373m</w:t>
      </w:r>
      <w:r>
        <w:rPr>
          <w:rFonts w:hint="eastAsia" w:cs="Times New Roman"/>
          <w:sz w:val="24"/>
          <w:szCs w:val="24"/>
          <w:highlight w:val="none"/>
          <w:vertAlign w:val="superscript"/>
          <w:lang w:val="en-US" w:eastAsia="zh-CN"/>
        </w:rPr>
        <w:t>2</w:t>
      </w:r>
      <w:r>
        <w:rPr>
          <w:rFonts w:hint="eastAsia" w:cs="Times New Roman"/>
          <w:sz w:val="24"/>
          <w:szCs w:val="24"/>
          <w:highlight w:val="none"/>
          <w:lang w:val="en-US" w:eastAsia="zh-CN"/>
        </w:rPr>
        <w:t>，其他场地与现状保持一致。</w:t>
      </w:r>
    </w:p>
    <w:p>
      <w:pPr>
        <w:widowControl/>
        <w:adjustRightInd w:val="0"/>
        <w:snapToGrid w:val="0"/>
        <w:spacing w:line="360" w:lineRule="auto"/>
        <w:ind w:firstLine="480" w:firstLineChars="200"/>
        <w:jc w:val="left"/>
        <w:rPr>
          <w:rFonts w:hint="default" w:ascii="Times New Roman" w:hAnsi="Times New Roman" w:cs="Times New Roman"/>
          <w:color w:val="000000"/>
          <w:sz w:val="24"/>
          <w:highlight w:val="none"/>
        </w:rPr>
      </w:pPr>
      <w:r>
        <w:rPr>
          <w:rFonts w:hint="default" w:ascii="Times New Roman" w:hAnsi="Times New Roman" w:cs="Times New Roman"/>
          <w:sz w:val="24"/>
          <w:highlight w:val="none"/>
        </w:rPr>
        <w:t>根据L50G085080土地利用现状图，矿山</w:t>
      </w:r>
      <w:r>
        <w:rPr>
          <w:rFonts w:hint="eastAsia" w:cs="Times New Roman"/>
          <w:sz w:val="24"/>
          <w:highlight w:val="none"/>
          <w:lang w:val="en-US" w:eastAsia="zh-CN"/>
        </w:rPr>
        <w:t>增加的场地</w:t>
      </w:r>
      <w:r>
        <w:rPr>
          <w:rFonts w:hint="default" w:ascii="Times New Roman" w:hAnsi="Times New Roman" w:cs="Times New Roman"/>
          <w:sz w:val="24"/>
          <w:highlight w:val="none"/>
        </w:rPr>
        <w:t>土地利用类型</w:t>
      </w:r>
      <w:r>
        <w:rPr>
          <w:rFonts w:hint="eastAsia" w:cs="Times New Roman"/>
          <w:sz w:val="24"/>
          <w:highlight w:val="none"/>
          <w:lang w:val="en-US" w:eastAsia="zh-CN"/>
        </w:rPr>
        <w:t>有林地、</w:t>
      </w:r>
      <w:r>
        <w:rPr>
          <w:rFonts w:hint="default" w:ascii="Times New Roman" w:hAnsi="Times New Roman" w:cs="Times New Roman"/>
          <w:sz w:val="24"/>
          <w:highlight w:val="none"/>
        </w:rPr>
        <w:t>灌木林地、</w:t>
      </w:r>
      <w:r>
        <w:rPr>
          <w:rFonts w:hint="eastAsia" w:cs="Times New Roman"/>
          <w:sz w:val="24"/>
          <w:highlight w:val="none"/>
          <w:lang w:val="en-US" w:eastAsia="zh-CN"/>
        </w:rPr>
        <w:t>采矿用地</w:t>
      </w:r>
      <w:r>
        <w:rPr>
          <w:rFonts w:hint="default" w:ascii="Times New Roman" w:hAnsi="Times New Roman" w:cs="Times New Roman"/>
          <w:sz w:val="24"/>
          <w:highlight w:val="none"/>
        </w:rPr>
        <w:t>。矿业活动影响的区域为露天采场以及矿区道路，</w:t>
      </w:r>
      <w:r>
        <w:rPr>
          <w:rFonts w:hint="default" w:ascii="Times New Roman" w:hAnsi="Times New Roman" w:cs="Times New Roman"/>
          <w:color w:val="000000"/>
          <w:sz w:val="24"/>
          <w:highlight w:val="none"/>
        </w:rPr>
        <w:t>土地权属巴林左旗白音诺尔镇乃林坝嘎查，土地权属明确，无争议，具体见表4-</w:t>
      </w:r>
      <w:r>
        <w:rPr>
          <w:rFonts w:hint="eastAsia" w:cs="Times New Roman"/>
          <w:color w:val="000000"/>
          <w:sz w:val="24"/>
          <w:highlight w:val="none"/>
          <w:lang w:val="en-US" w:eastAsia="zh-CN"/>
        </w:rPr>
        <w:t>2</w:t>
      </w:r>
      <w:r>
        <w:rPr>
          <w:rFonts w:hint="default" w:ascii="Times New Roman" w:hAnsi="Times New Roman" w:cs="Times New Roman"/>
          <w:color w:val="000000"/>
          <w:sz w:val="24"/>
          <w:highlight w:val="none"/>
        </w:rPr>
        <w:t>。</w:t>
      </w:r>
    </w:p>
    <w:p>
      <w:pPr>
        <w:autoSpaceDE w:val="0"/>
        <w:autoSpaceDN w:val="0"/>
        <w:adjustRightInd w:val="0"/>
        <w:spacing w:line="360" w:lineRule="auto"/>
        <w:ind w:firstLine="560"/>
        <w:jc w:val="center"/>
        <w:rPr>
          <w:rFonts w:hint="default" w:ascii="Times New Roman" w:hAnsi="Times New Roman" w:eastAsia="黑体" w:cs="Times New Roman"/>
          <w:color w:val="000000"/>
          <w:sz w:val="24"/>
          <w:highlight w:val="none"/>
          <w:lang w:val="en-US" w:eastAsia="zh-CN"/>
        </w:rPr>
      </w:pPr>
      <w:r>
        <w:rPr>
          <w:rFonts w:hint="default" w:ascii="Times New Roman" w:hAnsi="Times New Roman" w:eastAsia="黑体" w:cs="Times New Roman"/>
          <w:color w:val="000000"/>
          <w:sz w:val="24"/>
          <w:highlight w:val="none"/>
          <w:lang w:val="en-US" w:eastAsia="zh-CN"/>
        </w:rPr>
        <w:t>表4-</w:t>
      </w:r>
      <w:r>
        <w:rPr>
          <w:rFonts w:hint="eastAsia" w:eastAsia="黑体" w:cs="Times New Roman"/>
          <w:color w:val="000000"/>
          <w:sz w:val="24"/>
          <w:highlight w:val="none"/>
          <w:lang w:val="en-US" w:eastAsia="zh-CN"/>
        </w:rPr>
        <w:t>2</w:t>
      </w:r>
      <w:r>
        <w:rPr>
          <w:rFonts w:hint="default" w:ascii="Times New Roman" w:hAnsi="Times New Roman" w:eastAsia="黑体" w:cs="Times New Roman"/>
          <w:color w:val="000000"/>
          <w:sz w:val="24"/>
          <w:highlight w:val="none"/>
          <w:lang w:val="en-US" w:eastAsia="zh-CN"/>
        </w:rPr>
        <w:t xml:space="preserve">    拟损毁场地</w:t>
      </w:r>
      <w:r>
        <w:rPr>
          <w:rFonts w:hint="eastAsia" w:eastAsia="黑体" w:cs="Times New Roman"/>
          <w:color w:val="000000"/>
          <w:sz w:val="24"/>
          <w:highlight w:val="none"/>
          <w:lang w:val="en-US" w:eastAsia="zh-CN"/>
        </w:rPr>
        <w:t>（新增采场）</w:t>
      </w:r>
      <w:r>
        <w:rPr>
          <w:rFonts w:hint="default" w:ascii="Times New Roman" w:hAnsi="Times New Roman" w:eastAsia="黑体" w:cs="Times New Roman"/>
          <w:color w:val="000000"/>
          <w:sz w:val="24"/>
          <w:highlight w:val="none"/>
          <w:lang w:val="en-US" w:eastAsia="zh-CN"/>
        </w:rPr>
        <w:t>土地利用</w:t>
      </w:r>
      <w:r>
        <w:rPr>
          <w:rFonts w:hint="eastAsia" w:eastAsia="黑体" w:cs="Times New Roman"/>
          <w:color w:val="000000"/>
          <w:sz w:val="24"/>
          <w:highlight w:val="none"/>
          <w:lang w:val="en-US" w:eastAsia="zh-CN"/>
        </w:rPr>
        <w:t>地类</w:t>
      </w:r>
    </w:p>
    <w:tbl>
      <w:tblPr>
        <w:tblStyle w:val="1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17"/>
        <w:gridCol w:w="1218"/>
        <w:gridCol w:w="1218"/>
        <w:gridCol w:w="1218"/>
        <w:gridCol w:w="1218"/>
        <w:gridCol w:w="1218"/>
        <w:gridCol w:w="12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场地名称</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面积</w:t>
            </w:r>
          </w:p>
        </w:tc>
        <w:tc>
          <w:tcPr>
            <w:tcW w:w="142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一级地类</w:t>
            </w:r>
          </w:p>
        </w:tc>
        <w:tc>
          <w:tcPr>
            <w:tcW w:w="142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二级地类</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新增采场</w:t>
            </w:r>
          </w:p>
        </w:tc>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6373</w:t>
            </w:r>
          </w:p>
        </w:tc>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3</w:t>
            </w:r>
          </w:p>
        </w:tc>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林地</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31</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有林地</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32</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灌木林地</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3441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工矿用地</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204</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采矿用地</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2293</w:t>
            </w:r>
          </w:p>
        </w:tc>
      </w:tr>
      <w:bookmarkEnd w:id="15"/>
    </w:tbl>
    <w:p>
      <w:pPr>
        <w:pStyle w:val="3"/>
        <w:spacing w:before="120" w:after="120" w:line="360" w:lineRule="auto"/>
        <w:rPr>
          <w:rFonts w:hint="default" w:ascii="Times New Roman" w:hAnsi="Times New Roman" w:cs="Times New Roman"/>
          <w:highlight w:val="none"/>
        </w:rPr>
      </w:pPr>
      <w:bookmarkStart w:id="20" w:name="_Toc15146"/>
      <w:r>
        <w:rPr>
          <w:rFonts w:hint="default" w:ascii="Times New Roman" w:hAnsi="Times New Roman" w:cs="Times New Roman"/>
          <w:sz w:val="36"/>
          <w:szCs w:val="36"/>
          <w:highlight w:val="none"/>
        </w:rPr>
        <w:t>五、矿山地质环境防治工程</w:t>
      </w:r>
      <w:bookmarkEnd w:id="20"/>
      <w:bookmarkStart w:id="21" w:name="_Toc362269332"/>
    </w:p>
    <w:p>
      <w:pPr>
        <w:pStyle w:val="4"/>
        <w:pageBreakBefore w:val="0"/>
        <w:kinsoku/>
        <w:wordWrap/>
        <w:overflowPunct/>
        <w:topLinePunct w:val="0"/>
        <w:autoSpaceDE/>
        <w:autoSpaceDN/>
        <w:bidi w:val="0"/>
        <w:spacing w:before="0" w:beforeLines="0" w:after="0" w:afterLines="0" w:line="360" w:lineRule="auto"/>
        <w:jc w:val="left"/>
        <w:textAlignment w:val="auto"/>
        <w:rPr>
          <w:rFonts w:hint="default" w:ascii="Times New Roman" w:hAnsi="Times New Roman" w:cs="Times New Roman"/>
          <w:color w:val="auto"/>
          <w:sz w:val="30"/>
          <w:highlight w:val="none"/>
        </w:rPr>
      </w:pPr>
      <w:bookmarkStart w:id="22" w:name="_Toc32614"/>
      <w:r>
        <w:rPr>
          <w:rFonts w:hint="default" w:ascii="Times New Roman" w:hAnsi="Times New Roman" w:cs="Times New Roman"/>
          <w:color w:val="auto"/>
          <w:sz w:val="30"/>
          <w:highlight w:val="none"/>
        </w:rPr>
        <w:t>（一）矿山地质环境治理区的确定</w:t>
      </w:r>
      <w:bookmarkEnd w:id="22"/>
    </w:p>
    <w:p>
      <w:pPr>
        <w:rPr>
          <w:rFonts w:hint="eastAsia"/>
          <w:highlight w:val="none"/>
          <w:lang w:val="en-US" w:eastAsia="zh-CN"/>
        </w:rPr>
      </w:pPr>
      <w:r>
        <w:rPr>
          <w:rFonts w:hint="eastAsia"/>
          <w:highlight w:val="none"/>
          <w:lang w:val="en-US" w:eastAsia="zh-CN"/>
        </w:rPr>
        <w:t>矿山现状存在矿山地质环境问题的场地主要为露天采场、工业场地、选矿厂、1#尾矿库、2#尾矿库、废石场、民采坑、民采坑废石堆、办公生活区、矿区道路。根据我矿山实际生产情况及2021年编制的《综合治理方案》设计治理内容，本年度设计治理的场地主要为对露天采场进行危岩体清理。本年度治理场地拐点坐标见下表：</w:t>
      </w:r>
    </w:p>
    <w:p>
      <w:pPr>
        <w:autoSpaceDE w:val="0"/>
        <w:autoSpaceDN w:val="0"/>
        <w:adjustRightInd w:val="0"/>
        <w:spacing w:line="360" w:lineRule="auto"/>
        <w:ind w:firstLine="560"/>
        <w:jc w:val="center"/>
        <w:rPr>
          <w:rFonts w:hint="default" w:ascii="Times New Roman" w:hAnsi="Times New Roman" w:eastAsia="黑体" w:cs="Times New Roman"/>
          <w:color w:val="000000"/>
          <w:sz w:val="24"/>
          <w:highlight w:val="none"/>
          <w:lang w:val="en-US" w:eastAsia="zh-CN"/>
        </w:rPr>
      </w:pPr>
      <w:r>
        <w:rPr>
          <w:rFonts w:hint="default" w:ascii="Times New Roman" w:hAnsi="Times New Roman" w:eastAsia="黑体" w:cs="Times New Roman"/>
          <w:color w:val="000000"/>
          <w:sz w:val="24"/>
          <w:highlight w:val="none"/>
          <w:lang w:val="en-US" w:eastAsia="zh-CN"/>
        </w:rPr>
        <w:t>表</w:t>
      </w:r>
      <w:r>
        <w:rPr>
          <w:rFonts w:hint="eastAsia" w:eastAsia="黑体" w:cs="Times New Roman"/>
          <w:color w:val="000000"/>
          <w:sz w:val="24"/>
          <w:highlight w:val="none"/>
          <w:lang w:val="en-US" w:eastAsia="zh-CN"/>
        </w:rPr>
        <w:t>5-1</w:t>
      </w:r>
      <w:r>
        <w:rPr>
          <w:rFonts w:hint="default" w:ascii="Times New Roman" w:hAnsi="Times New Roman" w:eastAsia="黑体" w:cs="Times New Roman"/>
          <w:color w:val="000000"/>
          <w:sz w:val="24"/>
          <w:highlight w:val="none"/>
          <w:lang w:val="en-US" w:eastAsia="zh-CN"/>
        </w:rPr>
        <w:t xml:space="preserve">    </w:t>
      </w:r>
      <w:r>
        <w:rPr>
          <w:rFonts w:hint="eastAsia" w:eastAsia="黑体" w:cs="Times New Roman"/>
          <w:color w:val="000000"/>
          <w:sz w:val="24"/>
          <w:highlight w:val="none"/>
          <w:lang w:val="en-US" w:eastAsia="zh-CN"/>
        </w:rPr>
        <w:t>本年度治理场地拐点坐标表</w:t>
      </w:r>
    </w:p>
    <w:tbl>
      <w:tblPr>
        <w:tblStyle w:val="1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15"/>
        <w:gridCol w:w="732"/>
        <w:gridCol w:w="1401"/>
        <w:gridCol w:w="1522"/>
        <w:gridCol w:w="732"/>
        <w:gridCol w:w="1401"/>
        <w:gridCol w:w="1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治理区</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编号</w:t>
            </w:r>
          </w:p>
        </w:tc>
        <w:tc>
          <w:tcPr>
            <w:tcW w:w="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X</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Y</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编号</w:t>
            </w:r>
          </w:p>
        </w:tc>
        <w:tc>
          <w:tcPr>
            <w:tcW w:w="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X</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露天采场</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4595990.62 </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40420361.66 </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w:t>
            </w:r>
          </w:p>
        </w:tc>
        <w:tc>
          <w:tcPr>
            <w:tcW w:w="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4595639.01 </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40420393.21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4595999.87 </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40420395.01 </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w:t>
            </w:r>
          </w:p>
        </w:tc>
        <w:tc>
          <w:tcPr>
            <w:tcW w:w="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4595597.15 </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40420339.83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4595976.66 </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40420447.09 </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4595635.95 </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40420335.25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4596007.26 </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40420506.85 </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w:t>
            </w:r>
          </w:p>
        </w:tc>
        <w:tc>
          <w:tcPr>
            <w:tcW w:w="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4595680.11 </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40420282.13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4595922.21 </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40420503.39 </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17</w:t>
            </w:r>
          </w:p>
        </w:tc>
        <w:tc>
          <w:tcPr>
            <w:tcW w:w="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4595734.41 </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40420301.59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4595795.01 </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40420597.54 </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w:t>
            </w:r>
          </w:p>
        </w:tc>
        <w:tc>
          <w:tcPr>
            <w:tcW w:w="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4595805.99 </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40420266.68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w:t>
            </w:r>
          </w:p>
        </w:tc>
        <w:tc>
          <w:tcPr>
            <w:tcW w:w="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4595731.79 </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40420635.88 </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19</w:t>
            </w:r>
          </w:p>
        </w:tc>
        <w:tc>
          <w:tcPr>
            <w:tcW w:w="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4595806.18 </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40420266.43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4595578.29 </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40420594.85 </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4595824.93 </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40420255.32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w:t>
            </w:r>
          </w:p>
        </w:tc>
        <w:tc>
          <w:tcPr>
            <w:tcW w:w="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4595546.59 </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40420541.91 </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21</w:t>
            </w:r>
          </w:p>
        </w:tc>
        <w:tc>
          <w:tcPr>
            <w:tcW w:w="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4595867.65 </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40420283.23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4595590.39 </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40420492.15 </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w:t>
            </w:r>
          </w:p>
        </w:tc>
        <w:tc>
          <w:tcPr>
            <w:tcW w:w="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4595895.97 </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40420293.60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w:t>
            </w:r>
          </w:p>
        </w:tc>
        <w:tc>
          <w:tcPr>
            <w:tcW w:w="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4595563.09 </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40420452.73 </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23</w:t>
            </w:r>
          </w:p>
        </w:tc>
        <w:tc>
          <w:tcPr>
            <w:tcW w:w="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4595924.13 </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40420344.12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p>
        </w:tc>
        <w:tc>
          <w:tcPr>
            <w:tcW w:w="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4595480.81 </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40420460.51 </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eastAsia" w:ascii="Times New Roman" w:hAnsi="Times New Roman" w:cs="Times New Roman"/>
                <w:color w:val="auto"/>
                <w:sz w:val="21"/>
                <w:szCs w:val="21"/>
                <w:highlight w:val="none"/>
                <w:lang w:val="en-US" w:eastAsia="zh-CN"/>
              </w:rPr>
            </w:pPr>
          </w:p>
        </w:tc>
        <w:tc>
          <w:tcPr>
            <w:tcW w:w="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p>
        </w:tc>
      </w:tr>
    </w:tbl>
    <w:p>
      <w:pPr>
        <w:pStyle w:val="4"/>
        <w:spacing w:before="240" w:beforeLines="100" w:after="120" w:line="360" w:lineRule="auto"/>
        <w:jc w:val="left"/>
        <w:rPr>
          <w:rFonts w:hint="default" w:ascii="Times New Roman" w:hAnsi="Times New Roman" w:cs="Times New Roman"/>
          <w:color w:val="auto"/>
          <w:sz w:val="30"/>
          <w:highlight w:val="none"/>
        </w:rPr>
      </w:pPr>
      <w:bookmarkStart w:id="23" w:name="_Toc12985"/>
      <w:r>
        <w:rPr>
          <w:rFonts w:hint="default" w:ascii="Times New Roman" w:hAnsi="Times New Roman" w:cs="Times New Roman"/>
          <w:color w:val="auto"/>
          <w:sz w:val="30"/>
          <w:highlight w:val="none"/>
        </w:rPr>
        <w:t>（二）矿山地质环境治理工程</w:t>
      </w:r>
      <w:bookmarkEnd w:id="23"/>
    </w:p>
    <w:p>
      <w:pPr>
        <w:ind w:firstLine="48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1、露天采场</w:t>
      </w:r>
    </w:p>
    <w:p>
      <w:pPr>
        <w:ind w:firstLine="48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1</w:t>
      </w:r>
      <w:r>
        <w:rPr>
          <w:rFonts w:hint="default" w:ascii="Times New Roman" w:hAnsi="Times New Roman" w:cs="Times New Roman"/>
          <w:highlight w:val="none"/>
          <w:lang w:eastAsia="zh-CN"/>
        </w:rPr>
        <w:t>）</w:t>
      </w:r>
      <w:r>
        <w:rPr>
          <w:rFonts w:hint="eastAsia" w:cs="Times New Roman"/>
          <w:highlight w:val="none"/>
          <w:lang w:val="en-US" w:eastAsia="zh-CN"/>
        </w:rPr>
        <w:t>危岩体清理</w:t>
      </w:r>
    </w:p>
    <w:p>
      <w:pPr>
        <w:spacing w:line="360" w:lineRule="auto"/>
        <w:ind w:firstLine="480"/>
        <w:rPr>
          <w:rFonts w:hint="default" w:ascii="Times New Roman" w:hAnsi="Times New Roman" w:cs="Times New Roman" w:eastAsiaTheme="minorEastAsia"/>
          <w:color w:val="auto"/>
          <w:sz w:val="24"/>
          <w:highlight w:val="none"/>
          <w:lang w:val="en-US" w:eastAsia="zh-CN"/>
        </w:rPr>
      </w:pPr>
      <w:r>
        <w:rPr>
          <w:rFonts w:hint="default" w:ascii="Times New Roman" w:hAnsi="Times New Roman" w:cs="Times New Roman" w:eastAsiaTheme="minorEastAsia"/>
          <w:color w:val="auto"/>
          <w:sz w:val="24"/>
          <w:highlight w:val="none"/>
        </w:rPr>
        <w:t>清除露天采场边坡风化较严重的危岩体。根据现状</w:t>
      </w:r>
      <w:r>
        <w:rPr>
          <w:rFonts w:hint="eastAsia" w:cs="Times New Roman" w:eastAsiaTheme="minorEastAsia"/>
          <w:color w:val="auto"/>
          <w:sz w:val="24"/>
          <w:highlight w:val="none"/>
          <w:lang w:val="en-US" w:eastAsia="zh-CN"/>
        </w:rPr>
        <w:t>采场情况</w:t>
      </w:r>
      <w:r>
        <w:rPr>
          <w:rFonts w:hint="default" w:ascii="Times New Roman" w:hAnsi="Times New Roman" w:cs="Times New Roman" w:eastAsiaTheme="minorEastAsia"/>
          <w:color w:val="auto"/>
          <w:sz w:val="24"/>
          <w:highlight w:val="none"/>
        </w:rPr>
        <w:t>，预计采场边坡每平米需清理危岩体0.2m</w:t>
      </w:r>
      <w:r>
        <w:rPr>
          <w:rFonts w:hint="default" w:ascii="Times New Roman" w:hAnsi="Times New Roman" w:cs="Times New Roman" w:eastAsiaTheme="minorEastAsia"/>
          <w:color w:val="auto"/>
          <w:sz w:val="24"/>
          <w:highlight w:val="none"/>
          <w:vertAlign w:val="superscript"/>
        </w:rPr>
        <w:t>3</w:t>
      </w:r>
      <w:r>
        <w:rPr>
          <w:rFonts w:hint="default" w:ascii="Times New Roman" w:hAnsi="Times New Roman" w:cs="Times New Roman" w:eastAsiaTheme="minorEastAsia"/>
          <w:color w:val="auto"/>
          <w:sz w:val="24"/>
          <w:highlight w:val="none"/>
        </w:rPr>
        <w:t>，</w:t>
      </w:r>
      <w:r>
        <w:rPr>
          <w:rFonts w:hint="eastAsia" w:cs="Times New Roman" w:eastAsiaTheme="minorEastAsia"/>
          <w:color w:val="auto"/>
          <w:sz w:val="24"/>
          <w:highlight w:val="none"/>
          <w:lang w:val="en-US" w:eastAsia="zh-CN"/>
        </w:rPr>
        <w:t>需要清理危岩体的面积按照场地面积的30%计取，本年度</w:t>
      </w:r>
      <w:r>
        <w:rPr>
          <w:rFonts w:hint="default" w:ascii="Times New Roman" w:hAnsi="Times New Roman" w:cs="Times New Roman" w:eastAsiaTheme="minorEastAsia"/>
          <w:color w:val="auto"/>
          <w:sz w:val="24"/>
          <w:highlight w:val="none"/>
        </w:rPr>
        <w:t>需清除危岩体坡面面积</w:t>
      </w:r>
      <w:r>
        <w:rPr>
          <w:rFonts w:hint="eastAsia" w:cs="Times New Roman" w:eastAsiaTheme="minorEastAsia"/>
          <w:color w:val="auto"/>
          <w:sz w:val="24"/>
          <w:highlight w:val="none"/>
          <w:lang w:val="en-US" w:eastAsia="zh-CN"/>
        </w:rPr>
        <w:t>5531</w:t>
      </w:r>
      <w:r>
        <w:rPr>
          <w:rFonts w:hint="default" w:ascii="Times New Roman" w:hAnsi="Times New Roman" w:cs="Times New Roman" w:eastAsiaTheme="minorEastAsia"/>
          <w:color w:val="auto"/>
          <w:sz w:val="24"/>
          <w:highlight w:val="none"/>
        </w:rPr>
        <w:t>m</w:t>
      </w:r>
      <w:r>
        <w:rPr>
          <w:rFonts w:hint="default" w:ascii="Times New Roman" w:hAnsi="Times New Roman" w:cs="Times New Roman" w:eastAsiaTheme="minorEastAsia"/>
          <w:color w:val="auto"/>
          <w:sz w:val="24"/>
          <w:highlight w:val="none"/>
          <w:vertAlign w:val="superscript"/>
        </w:rPr>
        <w:t>3</w:t>
      </w:r>
      <w:r>
        <w:rPr>
          <w:rFonts w:hint="default" w:ascii="Times New Roman" w:hAnsi="Times New Roman" w:cs="Times New Roman" w:eastAsiaTheme="minorEastAsia"/>
          <w:color w:val="auto"/>
          <w:sz w:val="24"/>
          <w:highlight w:val="none"/>
        </w:rPr>
        <w:t>。</w:t>
      </w:r>
      <w:bookmarkStart w:id="39" w:name="_GoBack"/>
      <w:bookmarkEnd w:id="39"/>
    </w:p>
    <w:p>
      <w:pPr>
        <w:pStyle w:val="4"/>
        <w:spacing w:before="240" w:beforeLines="100" w:after="120" w:line="360" w:lineRule="auto"/>
        <w:jc w:val="left"/>
        <w:rPr>
          <w:rFonts w:hint="default" w:ascii="Times New Roman" w:hAnsi="Times New Roman" w:cs="Times New Roman"/>
          <w:color w:val="auto"/>
          <w:sz w:val="30"/>
          <w:highlight w:val="none"/>
        </w:rPr>
      </w:pPr>
      <w:bookmarkStart w:id="24" w:name="_Toc12448"/>
      <w:r>
        <w:rPr>
          <w:rFonts w:hint="default" w:ascii="Times New Roman" w:hAnsi="Times New Roman" w:cs="Times New Roman"/>
          <w:color w:val="auto"/>
          <w:sz w:val="30"/>
          <w:highlight w:val="none"/>
          <w:lang w:eastAsia="zh-CN"/>
        </w:rPr>
        <w:t>（</w:t>
      </w:r>
      <w:r>
        <w:rPr>
          <w:rFonts w:hint="default" w:ascii="Times New Roman" w:hAnsi="Times New Roman" w:cs="Times New Roman"/>
          <w:color w:val="auto"/>
          <w:sz w:val="30"/>
          <w:highlight w:val="none"/>
          <w:lang w:val="en-US" w:eastAsia="zh-CN"/>
        </w:rPr>
        <w:t>三</w:t>
      </w:r>
      <w:r>
        <w:rPr>
          <w:rFonts w:hint="default" w:ascii="Times New Roman" w:hAnsi="Times New Roman" w:cs="Times New Roman"/>
          <w:color w:val="auto"/>
          <w:sz w:val="30"/>
          <w:highlight w:val="none"/>
          <w:lang w:eastAsia="zh-CN"/>
        </w:rPr>
        <w:t>）</w:t>
      </w:r>
      <w:r>
        <w:rPr>
          <w:rFonts w:hint="default" w:ascii="Times New Roman" w:hAnsi="Times New Roman" w:cs="Times New Roman"/>
          <w:color w:val="auto"/>
          <w:sz w:val="30"/>
          <w:highlight w:val="none"/>
        </w:rPr>
        <w:t>矿山地质环境监测工程</w:t>
      </w:r>
      <w:bookmarkEnd w:id="24"/>
    </w:p>
    <w:p>
      <w:pPr>
        <w:widowControl w:val="0"/>
        <w:numPr>
          <w:ilvl w:val="0"/>
          <w:numId w:val="6"/>
        </w:numPr>
        <w:spacing w:line="360" w:lineRule="auto"/>
        <w:ind w:left="976" w:hanging="510" w:firstLineChars="0"/>
        <w:jc w:val="both"/>
        <w:rPr>
          <w:rFonts w:hint="default" w:ascii="Times New Roman" w:hAnsi="Times New Roman" w:eastAsia="宋体" w:cs="Times New Roman"/>
          <w:b/>
          <w:color w:val="auto"/>
          <w:spacing w:val="-4"/>
          <w:kern w:val="2"/>
          <w:sz w:val="24"/>
          <w:szCs w:val="20"/>
          <w:highlight w:val="none"/>
          <w:lang w:val="en-US" w:eastAsia="zh-CN" w:bidi="ar-SA"/>
        </w:rPr>
      </w:pPr>
      <w:r>
        <w:rPr>
          <w:rFonts w:hint="default" w:ascii="Times New Roman" w:hAnsi="Times New Roman" w:eastAsia="宋体" w:cs="Times New Roman"/>
          <w:b/>
          <w:color w:val="auto"/>
          <w:spacing w:val="-4"/>
          <w:kern w:val="2"/>
          <w:sz w:val="24"/>
          <w:szCs w:val="20"/>
          <w:highlight w:val="none"/>
          <w:lang w:val="en-US" w:eastAsia="zh-CN" w:bidi="ar-SA"/>
        </w:rPr>
        <w:t>地下水监测</w:t>
      </w:r>
    </w:p>
    <w:p>
      <w:pPr>
        <w:widowControl w:val="0"/>
        <w:adjustRightInd w:val="0"/>
        <w:spacing w:line="360" w:lineRule="auto"/>
        <w:ind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1、监测点的布设</w:t>
      </w:r>
    </w:p>
    <w:p>
      <w:pPr>
        <w:widowControl w:val="0"/>
        <w:adjustRightInd w:val="0"/>
        <w:spacing w:line="360" w:lineRule="auto"/>
        <w:ind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监测点布设在尾矿库排污口和下游农田机电井，共布设3个水质监测点，见表5-2。</w:t>
      </w:r>
    </w:p>
    <w:p>
      <w:pPr>
        <w:widowControl w:val="0"/>
        <w:adjustRightInd w:val="0"/>
        <w:spacing w:line="360" w:lineRule="auto"/>
        <w:ind w:firstLine="422" w:firstLineChars="20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rPr>
        <w:t>-</w:t>
      </w:r>
      <w:r>
        <w:rPr>
          <w:rFonts w:hint="default" w:ascii="Times New Roman" w:hAnsi="Times New Roman"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 xml:space="preserve">  水质监测点位坐标表（</w:t>
      </w:r>
      <w:r>
        <w:rPr>
          <w:rFonts w:hint="default" w:ascii="Times New Roman" w:hAnsi="Times New Roman" w:cs="Times New Roman"/>
          <w:b/>
          <w:color w:val="auto"/>
          <w:kern w:val="0"/>
          <w:sz w:val="21"/>
          <w:szCs w:val="21"/>
          <w:highlight w:val="none"/>
        </w:rPr>
        <w:t>2000国家大地坐标系）</w:t>
      </w:r>
    </w:p>
    <w:tbl>
      <w:tblPr>
        <w:tblStyle w:val="13"/>
        <w:tblW w:w="4998" w:type="pct"/>
        <w:jc w:val="center"/>
        <w:tblLayout w:type="autofit"/>
        <w:tblCellMar>
          <w:top w:w="0" w:type="dxa"/>
          <w:left w:w="108" w:type="dxa"/>
          <w:bottom w:w="0" w:type="dxa"/>
          <w:right w:w="108" w:type="dxa"/>
        </w:tblCellMar>
      </w:tblPr>
      <w:tblGrid>
        <w:gridCol w:w="2510"/>
        <w:gridCol w:w="2882"/>
        <w:gridCol w:w="3133"/>
      </w:tblGrid>
      <w:tr>
        <w:tblPrEx>
          <w:tblCellMar>
            <w:top w:w="0" w:type="dxa"/>
            <w:left w:w="108" w:type="dxa"/>
            <w:bottom w:w="0" w:type="dxa"/>
            <w:right w:w="108" w:type="dxa"/>
          </w:tblCellMar>
        </w:tblPrEx>
        <w:trPr>
          <w:trHeight w:val="454" w:hRule="atLeast"/>
          <w:jc w:val="center"/>
        </w:trPr>
        <w:tc>
          <w:tcPr>
            <w:tcW w:w="1472" w:type="pct"/>
            <w:tcBorders>
              <w:top w:val="single" w:color="auto" w:sz="4" w:space="0"/>
              <w:left w:val="single" w:color="auto" w:sz="4" w:space="0"/>
              <w:bottom w:val="single" w:color="auto" w:sz="8" w:space="0"/>
              <w:right w:val="single" w:color="auto" w:sz="8" w:space="0"/>
            </w:tcBorders>
            <w:vAlign w:val="center"/>
          </w:tcPr>
          <w:p>
            <w:pPr>
              <w:adjustRightInd/>
              <w:snapToGrid/>
              <w:spacing w:line="30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点位编号</w:t>
            </w:r>
          </w:p>
        </w:tc>
        <w:tc>
          <w:tcPr>
            <w:tcW w:w="1690" w:type="pct"/>
            <w:tcBorders>
              <w:top w:val="single" w:color="auto" w:sz="4" w:space="0"/>
              <w:left w:val="nil"/>
              <w:bottom w:val="single" w:color="auto" w:sz="8" w:space="0"/>
              <w:right w:val="single" w:color="auto" w:sz="8" w:space="0"/>
            </w:tcBorders>
            <w:vAlign w:val="center"/>
          </w:tcPr>
          <w:p>
            <w:pPr>
              <w:widowControl/>
              <w:adjustRightInd/>
              <w:snapToGrid/>
              <w:spacing w:line="30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X</w:t>
            </w:r>
          </w:p>
        </w:tc>
        <w:tc>
          <w:tcPr>
            <w:tcW w:w="1837" w:type="pct"/>
            <w:tcBorders>
              <w:top w:val="single" w:color="auto" w:sz="4" w:space="0"/>
              <w:left w:val="nil"/>
              <w:bottom w:val="single" w:color="auto" w:sz="8" w:space="0"/>
              <w:right w:val="single" w:color="auto" w:sz="8" w:space="0"/>
            </w:tcBorders>
            <w:vAlign w:val="center"/>
          </w:tcPr>
          <w:p>
            <w:pPr>
              <w:widowControl/>
              <w:adjustRightInd/>
              <w:snapToGrid/>
              <w:spacing w:line="30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Y</w:t>
            </w:r>
          </w:p>
        </w:tc>
      </w:tr>
      <w:tr>
        <w:tblPrEx>
          <w:tblCellMar>
            <w:top w:w="0" w:type="dxa"/>
            <w:left w:w="108" w:type="dxa"/>
            <w:bottom w:w="0" w:type="dxa"/>
            <w:right w:w="108" w:type="dxa"/>
          </w:tblCellMar>
        </w:tblPrEx>
        <w:trPr>
          <w:trHeight w:val="454" w:hRule="atLeast"/>
          <w:jc w:val="center"/>
        </w:trPr>
        <w:tc>
          <w:tcPr>
            <w:tcW w:w="1472" w:type="pct"/>
            <w:tcBorders>
              <w:top w:val="nil"/>
              <w:left w:val="single" w:color="auto" w:sz="4" w:space="0"/>
              <w:bottom w:val="single" w:color="auto" w:sz="4" w:space="0"/>
              <w:right w:val="single" w:color="auto" w:sz="8" w:space="0"/>
            </w:tcBorders>
            <w:vAlign w:val="center"/>
          </w:tcPr>
          <w:p>
            <w:pPr>
              <w:widowControl/>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1#尾矿库</w:t>
            </w:r>
          </w:p>
        </w:tc>
        <w:tc>
          <w:tcPr>
            <w:tcW w:w="1690" w:type="pct"/>
            <w:tcBorders>
              <w:top w:val="nil"/>
              <w:left w:val="nil"/>
              <w:bottom w:val="single" w:color="auto" w:sz="4" w:space="0"/>
              <w:right w:val="single" w:color="auto" w:sz="8" w:space="0"/>
            </w:tcBorders>
            <w:vAlign w:val="center"/>
          </w:tcPr>
          <w:p>
            <w:pPr>
              <w:widowControl/>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4595730.32</w:t>
            </w:r>
          </w:p>
        </w:tc>
        <w:tc>
          <w:tcPr>
            <w:tcW w:w="1837" w:type="pct"/>
            <w:tcBorders>
              <w:top w:val="nil"/>
              <w:left w:val="nil"/>
              <w:bottom w:val="single" w:color="auto" w:sz="4" w:space="0"/>
              <w:right w:val="single" w:color="auto" w:sz="8" w:space="0"/>
            </w:tcBorders>
            <w:vAlign w:val="center"/>
          </w:tcPr>
          <w:p>
            <w:pPr>
              <w:widowControl/>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40420174.72</w:t>
            </w:r>
          </w:p>
        </w:tc>
      </w:tr>
      <w:tr>
        <w:tblPrEx>
          <w:tblCellMar>
            <w:top w:w="0" w:type="dxa"/>
            <w:left w:w="108" w:type="dxa"/>
            <w:bottom w:w="0" w:type="dxa"/>
            <w:right w:w="108" w:type="dxa"/>
          </w:tblCellMar>
        </w:tblPrEx>
        <w:trPr>
          <w:trHeight w:val="454" w:hRule="atLeast"/>
          <w:jc w:val="center"/>
        </w:trPr>
        <w:tc>
          <w:tcPr>
            <w:tcW w:w="1472" w:type="pct"/>
            <w:tcBorders>
              <w:top w:val="single" w:color="auto" w:sz="4" w:space="0"/>
              <w:left w:val="single" w:color="auto" w:sz="4" w:space="0"/>
              <w:bottom w:val="single" w:color="auto" w:sz="4" w:space="0"/>
              <w:right w:val="single" w:color="auto" w:sz="8" w:space="0"/>
            </w:tcBorders>
            <w:vAlign w:val="center"/>
          </w:tcPr>
          <w:p>
            <w:pPr>
              <w:widowControl/>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2#尾矿库</w:t>
            </w:r>
          </w:p>
        </w:tc>
        <w:tc>
          <w:tcPr>
            <w:tcW w:w="1690" w:type="pct"/>
            <w:tcBorders>
              <w:top w:val="single" w:color="auto" w:sz="4" w:space="0"/>
              <w:left w:val="nil"/>
              <w:bottom w:val="single" w:color="auto" w:sz="4" w:space="0"/>
              <w:right w:val="single" w:color="auto" w:sz="8" w:space="0"/>
            </w:tcBorders>
            <w:vAlign w:val="center"/>
          </w:tcPr>
          <w:p>
            <w:pPr>
              <w:widowControl/>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4595128.80</w:t>
            </w:r>
          </w:p>
        </w:tc>
        <w:tc>
          <w:tcPr>
            <w:tcW w:w="1837" w:type="pct"/>
            <w:tcBorders>
              <w:top w:val="single" w:color="auto" w:sz="4" w:space="0"/>
              <w:left w:val="nil"/>
              <w:bottom w:val="single" w:color="auto" w:sz="4" w:space="0"/>
              <w:right w:val="single" w:color="auto" w:sz="8" w:space="0"/>
            </w:tcBorders>
            <w:vAlign w:val="center"/>
          </w:tcPr>
          <w:p>
            <w:pPr>
              <w:widowControl/>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40420086.95</w:t>
            </w:r>
          </w:p>
        </w:tc>
      </w:tr>
      <w:tr>
        <w:tblPrEx>
          <w:tblCellMar>
            <w:top w:w="0" w:type="dxa"/>
            <w:left w:w="108" w:type="dxa"/>
            <w:bottom w:w="0" w:type="dxa"/>
            <w:right w:w="108" w:type="dxa"/>
          </w:tblCellMar>
        </w:tblPrEx>
        <w:trPr>
          <w:trHeight w:val="454" w:hRule="atLeast"/>
          <w:jc w:val="center"/>
        </w:trPr>
        <w:tc>
          <w:tcPr>
            <w:tcW w:w="1472" w:type="pct"/>
            <w:tcBorders>
              <w:top w:val="single" w:color="auto" w:sz="4" w:space="0"/>
              <w:left w:val="single" w:color="auto" w:sz="4" w:space="0"/>
              <w:bottom w:val="single" w:color="auto" w:sz="8" w:space="0"/>
              <w:right w:val="single" w:color="auto" w:sz="8" w:space="0"/>
            </w:tcBorders>
            <w:vAlign w:val="center"/>
          </w:tcPr>
          <w:p>
            <w:pPr>
              <w:widowControl/>
              <w:adjustRightInd/>
              <w:snapToGrid/>
              <w:spacing w:line="240" w:lineRule="auto"/>
              <w:ind w:firstLine="0" w:firstLineChars="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下游机井</w:t>
            </w:r>
          </w:p>
        </w:tc>
        <w:tc>
          <w:tcPr>
            <w:tcW w:w="1690" w:type="pct"/>
            <w:tcBorders>
              <w:top w:val="single" w:color="auto" w:sz="4" w:space="0"/>
              <w:left w:val="nil"/>
              <w:bottom w:val="single" w:color="auto" w:sz="8" w:space="0"/>
              <w:right w:val="single" w:color="auto" w:sz="8" w:space="0"/>
            </w:tcBorders>
            <w:vAlign w:val="center"/>
          </w:tcPr>
          <w:p>
            <w:pPr>
              <w:widowControl/>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4596196.52</w:t>
            </w:r>
          </w:p>
        </w:tc>
        <w:tc>
          <w:tcPr>
            <w:tcW w:w="1837" w:type="pct"/>
            <w:tcBorders>
              <w:top w:val="single" w:color="auto" w:sz="4" w:space="0"/>
              <w:left w:val="nil"/>
              <w:bottom w:val="single" w:color="auto" w:sz="8" w:space="0"/>
              <w:right w:val="single" w:color="auto" w:sz="8" w:space="0"/>
            </w:tcBorders>
            <w:vAlign w:val="center"/>
          </w:tcPr>
          <w:p>
            <w:pPr>
              <w:widowControl/>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40420146.87</w:t>
            </w:r>
          </w:p>
        </w:tc>
      </w:tr>
    </w:tbl>
    <w:p>
      <w:pPr>
        <w:widowControl w:val="0"/>
        <w:adjustRightInd w:val="0"/>
        <w:spacing w:line="360" w:lineRule="auto"/>
        <w:ind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2、监测项目</w:t>
      </w:r>
    </w:p>
    <w:p>
      <w:pPr>
        <w:widowControl w:val="0"/>
        <w:adjustRightInd w:val="0"/>
        <w:spacing w:line="360" w:lineRule="auto"/>
        <w:ind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监测地下水质变化，包括PH、悬浮物、化学需氧量、氨氮、总氮、总磷、氟化物、硫化物、铅、镉、砷、汞、铬。</w:t>
      </w:r>
    </w:p>
    <w:p>
      <w:pPr>
        <w:widowControl w:val="0"/>
        <w:adjustRightInd w:val="0"/>
        <w:spacing w:line="360" w:lineRule="auto"/>
        <w:ind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3、监测方法</w:t>
      </w:r>
    </w:p>
    <w:p>
      <w:pPr>
        <w:widowControl w:val="0"/>
        <w:adjustRightInd w:val="0"/>
        <w:spacing w:line="360" w:lineRule="auto"/>
        <w:ind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定期采集水样，送检测单位进行检测。</w:t>
      </w:r>
    </w:p>
    <w:p>
      <w:pPr>
        <w:widowControl w:val="0"/>
        <w:adjustRightInd w:val="0"/>
        <w:spacing w:line="360" w:lineRule="auto"/>
        <w:ind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4、监测频率</w:t>
      </w:r>
    </w:p>
    <w:p>
      <w:pPr>
        <w:widowControl w:val="0"/>
        <w:adjustRightInd w:val="0"/>
        <w:spacing w:line="360" w:lineRule="auto"/>
        <w:ind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监测按照每个水文年丰水期（7月份）、枯水期（3月份）各1次</w:t>
      </w:r>
    </w:p>
    <w:p>
      <w:pPr>
        <w:widowControl w:val="0"/>
        <w:adjustRightInd w:val="0"/>
        <w:spacing w:line="360" w:lineRule="auto"/>
        <w:ind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5、监测技术要求</w:t>
      </w:r>
    </w:p>
    <w:p>
      <w:pPr>
        <w:widowControl w:val="0"/>
        <w:adjustRightInd w:val="0"/>
        <w:spacing w:line="360" w:lineRule="auto"/>
        <w:ind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每次监测都要做好观测笔记，记录观测时间、地点、水质的化验结果，并对水质变化做对比分析。</w:t>
      </w:r>
    </w:p>
    <w:p>
      <w:pPr>
        <w:widowControl w:val="0"/>
        <w:adjustRightInd w:val="0"/>
        <w:spacing w:line="360" w:lineRule="auto"/>
        <w:ind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6、监测时限</w:t>
      </w:r>
    </w:p>
    <w:p>
      <w:pPr>
        <w:adjustRightInd/>
        <w:snapToGrid/>
        <w:spacing w:line="360" w:lineRule="auto"/>
        <w:ind w:firstLine="480" w:firstLineChars="0"/>
        <w:contextualSpacing/>
        <w:rPr>
          <w:rFonts w:hint="default" w:ascii="Times New Roman" w:hAnsi="Times New Roman" w:cs="Times New Roman"/>
          <w:color w:val="auto"/>
          <w:spacing w:val="-6"/>
          <w:sz w:val="24"/>
          <w:szCs w:val="24"/>
          <w:highlight w:val="none"/>
        </w:rPr>
      </w:pPr>
      <w:r>
        <w:rPr>
          <w:rFonts w:hint="default" w:ascii="Times New Roman" w:hAnsi="Times New Roman" w:cs="Times New Roman"/>
          <w:color w:val="auto"/>
          <w:spacing w:val="-6"/>
          <w:sz w:val="24"/>
          <w:szCs w:val="24"/>
          <w:highlight w:val="none"/>
        </w:rPr>
        <w:t>自</w:t>
      </w:r>
      <w:r>
        <w:rPr>
          <w:rFonts w:hint="default" w:ascii="Times New Roman" w:hAnsi="Times New Roman" w:cs="Times New Roman"/>
          <w:color w:val="auto"/>
          <w:sz w:val="24"/>
          <w:szCs w:val="24"/>
          <w:highlight w:val="none"/>
        </w:rPr>
        <w:t>202</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月1日</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20</w:t>
      </w:r>
      <w:r>
        <w:rPr>
          <w:rFonts w:hint="default" w:ascii="Times New Roman" w:hAnsi="Times New Roman" w:cs="Times New Roman"/>
          <w:color w:val="auto"/>
          <w:sz w:val="24"/>
          <w:szCs w:val="24"/>
          <w:highlight w:val="none"/>
          <w:lang w:val="en-US" w:eastAsia="zh-CN"/>
        </w:rPr>
        <w:t>2</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12</w:t>
      </w:r>
      <w:r>
        <w:rPr>
          <w:rFonts w:hint="default" w:ascii="Times New Roman" w:hAnsi="Times New Roman" w:cs="Times New Roman"/>
          <w:color w:val="auto"/>
          <w:sz w:val="24"/>
          <w:szCs w:val="24"/>
          <w:highlight w:val="none"/>
        </w:rPr>
        <w:t>月3</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日</w:t>
      </w:r>
      <w:r>
        <w:rPr>
          <w:rFonts w:hint="default" w:ascii="Times New Roman" w:hAnsi="Times New Roman" w:cs="Times New Roman"/>
          <w:color w:val="auto"/>
          <w:spacing w:val="-6"/>
          <w:sz w:val="24"/>
          <w:szCs w:val="24"/>
          <w:highlight w:val="none"/>
        </w:rPr>
        <w:t>。</w:t>
      </w:r>
    </w:p>
    <w:p>
      <w:pPr>
        <w:adjustRightInd/>
        <w:snapToGrid/>
        <w:spacing w:line="360" w:lineRule="auto"/>
        <w:ind w:firstLine="466" w:firstLineChars="0"/>
        <w:rPr>
          <w:rFonts w:hint="default" w:ascii="Times New Roman" w:hAnsi="Times New Roman" w:cs="Times New Roman"/>
          <w:b/>
          <w:color w:val="auto"/>
          <w:spacing w:val="-4"/>
          <w:sz w:val="24"/>
          <w:szCs w:val="24"/>
          <w:highlight w:val="none"/>
        </w:rPr>
      </w:pPr>
      <w:r>
        <w:rPr>
          <w:rFonts w:hint="default" w:ascii="Times New Roman" w:hAnsi="Times New Roman" w:cs="Times New Roman"/>
          <w:b/>
          <w:color w:val="auto"/>
          <w:spacing w:val="-4"/>
          <w:sz w:val="24"/>
          <w:szCs w:val="24"/>
          <w:highlight w:val="none"/>
        </w:rPr>
        <w:t>二、采场边坡监测</w:t>
      </w:r>
    </w:p>
    <w:p>
      <w:pPr>
        <w:adjustRightInd/>
        <w:snapToGrid/>
        <w:spacing w:line="360" w:lineRule="auto"/>
        <w:ind w:firstLine="480" w:firstLineChars="0"/>
        <w:contextualSpacing/>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为保障边坡在生产期间的安全，对边坡稳定性进行监测，以分析其变形趋势，判断运行状态的稳定性与危险性，做出实时预警预报。</w:t>
      </w:r>
    </w:p>
    <w:p>
      <w:pPr>
        <w:adjustRightInd/>
        <w:snapToGrid/>
        <w:spacing w:line="360" w:lineRule="auto"/>
        <w:ind w:firstLine="480" w:firstLineChars="0"/>
        <w:contextualSpacing/>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1、监测方法</w:t>
      </w:r>
    </w:p>
    <w:p>
      <w:pPr>
        <w:adjustRightInd/>
        <w:snapToGrid/>
        <w:spacing w:line="360" w:lineRule="auto"/>
        <w:ind w:firstLine="480" w:firstLineChars="0"/>
        <w:contextualSpacing/>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z w:val="24"/>
          <w:szCs w:val="24"/>
          <w:highlight w:val="none"/>
        </w:rPr>
        <w:t>主要是简易监测，采用人工肉眼巡视监测和全站仪监测相结合的方法，由矿方确定2名专业监测人员，定时对坡体变形情况进行测量、记录和分析。在矿山适</w:t>
      </w:r>
      <w:r>
        <w:rPr>
          <w:rFonts w:hint="default" w:ascii="Times New Roman" w:hAnsi="Times New Roman" w:cs="Times New Roman"/>
          <w:color w:val="auto"/>
          <w:spacing w:val="-4"/>
          <w:sz w:val="24"/>
          <w:szCs w:val="24"/>
          <w:highlight w:val="none"/>
        </w:rPr>
        <w:t>当位置，按一定密度设置监控设备，并由专人负责监控、记录和总结汇报（表</w:t>
      </w:r>
      <w:r>
        <w:rPr>
          <w:rFonts w:hint="default" w:ascii="Times New Roman" w:hAnsi="Times New Roman" w:cs="Times New Roman"/>
          <w:color w:val="auto"/>
          <w:spacing w:val="-4"/>
          <w:sz w:val="24"/>
          <w:szCs w:val="24"/>
          <w:highlight w:val="none"/>
          <w:lang w:val="en-US" w:eastAsia="zh-CN"/>
        </w:rPr>
        <w:t>5</w:t>
      </w:r>
      <w:r>
        <w:rPr>
          <w:rFonts w:hint="default" w:ascii="Times New Roman" w:hAnsi="Times New Roman" w:cs="Times New Roman"/>
          <w:color w:val="auto"/>
          <w:spacing w:val="-4"/>
          <w:sz w:val="24"/>
          <w:szCs w:val="24"/>
          <w:highlight w:val="none"/>
        </w:rPr>
        <w:t>-</w:t>
      </w:r>
      <w:r>
        <w:rPr>
          <w:rFonts w:hint="default" w:ascii="Times New Roman" w:hAnsi="Times New Roman" w:cs="Times New Roman"/>
          <w:color w:val="auto"/>
          <w:spacing w:val="-4"/>
          <w:sz w:val="24"/>
          <w:szCs w:val="24"/>
          <w:highlight w:val="none"/>
          <w:lang w:val="en-US" w:eastAsia="zh-CN"/>
        </w:rPr>
        <w:t>3</w:t>
      </w:r>
      <w:r>
        <w:rPr>
          <w:rFonts w:hint="default" w:ascii="Times New Roman" w:hAnsi="Times New Roman" w:cs="Times New Roman"/>
          <w:color w:val="auto"/>
          <w:spacing w:val="-4"/>
          <w:sz w:val="24"/>
          <w:szCs w:val="24"/>
          <w:highlight w:val="none"/>
        </w:rPr>
        <w:t xml:space="preserve">）。 </w:t>
      </w:r>
    </w:p>
    <w:p>
      <w:pP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br w:type="page"/>
      </w:r>
    </w:p>
    <w:p>
      <w:pPr>
        <w:adjustRightInd/>
        <w:snapToGrid/>
        <w:spacing w:line="40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rPr>
        <w:t>-</w:t>
      </w:r>
      <w:r>
        <w:rPr>
          <w:rFonts w:hint="default"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 xml:space="preserve">  崩塌监测调查表</w:t>
      </w:r>
    </w:p>
    <w:tbl>
      <w:tblPr>
        <w:tblStyle w:val="1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5"/>
        <w:gridCol w:w="1417"/>
        <w:gridCol w:w="1561"/>
        <w:gridCol w:w="1180"/>
        <w:gridCol w:w="380"/>
        <w:gridCol w:w="568"/>
        <w:gridCol w:w="993"/>
        <w:gridCol w:w="9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25" w:type="dxa"/>
            <w:vAlign w:val="center"/>
          </w:tcPr>
          <w:p>
            <w:pPr>
              <w:adjustRightInd/>
              <w:snapToGrid/>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矿区名称</w:t>
            </w:r>
          </w:p>
        </w:tc>
        <w:tc>
          <w:tcPr>
            <w:tcW w:w="4158" w:type="dxa"/>
            <w:gridSpan w:val="3"/>
            <w:vAlign w:val="center"/>
          </w:tcPr>
          <w:p>
            <w:pPr>
              <w:adjustRightInd/>
              <w:snapToGrid/>
              <w:spacing w:line="360" w:lineRule="exact"/>
              <w:ind w:firstLine="0" w:firstLineChars="0"/>
              <w:jc w:val="center"/>
              <w:rPr>
                <w:rFonts w:hint="default" w:ascii="Times New Roman" w:hAnsi="Times New Roman" w:cs="Times New Roman"/>
                <w:color w:val="auto"/>
                <w:sz w:val="21"/>
                <w:szCs w:val="21"/>
                <w:highlight w:val="none"/>
              </w:rPr>
            </w:pPr>
          </w:p>
        </w:tc>
        <w:tc>
          <w:tcPr>
            <w:tcW w:w="948" w:type="dxa"/>
            <w:gridSpan w:val="2"/>
            <w:vAlign w:val="center"/>
          </w:tcPr>
          <w:p>
            <w:pPr>
              <w:adjustRightInd/>
              <w:snapToGrid/>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天气</w:t>
            </w:r>
          </w:p>
        </w:tc>
        <w:tc>
          <w:tcPr>
            <w:tcW w:w="1897" w:type="dxa"/>
            <w:gridSpan w:val="2"/>
            <w:vAlign w:val="center"/>
          </w:tcPr>
          <w:p>
            <w:pPr>
              <w:adjustRightInd/>
              <w:snapToGrid/>
              <w:spacing w:line="360" w:lineRule="exact"/>
              <w:ind w:firstLine="0" w:firstLineChars="0"/>
              <w:jc w:val="center"/>
              <w:rPr>
                <w:rFonts w:hint="default" w:ascii="Times New Roman" w:hAnsi="Times New Roman" w:cs="Times New Roman"/>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25" w:type="dxa"/>
            <w:vAlign w:val="center"/>
          </w:tcPr>
          <w:p>
            <w:pPr>
              <w:adjustRightInd/>
              <w:snapToGrid/>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记录点号</w:t>
            </w:r>
          </w:p>
        </w:tc>
        <w:tc>
          <w:tcPr>
            <w:tcW w:w="7003" w:type="dxa"/>
            <w:gridSpan w:val="7"/>
            <w:vAlign w:val="center"/>
          </w:tcPr>
          <w:p>
            <w:pPr>
              <w:adjustRightInd/>
              <w:snapToGrid/>
              <w:spacing w:line="360" w:lineRule="exact"/>
              <w:ind w:firstLine="0" w:firstLineChars="0"/>
              <w:jc w:val="center"/>
              <w:rPr>
                <w:rFonts w:hint="default" w:ascii="Times New Roman" w:hAnsi="Times New Roman" w:cs="Times New Roman"/>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25" w:type="dxa"/>
            <w:vAlign w:val="center"/>
          </w:tcPr>
          <w:p>
            <w:pPr>
              <w:adjustRightInd/>
              <w:snapToGrid/>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记录点坐标</w:t>
            </w:r>
          </w:p>
        </w:tc>
        <w:tc>
          <w:tcPr>
            <w:tcW w:w="7003" w:type="dxa"/>
            <w:gridSpan w:val="7"/>
            <w:vAlign w:val="center"/>
          </w:tcPr>
          <w:p>
            <w:pPr>
              <w:adjustRightInd/>
              <w:snapToGrid/>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X:                 Y:               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8" w:hRule="atLeast"/>
          <w:jc w:val="center"/>
        </w:trPr>
        <w:tc>
          <w:tcPr>
            <w:tcW w:w="1525" w:type="dxa"/>
            <w:vAlign w:val="center"/>
          </w:tcPr>
          <w:p>
            <w:pPr>
              <w:adjustRightInd/>
              <w:snapToGrid/>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点间情况</w:t>
            </w:r>
          </w:p>
        </w:tc>
        <w:tc>
          <w:tcPr>
            <w:tcW w:w="7003" w:type="dxa"/>
            <w:gridSpan w:val="7"/>
            <w:vAlign w:val="center"/>
          </w:tcPr>
          <w:p>
            <w:pPr>
              <w:adjustRightInd/>
              <w:snapToGrid/>
              <w:spacing w:line="360" w:lineRule="exact"/>
              <w:ind w:firstLine="0" w:firstLineChars="0"/>
              <w:jc w:val="center"/>
              <w:rPr>
                <w:rFonts w:hint="default" w:ascii="Times New Roman" w:hAnsi="Times New Roman" w:cs="Times New Roman"/>
                <w:color w:val="auto"/>
                <w:sz w:val="21"/>
                <w:szCs w:val="24"/>
                <w:highlight w:val="none"/>
              </w:rPr>
            </w:pPr>
          </w:p>
          <w:p>
            <w:pPr>
              <w:widowControl w:val="0"/>
              <w:ind w:firstLine="480"/>
              <w:jc w:val="both"/>
              <w:rPr>
                <w:rFonts w:hint="default" w:ascii="Times New Roman" w:hAnsi="Times New Roman" w:eastAsia="宋体" w:cs="Times New Roman"/>
                <w:color w:val="auto"/>
                <w:kern w:val="2"/>
                <w:sz w:val="21"/>
                <w:szCs w:val="24"/>
                <w:highlight w:val="none"/>
                <w:lang w:val="en-US" w:eastAsia="zh-CN" w:bidi="ar-SA"/>
              </w:rPr>
            </w:pPr>
          </w:p>
          <w:p>
            <w:pPr>
              <w:adjustRightInd/>
              <w:snapToGrid/>
              <w:spacing w:line="240" w:lineRule="auto"/>
              <w:ind w:firstLine="0" w:firstLineChars="0"/>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widowControl w:val="0"/>
              <w:autoSpaceDE w:val="0"/>
              <w:autoSpaceDN w:val="0"/>
              <w:adjustRightInd w:val="0"/>
              <w:jc w:val="center"/>
              <w:rPr>
                <w:rFonts w:hint="default" w:ascii="Times New Roman" w:hAnsi="Times New Roman" w:eastAsia="宋体" w:cs="Times New Roman"/>
                <w:color w:val="auto"/>
                <w:sz w:val="24"/>
                <w:szCs w:val="24"/>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525" w:type="dxa"/>
            <w:vMerge w:val="restart"/>
            <w:vAlign w:val="center"/>
          </w:tcPr>
          <w:p>
            <w:pPr>
              <w:adjustRightInd/>
              <w:snapToGrid/>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记录点情况</w:t>
            </w:r>
          </w:p>
        </w:tc>
        <w:tc>
          <w:tcPr>
            <w:tcW w:w="1417" w:type="dxa"/>
            <w:vAlign w:val="center"/>
          </w:tcPr>
          <w:p>
            <w:pPr>
              <w:adjustRightInd/>
              <w:snapToGrid/>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边坡情况</w:t>
            </w:r>
          </w:p>
        </w:tc>
        <w:tc>
          <w:tcPr>
            <w:tcW w:w="1561" w:type="dxa"/>
            <w:vAlign w:val="center"/>
          </w:tcPr>
          <w:p>
            <w:pPr>
              <w:adjustRightInd/>
              <w:snapToGrid/>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崩塌情况</w:t>
            </w:r>
          </w:p>
        </w:tc>
        <w:tc>
          <w:tcPr>
            <w:tcW w:w="1560" w:type="dxa"/>
            <w:gridSpan w:val="2"/>
            <w:vAlign w:val="center"/>
          </w:tcPr>
          <w:p>
            <w:pPr>
              <w:adjustRightInd/>
              <w:snapToGrid/>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危岩体情况</w:t>
            </w:r>
          </w:p>
        </w:tc>
        <w:tc>
          <w:tcPr>
            <w:tcW w:w="1561" w:type="dxa"/>
            <w:gridSpan w:val="2"/>
            <w:tcBorders>
              <w:right w:val="single" w:color="auto" w:sz="4" w:space="0"/>
            </w:tcBorders>
            <w:vAlign w:val="center"/>
          </w:tcPr>
          <w:p>
            <w:pPr>
              <w:adjustRightInd/>
              <w:snapToGrid/>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治理情况</w:t>
            </w:r>
          </w:p>
        </w:tc>
        <w:tc>
          <w:tcPr>
            <w:tcW w:w="904" w:type="dxa"/>
            <w:tcBorders>
              <w:left w:val="single" w:color="auto" w:sz="4" w:space="0"/>
            </w:tcBorders>
            <w:vAlign w:val="center"/>
          </w:tcPr>
          <w:p>
            <w:pPr>
              <w:adjustRightInd/>
              <w:snapToGrid/>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2" w:hRule="atLeast"/>
          <w:jc w:val="center"/>
        </w:trPr>
        <w:tc>
          <w:tcPr>
            <w:tcW w:w="1525" w:type="dxa"/>
            <w:vMerge w:val="continue"/>
            <w:vAlign w:val="center"/>
          </w:tcPr>
          <w:p>
            <w:pPr>
              <w:adjustRightInd/>
              <w:snapToGrid/>
              <w:spacing w:line="360" w:lineRule="exact"/>
              <w:ind w:firstLine="0" w:firstLineChars="0"/>
              <w:jc w:val="center"/>
              <w:rPr>
                <w:rFonts w:hint="default" w:ascii="Times New Roman" w:hAnsi="Times New Roman" w:cs="Times New Roman"/>
                <w:color w:val="auto"/>
                <w:sz w:val="21"/>
                <w:szCs w:val="21"/>
                <w:highlight w:val="none"/>
              </w:rPr>
            </w:pPr>
          </w:p>
        </w:tc>
        <w:tc>
          <w:tcPr>
            <w:tcW w:w="1417" w:type="dxa"/>
            <w:vAlign w:val="center"/>
          </w:tcPr>
          <w:p>
            <w:pPr>
              <w:adjustRightInd/>
              <w:snapToGrid/>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记录现状高度、长度、坡度等情况</w:t>
            </w:r>
          </w:p>
        </w:tc>
        <w:tc>
          <w:tcPr>
            <w:tcW w:w="1561" w:type="dxa"/>
            <w:vAlign w:val="center"/>
          </w:tcPr>
          <w:p>
            <w:pPr>
              <w:adjustRightInd/>
              <w:snapToGrid/>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是否已经崩塌，崩塌位置、体积、距离等情况</w:t>
            </w:r>
          </w:p>
        </w:tc>
        <w:tc>
          <w:tcPr>
            <w:tcW w:w="1560" w:type="dxa"/>
            <w:gridSpan w:val="2"/>
            <w:vAlign w:val="center"/>
          </w:tcPr>
          <w:p>
            <w:pPr>
              <w:adjustRightInd/>
              <w:snapToGrid/>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危岩体的大小、裂缝、产状及预测发生崩塌等情况</w:t>
            </w:r>
          </w:p>
        </w:tc>
        <w:tc>
          <w:tcPr>
            <w:tcW w:w="1561" w:type="dxa"/>
            <w:gridSpan w:val="2"/>
            <w:tcBorders>
              <w:right w:val="single" w:color="auto" w:sz="4" w:space="0"/>
            </w:tcBorders>
            <w:vAlign w:val="center"/>
          </w:tcPr>
          <w:p>
            <w:pPr>
              <w:adjustRightInd/>
              <w:snapToGrid/>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现状和预测的崩塌体、危岩体处理(防护)等情况</w:t>
            </w:r>
          </w:p>
        </w:tc>
        <w:tc>
          <w:tcPr>
            <w:tcW w:w="904" w:type="dxa"/>
            <w:tcBorders>
              <w:left w:val="single" w:color="auto" w:sz="4" w:space="0"/>
            </w:tcBorders>
            <w:vAlign w:val="center"/>
          </w:tcPr>
          <w:p>
            <w:pPr>
              <w:adjustRightInd/>
              <w:snapToGrid/>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其它情况说明</w:t>
            </w:r>
          </w:p>
        </w:tc>
      </w:tr>
    </w:tbl>
    <w:p>
      <w:pPr>
        <w:adjustRightInd/>
        <w:snapToGrid/>
        <w:spacing w:afterLines="50" w:line="240" w:lineRule="auto"/>
        <w:ind w:firstLine="42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      填表人：            审核人：            填表日期：    年    月    日</w:t>
      </w:r>
    </w:p>
    <w:p>
      <w:pPr>
        <w:adjustRightInd/>
        <w:snapToGrid/>
        <w:spacing w:line="360" w:lineRule="auto"/>
        <w:ind w:firstLine="480" w:firstLineChars="0"/>
        <w:contextualSpacing/>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2、监测内容</w:t>
      </w:r>
    </w:p>
    <w:p>
      <w:pPr>
        <w:adjustRightInd/>
        <w:snapToGrid/>
        <w:spacing w:line="360" w:lineRule="auto"/>
        <w:ind w:firstLine="480" w:firstLine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岩体边坡顶部水平位移及垂直位移、边坡变形及坡面裂缝等。</w:t>
      </w:r>
    </w:p>
    <w:p>
      <w:pPr>
        <w:adjustRightInd/>
        <w:snapToGrid/>
        <w:spacing w:beforeLines="50" w:line="360" w:lineRule="auto"/>
        <w:ind w:firstLine="482" w:firstLineChars="0"/>
        <w:contextualSpacing/>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3、监测周期</w:t>
      </w:r>
    </w:p>
    <w:p>
      <w:pPr>
        <w:adjustRightInd/>
        <w:snapToGrid/>
        <w:spacing w:line="360" w:lineRule="auto"/>
        <w:ind w:firstLine="480" w:firstLineChars="0"/>
        <w:contextualSpacing/>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非汛期每月巡查1次，汛期每月巡查6次，险情严重时可加密到每天巡查一次，甚至24小时连续巡查监测。使用全站仪及视频监控设备行全天候监测。</w:t>
      </w:r>
    </w:p>
    <w:p>
      <w:pPr>
        <w:adjustRightInd/>
        <w:snapToGrid/>
        <w:spacing w:beforeLines="100" w:line="360" w:lineRule="auto"/>
        <w:ind w:firstLine="482" w:firstLineChars="0"/>
        <w:contextualSpacing/>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4、监测对象</w:t>
      </w:r>
    </w:p>
    <w:p>
      <w:pPr>
        <w:adjustRightInd/>
        <w:snapToGrid/>
        <w:spacing w:line="360" w:lineRule="auto"/>
        <w:ind w:firstLine="480" w:firstLineChars="0"/>
        <w:contextualSpacing/>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露天采场边坡（表</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），实际开采过程中，监测点位可根据开采进度进行适当的调整。</w:t>
      </w:r>
    </w:p>
    <w:p>
      <w:pPr>
        <w:adjustRightInd/>
        <w:snapToGrid/>
        <w:spacing w:line="500" w:lineRule="exact"/>
        <w:ind w:firstLine="42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rPr>
        <w:t>-</w:t>
      </w:r>
      <w:r>
        <w:rPr>
          <w:rFonts w:hint="default" w:ascii="Times New Roman" w:hAnsi="Times New Roman" w:cs="Times New Roman"/>
          <w:b/>
          <w:bCs/>
          <w:color w:val="auto"/>
          <w:sz w:val="21"/>
          <w:szCs w:val="21"/>
          <w:highlight w:val="none"/>
          <w:lang w:val="en-US" w:eastAsia="zh-CN"/>
        </w:rPr>
        <w:t>4</w:t>
      </w:r>
      <w:r>
        <w:rPr>
          <w:rFonts w:hint="default" w:ascii="Times New Roman" w:hAnsi="Times New Roman" w:cs="Times New Roman"/>
          <w:b/>
          <w:bCs/>
          <w:color w:val="auto"/>
          <w:sz w:val="21"/>
          <w:szCs w:val="21"/>
          <w:highlight w:val="none"/>
        </w:rPr>
        <w:t xml:space="preserve">  崩塌监测点位坐标表（</w:t>
      </w:r>
      <w:r>
        <w:rPr>
          <w:rFonts w:hint="default" w:ascii="Times New Roman" w:hAnsi="Times New Roman" w:cs="Times New Roman"/>
          <w:b/>
          <w:color w:val="auto"/>
          <w:kern w:val="0"/>
          <w:sz w:val="21"/>
          <w:szCs w:val="21"/>
          <w:highlight w:val="none"/>
        </w:rPr>
        <w:t>2000国家大地坐标系）</w:t>
      </w:r>
    </w:p>
    <w:tbl>
      <w:tblPr>
        <w:tblStyle w:val="13"/>
        <w:tblW w:w="5000" w:type="pct"/>
        <w:jc w:val="center"/>
        <w:tblLayout w:type="autofit"/>
        <w:tblCellMar>
          <w:top w:w="0" w:type="dxa"/>
          <w:left w:w="108" w:type="dxa"/>
          <w:bottom w:w="0" w:type="dxa"/>
          <w:right w:w="108" w:type="dxa"/>
        </w:tblCellMar>
      </w:tblPr>
      <w:tblGrid>
        <w:gridCol w:w="1257"/>
        <w:gridCol w:w="1443"/>
        <w:gridCol w:w="1569"/>
        <w:gridCol w:w="1254"/>
        <w:gridCol w:w="1441"/>
        <w:gridCol w:w="1564"/>
      </w:tblGrid>
      <w:tr>
        <w:tblPrEx>
          <w:tblCellMar>
            <w:top w:w="0" w:type="dxa"/>
            <w:left w:w="108" w:type="dxa"/>
            <w:bottom w:w="0" w:type="dxa"/>
            <w:right w:w="108" w:type="dxa"/>
          </w:tblCellMar>
        </w:tblPrEx>
        <w:trPr>
          <w:trHeight w:val="340" w:hRule="atLeast"/>
          <w:jc w:val="center"/>
        </w:trPr>
        <w:tc>
          <w:tcPr>
            <w:tcW w:w="737" w:type="pct"/>
            <w:tcBorders>
              <w:top w:val="single" w:color="auto" w:sz="4" w:space="0"/>
              <w:left w:val="single" w:color="auto" w:sz="4" w:space="0"/>
              <w:bottom w:val="single" w:color="auto" w:sz="8" w:space="0"/>
              <w:right w:val="single" w:color="auto" w:sz="8" w:space="0"/>
            </w:tcBorders>
            <w:vAlign w:val="center"/>
          </w:tcPr>
          <w:p>
            <w:pPr>
              <w:adjustRightInd/>
              <w:snapToGrid/>
              <w:spacing w:line="30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点位编号</w:t>
            </w:r>
          </w:p>
        </w:tc>
        <w:tc>
          <w:tcPr>
            <w:tcW w:w="846" w:type="pct"/>
            <w:tcBorders>
              <w:top w:val="single" w:color="auto" w:sz="4" w:space="0"/>
              <w:left w:val="nil"/>
              <w:bottom w:val="single" w:color="auto" w:sz="8" w:space="0"/>
              <w:right w:val="single" w:color="auto" w:sz="8" w:space="0"/>
            </w:tcBorders>
            <w:vAlign w:val="center"/>
          </w:tcPr>
          <w:p>
            <w:pPr>
              <w:widowControl/>
              <w:adjustRightInd/>
              <w:snapToGrid/>
              <w:spacing w:line="30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X</w:t>
            </w:r>
          </w:p>
        </w:tc>
        <w:tc>
          <w:tcPr>
            <w:tcW w:w="920" w:type="pct"/>
            <w:tcBorders>
              <w:top w:val="single" w:color="auto" w:sz="4" w:space="0"/>
              <w:left w:val="nil"/>
              <w:bottom w:val="single" w:color="auto" w:sz="8" w:space="0"/>
              <w:right w:val="single" w:color="auto" w:sz="8" w:space="0"/>
            </w:tcBorders>
            <w:vAlign w:val="center"/>
          </w:tcPr>
          <w:p>
            <w:pPr>
              <w:widowControl/>
              <w:adjustRightInd/>
              <w:snapToGrid/>
              <w:spacing w:line="30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Y</w:t>
            </w:r>
          </w:p>
        </w:tc>
        <w:tc>
          <w:tcPr>
            <w:tcW w:w="735" w:type="pct"/>
            <w:tcBorders>
              <w:top w:val="single" w:color="auto" w:sz="4" w:space="0"/>
              <w:left w:val="nil"/>
              <w:bottom w:val="single" w:color="auto" w:sz="8" w:space="0"/>
              <w:right w:val="single" w:color="auto" w:sz="8" w:space="0"/>
            </w:tcBorders>
            <w:vAlign w:val="center"/>
          </w:tcPr>
          <w:p>
            <w:pPr>
              <w:widowControl/>
              <w:adjustRightInd/>
              <w:snapToGrid/>
              <w:spacing w:line="30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点位编号</w:t>
            </w:r>
          </w:p>
        </w:tc>
        <w:tc>
          <w:tcPr>
            <w:tcW w:w="845" w:type="pct"/>
            <w:tcBorders>
              <w:top w:val="single" w:color="auto" w:sz="4" w:space="0"/>
              <w:left w:val="nil"/>
              <w:bottom w:val="single" w:color="auto" w:sz="8" w:space="0"/>
              <w:right w:val="single" w:color="auto" w:sz="8" w:space="0"/>
            </w:tcBorders>
            <w:vAlign w:val="center"/>
          </w:tcPr>
          <w:p>
            <w:pPr>
              <w:widowControl/>
              <w:adjustRightInd/>
              <w:snapToGrid/>
              <w:spacing w:line="30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X</w:t>
            </w:r>
          </w:p>
        </w:tc>
        <w:tc>
          <w:tcPr>
            <w:tcW w:w="917" w:type="pct"/>
            <w:tcBorders>
              <w:top w:val="single" w:color="auto" w:sz="4" w:space="0"/>
              <w:left w:val="nil"/>
              <w:bottom w:val="single" w:color="auto" w:sz="8" w:space="0"/>
              <w:right w:val="single" w:color="auto" w:sz="8" w:space="0"/>
            </w:tcBorders>
            <w:vAlign w:val="center"/>
          </w:tcPr>
          <w:p>
            <w:pPr>
              <w:widowControl/>
              <w:adjustRightInd/>
              <w:snapToGrid/>
              <w:spacing w:line="30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Y</w:t>
            </w:r>
          </w:p>
        </w:tc>
      </w:tr>
      <w:tr>
        <w:tblPrEx>
          <w:tblCellMar>
            <w:top w:w="0" w:type="dxa"/>
            <w:left w:w="108" w:type="dxa"/>
            <w:bottom w:w="0" w:type="dxa"/>
            <w:right w:w="108" w:type="dxa"/>
          </w:tblCellMar>
        </w:tblPrEx>
        <w:trPr>
          <w:trHeight w:val="340" w:hRule="atLeast"/>
          <w:jc w:val="center"/>
        </w:trPr>
        <w:tc>
          <w:tcPr>
            <w:tcW w:w="1258" w:type="dxa"/>
            <w:tcBorders>
              <w:top w:val="nil"/>
              <w:left w:val="single" w:color="auto" w:sz="4" w:space="0"/>
              <w:bottom w:val="single" w:color="auto" w:sz="4" w:space="0"/>
              <w:right w:val="single" w:color="auto" w:sz="8" w:space="0"/>
            </w:tcBorders>
            <w:vAlign w:val="center"/>
          </w:tcPr>
          <w:p>
            <w:pPr>
              <w:widowControl/>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1</w:t>
            </w:r>
          </w:p>
        </w:tc>
        <w:tc>
          <w:tcPr>
            <w:tcW w:w="1443" w:type="dxa"/>
            <w:tcBorders>
              <w:top w:val="nil"/>
              <w:left w:val="nil"/>
              <w:bottom w:val="single" w:color="auto" w:sz="4" w:space="0"/>
              <w:right w:val="single" w:color="auto" w:sz="8" w:space="0"/>
            </w:tcBorders>
            <w:vAlign w:val="center"/>
          </w:tcPr>
          <w:p>
            <w:pPr>
              <w:widowControl/>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4595914.25</w:t>
            </w:r>
          </w:p>
        </w:tc>
        <w:tc>
          <w:tcPr>
            <w:tcW w:w="1569" w:type="dxa"/>
            <w:tcBorders>
              <w:top w:val="nil"/>
              <w:left w:val="nil"/>
              <w:bottom w:val="single" w:color="auto" w:sz="4" w:space="0"/>
              <w:right w:val="single" w:color="auto" w:sz="8" w:space="0"/>
            </w:tcBorders>
            <w:vAlign w:val="center"/>
          </w:tcPr>
          <w:p>
            <w:pPr>
              <w:widowControl/>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40420416.49</w:t>
            </w:r>
          </w:p>
        </w:tc>
        <w:tc>
          <w:tcPr>
            <w:tcW w:w="1254" w:type="dxa"/>
            <w:tcBorders>
              <w:top w:val="nil"/>
              <w:left w:val="nil"/>
              <w:bottom w:val="single" w:color="auto" w:sz="4" w:space="0"/>
              <w:right w:val="single" w:color="auto" w:sz="8" w:space="0"/>
            </w:tcBorders>
            <w:vAlign w:val="center"/>
          </w:tcPr>
          <w:p>
            <w:pPr>
              <w:widowControl/>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3</w:t>
            </w:r>
          </w:p>
        </w:tc>
        <w:tc>
          <w:tcPr>
            <w:tcW w:w="1441" w:type="dxa"/>
            <w:tcBorders>
              <w:top w:val="nil"/>
              <w:left w:val="nil"/>
              <w:bottom w:val="single" w:color="auto" w:sz="4" w:space="0"/>
              <w:right w:val="single" w:color="auto" w:sz="8" w:space="0"/>
            </w:tcBorders>
            <w:vAlign w:val="center"/>
          </w:tcPr>
          <w:p>
            <w:pPr>
              <w:widowControl/>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4595676.11</w:t>
            </w:r>
          </w:p>
        </w:tc>
        <w:tc>
          <w:tcPr>
            <w:tcW w:w="1564" w:type="dxa"/>
            <w:tcBorders>
              <w:top w:val="nil"/>
              <w:left w:val="nil"/>
              <w:bottom w:val="single" w:color="auto" w:sz="4" w:space="0"/>
              <w:right w:val="single" w:color="auto" w:sz="8" w:space="0"/>
            </w:tcBorders>
            <w:vAlign w:val="center"/>
          </w:tcPr>
          <w:p>
            <w:pPr>
              <w:widowControl/>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40420511.06</w:t>
            </w:r>
          </w:p>
        </w:tc>
      </w:tr>
      <w:tr>
        <w:tblPrEx>
          <w:tblCellMar>
            <w:top w:w="0" w:type="dxa"/>
            <w:left w:w="108" w:type="dxa"/>
            <w:bottom w:w="0" w:type="dxa"/>
            <w:right w:w="108" w:type="dxa"/>
          </w:tblCellMar>
        </w:tblPrEx>
        <w:trPr>
          <w:trHeight w:val="340" w:hRule="atLeast"/>
          <w:jc w:val="center"/>
        </w:trPr>
        <w:tc>
          <w:tcPr>
            <w:tcW w:w="1258" w:type="dxa"/>
            <w:tcBorders>
              <w:top w:val="single" w:color="auto" w:sz="4" w:space="0"/>
              <w:left w:val="single" w:color="auto" w:sz="4" w:space="0"/>
              <w:bottom w:val="single" w:color="auto" w:sz="8" w:space="0"/>
              <w:right w:val="single" w:color="auto" w:sz="8" w:space="0"/>
            </w:tcBorders>
            <w:vAlign w:val="center"/>
          </w:tcPr>
          <w:p>
            <w:pPr>
              <w:widowControl/>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2</w:t>
            </w:r>
          </w:p>
        </w:tc>
        <w:tc>
          <w:tcPr>
            <w:tcW w:w="1443" w:type="dxa"/>
            <w:tcBorders>
              <w:top w:val="single" w:color="auto" w:sz="4" w:space="0"/>
              <w:left w:val="nil"/>
              <w:bottom w:val="single" w:color="auto" w:sz="8" w:space="0"/>
              <w:right w:val="single" w:color="auto" w:sz="8" w:space="0"/>
            </w:tcBorders>
            <w:vAlign w:val="center"/>
          </w:tcPr>
          <w:p>
            <w:pPr>
              <w:widowControl/>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4595776.44</w:t>
            </w:r>
          </w:p>
        </w:tc>
        <w:tc>
          <w:tcPr>
            <w:tcW w:w="1569" w:type="dxa"/>
            <w:tcBorders>
              <w:top w:val="single" w:color="auto" w:sz="4" w:space="0"/>
              <w:left w:val="nil"/>
              <w:bottom w:val="single" w:color="auto" w:sz="8" w:space="0"/>
              <w:right w:val="single" w:color="auto" w:sz="8" w:space="0"/>
            </w:tcBorders>
            <w:vAlign w:val="center"/>
          </w:tcPr>
          <w:p>
            <w:pPr>
              <w:widowControl/>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40420381.21</w:t>
            </w:r>
          </w:p>
        </w:tc>
        <w:tc>
          <w:tcPr>
            <w:tcW w:w="1254" w:type="dxa"/>
            <w:tcBorders>
              <w:top w:val="single" w:color="auto" w:sz="4" w:space="0"/>
              <w:left w:val="nil"/>
              <w:bottom w:val="single" w:color="auto" w:sz="8" w:space="0"/>
              <w:right w:val="single" w:color="auto" w:sz="8" w:space="0"/>
            </w:tcBorders>
            <w:vAlign w:val="center"/>
          </w:tcPr>
          <w:p>
            <w:pPr>
              <w:widowControl/>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4</w:t>
            </w:r>
          </w:p>
        </w:tc>
        <w:tc>
          <w:tcPr>
            <w:tcW w:w="1441" w:type="dxa"/>
            <w:tcBorders>
              <w:top w:val="single" w:color="auto" w:sz="4" w:space="0"/>
              <w:left w:val="nil"/>
              <w:bottom w:val="single" w:color="auto" w:sz="8" w:space="0"/>
              <w:right w:val="single" w:color="auto" w:sz="8" w:space="0"/>
            </w:tcBorders>
            <w:vAlign w:val="center"/>
          </w:tcPr>
          <w:p>
            <w:pPr>
              <w:widowControl/>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4595824.70</w:t>
            </w:r>
          </w:p>
        </w:tc>
        <w:tc>
          <w:tcPr>
            <w:tcW w:w="1564" w:type="dxa"/>
            <w:tcBorders>
              <w:top w:val="single" w:color="auto" w:sz="4" w:space="0"/>
              <w:left w:val="nil"/>
              <w:bottom w:val="single" w:color="auto" w:sz="8" w:space="0"/>
              <w:right w:val="single" w:color="auto" w:sz="8" w:space="0"/>
            </w:tcBorders>
            <w:vAlign w:val="center"/>
          </w:tcPr>
          <w:p>
            <w:pPr>
              <w:widowControl/>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40420502.52</w:t>
            </w:r>
          </w:p>
        </w:tc>
      </w:tr>
    </w:tbl>
    <w:p>
      <w:pPr>
        <w:adjustRightInd/>
        <w:snapToGrid/>
        <w:spacing w:line="120" w:lineRule="exact"/>
        <w:ind w:firstLine="482" w:firstLineChars="0"/>
        <w:contextualSpacing/>
        <w:rPr>
          <w:rFonts w:hint="default" w:ascii="Times New Roman" w:hAnsi="Times New Roman" w:cs="Times New Roman"/>
          <w:b/>
          <w:color w:val="auto"/>
          <w:sz w:val="24"/>
          <w:szCs w:val="24"/>
          <w:highlight w:val="none"/>
        </w:rPr>
      </w:pPr>
    </w:p>
    <w:p>
      <w:pPr>
        <w:adjustRightInd/>
        <w:snapToGrid/>
        <w:spacing w:line="360" w:lineRule="auto"/>
        <w:ind w:firstLine="480" w:firstLineChars="0"/>
        <w:contextualSpacing/>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5、监测时间</w:t>
      </w:r>
    </w:p>
    <w:p>
      <w:pPr>
        <w:adjustRightInd/>
        <w:snapToGrid/>
        <w:spacing w:line="360" w:lineRule="auto"/>
        <w:ind w:firstLine="480" w:firstLineChars="0"/>
        <w:contextualSpacing/>
        <w:rPr>
          <w:rFonts w:hint="default" w:ascii="Times New Roman" w:hAnsi="Times New Roman" w:cs="Times New Roman"/>
          <w:color w:val="auto"/>
          <w:spacing w:val="-6"/>
          <w:sz w:val="24"/>
          <w:szCs w:val="24"/>
          <w:highlight w:val="none"/>
        </w:rPr>
      </w:pPr>
      <w:r>
        <w:rPr>
          <w:rFonts w:hint="default" w:ascii="Times New Roman" w:hAnsi="Times New Roman" w:cs="Times New Roman"/>
          <w:color w:val="auto"/>
          <w:spacing w:val="-6"/>
          <w:sz w:val="24"/>
          <w:szCs w:val="24"/>
          <w:highlight w:val="none"/>
        </w:rPr>
        <w:t>自</w:t>
      </w:r>
      <w:r>
        <w:rPr>
          <w:rFonts w:hint="default" w:ascii="Times New Roman" w:hAnsi="Times New Roman" w:cs="Times New Roman"/>
          <w:color w:val="auto"/>
          <w:sz w:val="24"/>
          <w:szCs w:val="24"/>
          <w:highlight w:val="none"/>
        </w:rPr>
        <w:t>202</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年7月1日—202</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12</w:t>
      </w:r>
      <w:r>
        <w:rPr>
          <w:rFonts w:hint="default" w:ascii="Times New Roman" w:hAnsi="Times New Roman" w:cs="Times New Roman"/>
          <w:color w:val="auto"/>
          <w:sz w:val="24"/>
          <w:szCs w:val="24"/>
          <w:highlight w:val="none"/>
        </w:rPr>
        <w:t>月3</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日</w:t>
      </w:r>
      <w:r>
        <w:rPr>
          <w:rFonts w:hint="default" w:ascii="Times New Roman" w:hAnsi="Times New Roman" w:cs="Times New Roman"/>
          <w:color w:val="auto"/>
          <w:spacing w:val="-6"/>
          <w:sz w:val="24"/>
          <w:szCs w:val="24"/>
          <w:highlight w:val="none"/>
        </w:rPr>
        <w:t>。</w:t>
      </w:r>
    </w:p>
    <w:p>
      <w:pPr>
        <w:adjustRightInd/>
        <w:snapToGrid/>
        <w:spacing w:line="360" w:lineRule="auto"/>
        <w:ind w:firstLine="465" w:firstLineChars="0"/>
        <w:rPr>
          <w:rFonts w:hint="default" w:ascii="Times New Roman" w:hAnsi="Times New Roman" w:cs="Times New Roman"/>
          <w:b/>
          <w:color w:val="auto"/>
          <w:spacing w:val="-4"/>
          <w:sz w:val="24"/>
          <w:szCs w:val="24"/>
          <w:highlight w:val="none"/>
        </w:rPr>
      </w:pPr>
      <w:r>
        <w:rPr>
          <w:rFonts w:hint="default" w:ascii="Times New Roman" w:hAnsi="Times New Roman" w:cs="Times New Roman"/>
          <w:b/>
          <w:color w:val="auto"/>
          <w:sz w:val="24"/>
          <w:szCs w:val="24"/>
          <w:highlight w:val="none"/>
        </w:rPr>
        <w:t>三</w:t>
      </w:r>
      <w:r>
        <w:rPr>
          <w:rFonts w:hint="default" w:ascii="Times New Roman" w:hAnsi="Times New Roman" w:cs="Times New Roman"/>
          <w:b/>
          <w:color w:val="auto"/>
          <w:spacing w:val="-4"/>
          <w:sz w:val="24"/>
          <w:szCs w:val="24"/>
          <w:highlight w:val="none"/>
        </w:rPr>
        <w:t>、地形地貌景观及土地资源监测</w:t>
      </w:r>
    </w:p>
    <w:p>
      <w:pPr>
        <w:adjustRightInd/>
        <w:snapToGrid/>
        <w:spacing w:line="360" w:lineRule="auto"/>
        <w:ind w:firstLine="480" w:firstLine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定期指定专人对矿山开采活动影响地段的地形地貌景观及土地损毁情况进行监测，防止矿山开采乱采乱挖以及废弃物的随意堆放。</w:t>
      </w:r>
    </w:p>
    <w:p>
      <w:pPr>
        <w:adjustRightInd/>
        <w:snapToGrid/>
        <w:spacing w:line="360" w:lineRule="auto"/>
        <w:ind w:firstLine="480" w:firstLine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监测内容主要为挖损、压占破坏土地资源，影响地形地貌景观情况，随时掌握影响状况，制定相应对策。</w:t>
      </w:r>
    </w:p>
    <w:p>
      <w:pPr>
        <w:adjustRightInd/>
        <w:snapToGrid/>
        <w:spacing w:line="360" w:lineRule="auto"/>
        <w:ind w:firstLine="480" w:firstLine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监测方法：按监测路线进行监测，监测路线主要沿工程场地边缘布置，路线总长1500m，可根据表</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记录监测情况。</w:t>
      </w:r>
    </w:p>
    <w:p>
      <w:pPr>
        <w:adjustRightInd/>
        <w:snapToGrid/>
        <w:spacing w:line="360" w:lineRule="auto"/>
        <w:ind w:firstLine="480" w:firstLine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监测频率：每月一次，每年12次。</w:t>
      </w:r>
    </w:p>
    <w:p>
      <w:pPr>
        <w:adjustRightInd/>
        <w:snapToGrid/>
        <w:spacing w:line="360" w:lineRule="auto"/>
        <w:ind w:firstLine="480" w:firstLineChars="0"/>
        <w:contextualSpacing/>
        <w:rPr>
          <w:rFonts w:hint="default" w:ascii="Times New Roman" w:hAnsi="Times New Roman" w:cs="Times New Roman"/>
          <w:color w:val="auto"/>
          <w:spacing w:val="-6"/>
          <w:sz w:val="24"/>
          <w:szCs w:val="24"/>
          <w:highlight w:val="none"/>
        </w:rPr>
      </w:pPr>
      <w:r>
        <w:rPr>
          <w:rFonts w:hint="default" w:ascii="Times New Roman" w:hAnsi="Times New Roman" w:cs="Times New Roman"/>
          <w:color w:val="auto"/>
          <w:spacing w:val="-6"/>
          <w:sz w:val="24"/>
          <w:szCs w:val="24"/>
          <w:highlight w:val="none"/>
        </w:rPr>
        <w:t>监测时间：自</w:t>
      </w:r>
      <w:r>
        <w:rPr>
          <w:rFonts w:hint="default" w:ascii="Times New Roman" w:hAnsi="Times New Roman" w:cs="Times New Roman"/>
          <w:color w:val="auto"/>
          <w:sz w:val="24"/>
          <w:szCs w:val="24"/>
          <w:highlight w:val="none"/>
        </w:rPr>
        <w:t>202</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月1日—202</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12</w:t>
      </w:r>
      <w:r>
        <w:rPr>
          <w:rFonts w:hint="default" w:ascii="Times New Roman" w:hAnsi="Times New Roman" w:cs="Times New Roman"/>
          <w:color w:val="auto"/>
          <w:sz w:val="24"/>
          <w:szCs w:val="24"/>
          <w:highlight w:val="none"/>
        </w:rPr>
        <w:t>月3</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日</w:t>
      </w:r>
      <w:r>
        <w:rPr>
          <w:rFonts w:hint="default" w:ascii="Times New Roman" w:hAnsi="Times New Roman" w:cs="Times New Roman"/>
          <w:color w:val="auto"/>
          <w:spacing w:val="-6"/>
          <w:sz w:val="24"/>
          <w:szCs w:val="24"/>
          <w:highlight w:val="none"/>
        </w:rPr>
        <w:t>。</w:t>
      </w:r>
    </w:p>
    <w:p>
      <w:pP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br w:type="page"/>
      </w:r>
    </w:p>
    <w:p>
      <w:pPr>
        <w:adjustRightInd/>
        <w:snapToGrid/>
        <w:spacing w:line="400" w:lineRule="exact"/>
        <w:ind w:firstLine="42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rPr>
        <w:t>-</w:t>
      </w:r>
      <w:r>
        <w:rPr>
          <w:rFonts w:hint="default" w:ascii="Times New Roman" w:hAnsi="Times New Roman"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rPr>
        <w:t xml:space="preserve">  地形地貌景观及土地资源监测记录表</w:t>
      </w:r>
    </w:p>
    <w:p>
      <w:pPr>
        <w:adjustRightInd/>
        <w:snapToGrid/>
        <w:spacing w:beforeLines="50" w:line="240" w:lineRule="auto"/>
        <w:ind w:left="-204" w:leftChars="-85" w:firstLine="105" w:firstLineChars="50"/>
        <w:rPr>
          <w:rFonts w:hint="default" w:ascii="Times New Roman" w:hAnsi="Times New Roman" w:cs="Times New Roman"/>
          <w:b/>
          <w:color w:val="auto"/>
          <w:sz w:val="21"/>
          <w:szCs w:val="24"/>
          <w:highlight w:val="none"/>
        </w:rPr>
      </w:pPr>
      <w:r>
        <w:rPr>
          <w:rFonts w:hint="default" w:ascii="Times New Roman" w:hAnsi="Times New Roman" w:cs="Times New Roman"/>
          <w:b/>
          <w:color w:val="auto"/>
          <w:sz w:val="21"/>
          <w:szCs w:val="24"/>
          <w:highlight w:val="none"/>
        </w:rPr>
        <w:t xml:space="preserve">时间：  年   月   日       星期              天气：     </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896"/>
        <w:gridCol w:w="1317"/>
        <w:gridCol w:w="5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022" w:type="dxa"/>
            <w:gridSpan w:val="3"/>
            <w:vAlign w:val="center"/>
          </w:tcPr>
          <w:p>
            <w:pPr>
              <w:adjustRightInd/>
              <w:snapToGrid/>
              <w:spacing w:line="360" w:lineRule="exact"/>
              <w:ind w:firstLine="42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监测单元</w:t>
            </w:r>
          </w:p>
        </w:tc>
        <w:tc>
          <w:tcPr>
            <w:tcW w:w="5433" w:type="dxa"/>
            <w:vAlign w:val="center"/>
          </w:tcPr>
          <w:p>
            <w:pPr>
              <w:adjustRightInd/>
              <w:snapToGrid/>
              <w:spacing w:line="360" w:lineRule="exact"/>
              <w:ind w:firstLine="420" w:firstLineChars="0"/>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09" w:type="dxa"/>
            <w:vMerge w:val="restart"/>
            <w:vAlign w:val="center"/>
          </w:tcPr>
          <w:p>
            <w:pPr>
              <w:adjustRightInd/>
              <w:snapToGrid/>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监测内容</w:t>
            </w:r>
          </w:p>
        </w:tc>
        <w:tc>
          <w:tcPr>
            <w:tcW w:w="2213" w:type="dxa"/>
            <w:gridSpan w:val="2"/>
            <w:vAlign w:val="center"/>
          </w:tcPr>
          <w:p>
            <w:pPr>
              <w:adjustRightInd/>
              <w:snapToGrid/>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损毁土地面积（m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p>
        </w:tc>
        <w:tc>
          <w:tcPr>
            <w:tcW w:w="5433" w:type="dxa"/>
            <w:vAlign w:val="center"/>
          </w:tcPr>
          <w:p>
            <w:pPr>
              <w:adjustRightInd/>
              <w:snapToGrid/>
              <w:spacing w:line="360" w:lineRule="exact"/>
              <w:ind w:firstLine="0" w:firstLineChars="0"/>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09" w:type="dxa"/>
            <w:vMerge w:val="continue"/>
            <w:vAlign w:val="center"/>
          </w:tcPr>
          <w:p>
            <w:pPr>
              <w:adjustRightInd/>
              <w:snapToGrid/>
              <w:spacing w:line="360" w:lineRule="exact"/>
              <w:ind w:firstLine="420" w:firstLineChars="0"/>
              <w:jc w:val="center"/>
              <w:rPr>
                <w:rFonts w:hint="default" w:ascii="Times New Roman" w:hAnsi="Times New Roman" w:cs="Times New Roman"/>
                <w:color w:val="auto"/>
                <w:sz w:val="21"/>
                <w:szCs w:val="21"/>
                <w:highlight w:val="none"/>
              </w:rPr>
            </w:pPr>
          </w:p>
        </w:tc>
        <w:tc>
          <w:tcPr>
            <w:tcW w:w="2213" w:type="dxa"/>
            <w:gridSpan w:val="2"/>
            <w:vAlign w:val="center"/>
          </w:tcPr>
          <w:p>
            <w:pPr>
              <w:adjustRightInd/>
              <w:snapToGrid/>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破坏土地利用类型</w:t>
            </w:r>
          </w:p>
        </w:tc>
        <w:tc>
          <w:tcPr>
            <w:tcW w:w="5433" w:type="dxa"/>
            <w:vAlign w:val="center"/>
          </w:tcPr>
          <w:p>
            <w:pPr>
              <w:adjustRightInd/>
              <w:snapToGrid/>
              <w:spacing w:line="360" w:lineRule="exact"/>
              <w:ind w:firstLine="0" w:firstLineChars="0"/>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09" w:type="dxa"/>
            <w:vMerge w:val="continue"/>
            <w:vAlign w:val="center"/>
          </w:tcPr>
          <w:p>
            <w:pPr>
              <w:adjustRightInd/>
              <w:snapToGrid/>
              <w:spacing w:line="360" w:lineRule="exact"/>
              <w:ind w:firstLine="420" w:firstLineChars="0"/>
              <w:jc w:val="center"/>
              <w:rPr>
                <w:rFonts w:hint="default" w:ascii="Times New Roman" w:hAnsi="Times New Roman" w:cs="Times New Roman"/>
                <w:color w:val="auto"/>
                <w:sz w:val="21"/>
                <w:szCs w:val="21"/>
                <w:highlight w:val="none"/>
              </w:rPr>
            </w:pPr>
          </w:p>
        </w:tc>
        <w:tc>
          <w:tcPr>
            <w:tcW w:w="2213" w:type="dxa"/>
            <w:gridSpan w:val="2"/>
            <w:vAlign w:val="center"/>
          </w:tcPr>
          <w:p>
            <w:pPr>
              <w:adjustRightInd/>
              <w:snapToGrid/>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损毁方式</w:t>
            </w:r>
          </w:p>
        </w:tc>
        <w:tc>
          <w:tcPr>
            <w:tcW w:w="5433" w:type="dxa"/>
            <w:vAlign w:val="center"/>
          </w:tcPr>
          <w:p>
            <w:pPr>
              <w:adjustRightInd/>
              <w:snapToGrid/>
              <w:spacing w:line="360" w:lineRule="exact"/>
              <w:ind w:firstLine="0" w:firstLineChars="0"/>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09" w:type="dxa"/>
            <w:vMerge w:val="continue"/>
            <w:vAlign w:val="center"/>
          </w:tcPr>
          <w:p>
            <w:pPr>
              <w:adjustRightInd/>
              <w:snapToGrid/>
              <w:spacing w:line="360" w:lineRule="exact"/>
              <w:ind w:firstLine="420" w:firstLineChars="0"/>
              <w:jc w:val="center"/>
              <w:rPr>
                <w:rFonts w:hint="default" w:ascii="Times New Roman" w:hAnsi="Times New Roman" w:cs="Times New Roman"/>
                <w:color w:val="auto"/>
                <w:sz w:val="21"/>
                <w:szCs w:val="21"/>
                <w:highlight w:val="none"/>
              </w:rPr>
            </w:pPr>
          </w:p>
        </w:tc>
        <w:tc>
          <w:tcPr>
            <w:tcW w:w="2213" w:type="dxa"/>
            <w:gridSpan w:val="2"/>
            <w:vAlign w:val="center"/>
          </w:tcPr>
          <w:p>
            <w:pPr>
              <w:adjustRightInd/>
              <w:snapToGrid/>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损毁程度</w:t>
            </w:r>
          </w:p>
        </w:tc>
        <w:tc>
          <w:tcPr>
            <w:tcW w:w="5433" w:type="dxa"/>
            <w:vAlign w:val="center"/>
          </w:tcPr>
          <w:p>
            <w:pPr>
              <w:adjustRightInd/>
              <w:snapToGrid/>
              <w:spacing w:line="360" w:lineRule="exact"/>
              <w:ind w:firstLine="0" w:firstLineChars="0"/>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09" w:type="dxa"/>
            <w:vMerge w:val="continue"/>
            <w:vAlign w:val="center"/>
          </w:tcPr>
          <w:p>
            <w:pPr>
              <w:adjustRightInd/>
              <w:snapToGrid/>
              <w:spacing w:line="360" w:lineRule="exact"/>
              <w:ind w:firstLine="420" w:firstLineChars="0"/>
              <w:jc w:val="center"/>
              <w:rPr>
                <w:rFonts w:hint="default" w:ascii="Times New Roman" w:hAnsi="Times New Roman" w:cs="Times New Roman"/>
                <w:color w:val="auto"/>
                <w:sz w:val="21"/>
                <w:szCs w:val="21"/>
                <w:highlight w:val="none"/>
              </w:rPr>
            </w:pPr>
          </w:p>
        </w:tc>
        <w:tc>
          <w:tcPr>
            <w:tcW w:w="2213" w:type="dxa"/>
            <w:gridSpan w:val="2"/>
            <w:vAlign w:val="center"/>
          </w:tcPr>
          <w:p>
            <w:pPr>
              <w:adjustRightInd/>
              <w:snapToGrid/>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治理难度</w:t>
            </w:r>
          </w:p>
        </w:tc>
        <w:tc>
          <w:tcPr>
            <w:tcW w:w="5433" w:type="dxa"/>
            <w:vAlign w:val="center"/>
          </w:tcPr>
          <w:p>
            <w:pPr>
              <w:adjustRightInd/>
              <w:snapToGrid/>
              <w:spacing w:line="360" w:lineRule="exact"/>
              <w:ind w:firstLine="0" w:firstLineChars="0"/>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022" w:type="dxa"/>
            <w:gridSpan w:val="3"/>
            <w:vAlign w:val="center"/>
          </w:tcPr>
          <w:p>
            <w:pPr>
              <w:adjustRightInd/>
              <w:snapToGrid/>
              <w:spacing w:line="360" w:lineRule="exact"/>
              <w:ind w:firstLine="42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监测人员</w:t>
            </w:r>
          </w:p>
        </w:tc>
        <w:tc>
          <w:tcPr>
            <w:tcW w:w="5433" w:type="dxa"/>
            <w:vAlign w:val="center"/>
          </w:tcPr>
          <w:p>
            <w:pPr>
              <w:adjustRightInd/>
              <w:snapToGrid/>
              <w:spacing w:line="360" w:lineRule="exact"/>
              <w:ind w:firstLine="420" w:firstLineChars="0"/>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455" w:type="dxa"/>
            <w:gridSpan w:val="4"/>
            <w:tcBorders>
              <w:bottom w:val="nil"/>
            </w:tcBorders>
            <w:vAlign w:val="center"/>
          </w:tcPr>
          <w:p>
            <w:pPr>
              <w:adjustRightInd/>
              <w:snapToGrid/>
              <w:spacing w:line="360" w:lineRule="exact"/>
              <w:ind w:firstLine="105" w:firstLineChars="50"/>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监测情况：</w:t>
            </w: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pStyle w:val="2"/>
              <w:rPr>
                <w:rFonts w:hint="default" w:ascii="Times New Roman" w:hAnsi="Times New Roman" w:cs="Times New Roman"/>
                <w:color w:val="auto"/>
                <w:sz w:val="21"/>
                <w:szCs w:val="24"/>
                <w:highlight w:val="none"/>
              </w:rPr>
            </w:pPr>
          </w:p>
          <w:p>
            <w:pPr>
              <w:widowControl w:val="0"/>
              <w:ind w:firstLine="480"/>
              <w:jc w:val="both"/>
              <w:rPr>
                <w:rFonts w:hint="default" w:ascii="Times New Roman" w:hAnsi="Times New Roman" w:eastAsia="宋体" w:cs="Times New Roman"/>
                <w:color w:val="auto"/>
                <w:kern w:val="2"/>
                <w:sz w:val="21"/>
                <w:szCs w:val="24"/>
                <w:highlight w:val="none"/>
                <w:lang w:val="en-US" w:eastAsia="zh-CN" w:bidi="ar-SA"/>
              </w:rPr>
            </w:pPr>
          </w:p>
          <w:p>
            <w:pPr>
              <w:adjustRightInd/>
              <w:snapToGrid/>
              <w:spacing w:line="240" w:lineRule="auto"/>
              <w:ind w:firstLine="0" w:firstLineChars="0"/>
              <w:rPr>
                <w:rFonts w:hint="default" w:ascii="Times New Roman" w:hAnsi="Times New Roman" w:cs="Times New Roman"/>
                <w:color w:val="auto"/>
                <w:sz w:val="21"/>
                <w:szCs w:val="24"/>
                <w:highlight w:val="none"/>
              </w:rPr>
            </w:pPr>
          </w:p>
          <w:p>
            <w:pPr>
              <w:widowControl w:val="0"/>
              <w:autoSpaceDE w:val="0"/>
              <w:autoSpaceDN w:val="0"/>
              <w:adjustRightInd w:val="0"/>
              <w:jc w:val="center"/>
              <w:rPr>
                <w:rFonts w:hint="default" w:ascii="Times New Roman" w:hAnsi="Times New Roman" w:eastAsia="宋体" w:cs="Times New Roman"/>
                <w:color w:val="auto"/>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8455" w:type="dxa"/>
            <w:gridSpan w:val="4"/>
            <w:tcBorders>
              <w:top w:val="nil"/>
              <w:bottom w:val="nil"/>
            </w:tcBorders>
            <w:vAlign w:val="center"/>
          </w:tcPr>
          <w:p>
            <w:pPr>
              <w:adjustRightInd/>
              <w:snapToGrid/>
              <w:spacing w:line="360" w:lineRule="exact"/>
              <w:ind w:firstLine="0" w:firstLineChars="0"/>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05" w:type="dxa"/>
            <w:gridSpan w:val="2"/>
            <w:vAlign w:val="center"/>
          </w:tcPr>
          <w:p>
            <w:pPr>
              <w:adjustRightInd/>
              <w:snapToGrid/>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存在问题</w:t>
            </w:r>
          </w:p>
        </w:tc>
        <w:tc>
          <w:tcPr>
            <w:tcW w:w="6750" w:type="dxa"/>
            <w:gridSpan w:val="2"/>
            <w:vAlign w:val="center"/>
          </w:tcPr>
          <w:p>
            <w:pPr>
              <w:adjustRightInd/>
              <w:snapToGrid/>
              <w:spacing w:line="360" w:lineRule="exact"/>
              <w:ind w:firstLine="420" w:firstLineChars="0"/>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05" w:type="dxa"/>
            <w:gridSpan w:val="2"/>
            <w:vAlign w:val="center"/>
          </w:tcPr>
          <w:p>
            <w:pPr>
              <w:adjustRightInd/>
              <w:snapToGrid/>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处理意见</w:t>
            </w:r>
          </w:p>
        </w:tc>
        <w:tc>
          <w:tcPr>
            <w:tcW w:w="6750" w:type="dxa"/>
            <w:gridSpan w:val="2"/>
            <w:vAlign w:val="center"/>
          </w:tcPr>
          <w:p>
            <w:pPr>
              <w:adjustRightInd/>
              <w:snapToGrid/>
              <w:spacing w:line="360" w:lineRule="exact"/>
              <w:ind w:firstLine="420" w:firstLineChars="0"/>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705" w:type="dxa"/>
            <w:gridSpan w:val="2"/>
            <w:vAlign w:val="center"/>
          </w:tcPr>
          <w:p>
            <w:pPr>
              <w:adjustRightInd/>
              <w:snapToGrid/>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处理结果</w:t>
            </w:r>
          </w:p>
        </w:tc>
        <w:tc>
          <w:tcPr>
            <w:tcW w:w="6750" w:type="dxa"/>
            <w:gridSpan w:val="2"/>
            <w:vAlign w:val="center"/>
          </w:tcPr>
          <w:p>
            <w:pPr>
              <w:adjustRightInd/>
              <w:snapToGrid/>
              <w:spacing w:line="360" w:lineRule="exact"/>
              <w:ind w:firstLine="420" w:firstLineChars="0"/>
              <w:rPr>
                <w:rFonts w:hint="default" w:ascii="Times New Roman" w:hAnsi="Times New Roman" w:cs="Times New Roman"/>
                <w:color w:val="auto"/>
                <w:sz w:val="21"/>
                <w:szCs w:val="21"/>
                <w:highlight w:val="none"/>
              </w:rPr>
            </w:pPr>
          </w:p>
        </w:tc>
      </w:tr>
    </w:tbl>
    <w:p>
      <w:pPr>
        <w:pStyle w:val="4"/>
        <w:spacing w:before="240" w:beforeLines="100" w:after="120" w:line="360" w:lineRule="auto"/>
        <w:jc w:val="left"/>
        <w:rPr>
          <w:rFonts w:hint="default" w:ascii="Times New Roman" w:hAnsi="Times New Roman" w:cs="Times New Roman"/>
          <w:color w:val="auto"/>
          <w:sz w:val="30"/>
          <w:highlight w:val="none"/>
        </w:rPr>
      </w:pPr>
      <w:bookmarkStart w:id="25" w:name="_Toc26489"/>
      <w:r>
        <w:rPr>
          <w:rFonts w:hint="default" w:ascii="Times New Roman" w:hAnsi="Times New Roman" w:cs="Times New Roman"/>
          <w:color w:val="auto"/>
          <w:sz w:val="30"/>
          <w:highlight w:val="none"/>
          <w:lang w:eastAsia="zh-CN"/>
        </w:rPr>
        <w:t>（</w:t>
      </w:r>
      <w:r>
        <w:rPr>
          <w:rFonts w:hint="default" w:ascii="Times New Roman" w:hAnsi="Times New Roman" w:cs="Times New Roman"/>
          <w:color w:val="auto"/>
          <w:sz w:val="30"/>
          <w:highlight w:val="none"/>
          <w:lang w:val="en-US" w:eastAsia="zh-CN"/>
        </w:rPr>
        <w:t>四</w:t>
      </w:r>
      <w:r>
        <w:rPr>
          <w:rFonts w:hint="default" w:ascii="Times New Roman" w:hAnsi="Times New Roman" w:cs="Times New Roman"/>
          <w:color w:val="auto"/>
          <w:sz w:val="30"/>
          <w:highlight w:val="none"/>
          <w:lang w:eastAsia="zh-CN"/>
        </w:rPr>
        <w:t>）</w:t>
      </w:r>
      <w:r>
        <w:rPr>
          <w:rFonts w:hint="default" w:ascii="Times New Roman" w:hAnsi="Times New Roman" w:cs="Times New Roman"/>
          <w:color w:val="auto"/>
          <w:sz w:val="30"/>
          <w:highlight w:val="none"/>
          <w:lang w:val="en-US" w:eastAsia="zh-CN"/>
        </w:rPr>
        <w:t>管护</w:t>
      </w:r>
      <w:r>
        <w:rPr>
          <w:rFonts w:hint="default" w:ascii="Times New Roman" w:hAnsi="Times New Roman" w:cs="Times New Roman"/>
          <w:color w:val="auto"/>
          <w:sz w:val="30"/>
          <w:highlight w:val="none"/>
        </w:rPr>
        <w:t>工程</w:t>
      </w:r>
      <w:bookmarkEnd w:id="25"/>
    </w:p>
    <w:p>
      <w:pPr>
        <w:spacing w:line="360" w:lineRule="auto"/>
        <w:ind w:firstLine="480" w:firstLineChars="200"/>
        <w:rPr>
          <w:rFonts w:hint="default" w:ascii="Times New Roman" w:hAnsi="Times New Roman" w:cs="Times New Roman"/>
          <w:bCs/>
          <w:sz w:val="24"/>
          <w:highlight w:val="none"/>
        </w:rPr>
      </w:pPr>
      <w:r>
        <w:rPr>
          <w:rFonts w:hint="default" w:ascii="Times New Roman" w:hAnsi="Times New Roman" w:cs="Times New Roman"/>
          <w:bCs/>
          <w:sz w:val="24"/>
          <w:highlight w:val="none"/>
        </w:rPr>
        <w:t>为了使复垦后的土地尽快恢复生产力，每年春、秋两季灌水，以提高植被的成活率和生长速度。对复垦后的土地加强灌溉，及时进行浇水，每年2次。复垦后的林地应进行人工管理，防止牲畜对植被的损害，树苗稀疏的地方应在第二年雨季前及时补种。</w:t>
      </w:r>
    </w:p>
    <w:p>
      <w:pPr>
        <w:tabs>
          <w:tab w:val="left" w:pos="681"/>
        </w:tabs>
        <w:bidi w:val="0"/>
        <w:jc w:val="left"/>
        <w:rPr>
          <w:rFonts w:hint="default" w:ascii="Times New Roman" w:hAnsi="Times New Roman" w:cs="Times New Roman"/>
          <w:bCs/>
          <w:sz w:val="24"/>
          <w:highlight w:val="none"/>
        </w:rPr>
      </w:pPr>
      <w:r>
        <w:rPr>
          <w:rFonts w:hint="default" w:ascii="Times New Roman" w:hAnsi="Times New Roman" w:cs="Times New Roman"/>
          <w:bCs/>
          <w:sz w:val="24"/>
          <w:highlight w:val="none"/>
        </w:rPr>
        <w:t>严格执行禁放牧、禁开荒、禁采石、禁狩猎、禁用火，对封育区进行长期人工巡护。因地制宜，进行补种，要及时防治虫害、抚育，搞好防火等工作。</w:t>
      </w:r>
    </w:p>
    <w:p>
      <w:pPr>
        <w:pStyle w:val="2"/>
        <w:rPr>
          <w:rFonts w:hint="default" w:ascii="Times New Roman" w:hAnsi="Times New Roman" w:cs="Times New Roman"/>
          <w:bCs/>
          <w:sz w:val="24"/>
          <w:highlight w:val="none"/>
        </w:rPr>
      </w:pPr>
    </w:p>
    <w:p>
      <w:pPr>
        <w:pStyle w:val="2"/>
        <w:rPr>
          <w:rFonts w:hint="default" w:ascii="Times New Roman" w:hAnsi="Times New Roman" w:cs="Times New Roman"/>
          <w:bCs/>
          <w:sz w:val="24"/>
          <w:highlight w:val="none"/>
          <w:lang w:eastAsia="zh-CN"/>
        </w:rPr>
        <w:sectPr>
          <w:footerReference r:id="rId13" w:type="default"/>
          <w:pgSz w:w="11906" w:h="16838"/>
          <w:pgMar w:top="1219" w:right="1797" w:bottom="1440" w:left="1797" w:header="709" w:footer="709" w:gutter="0"/>
          <w:pgBorders>
            <w:top w:val="none" w:sz="0" w:space="0"/>
            <w:left w:val="none" w:sz="0" w:space="0"/>
            <w:bottom w:val="none" w:sz="0" w:space="0"/>
            <w:right w:val="none" w:sz="0" w:space="0"/>
          </w:pgBorders>
          <w:pgNumType w:fmt="decimal" w:start="1"/>
          <w:cols w:space="720" w:num="1"/>
        </w:sectPr>
      </w:pPr>
    </w:p>
    <w:bookmarkEnd w:id="16"/>
    <w:bookmarkEnd w:id="21"/>
    <w:p>
      <w:pPr>
        <w:pStyle w:val="3"/>
        <w:spacing w:before="163" w:after="163" w:line="360" w:lineRule="auto"/>
        <w:rPr>
          <w:rFonts w:hint="default" w:ascii="Times New Roman" w:hAnsi="Times New Roman" w:cs="Times New Roman"/>
          <w:sz w:val="30"/>
          <w:highlight w:val="none"/>
        </w:rPr>
      </w:pPr>
      <w:bookmarkStart w:id="26" w:name="_Toc436035418"/>
      <w:bookmarkStart w:id="27" w:name="_Toc2224"/>
      <w:r>
        <w:rPr>
          <w:rFonts w:hint="default" w:ascii="Times New Roman" w:hAnsi="Times New Roman" w:cs="Times New Roman"/>
          <w:sz w:val="36"/>
          <w:szCs w:val="36"/>
          <w:highlight w:val="none"/>
        </w:rPr>
        <w:t>六、经费</w:t>
      </w:r>
      <w:bookmarkEnd w:id="26"/>
      <w:r>
        <w:rPr>
          <w:rFonts w:hint="default" w:ascii="Times New Roman" w:hAnsi="Times New Roman" w:cs="Times New Roman"/>
          <w:sz w:val="36"/>
          <w:szCs w:val="36"/>
          <w:highlight w:val="none"/>
        </w:rPr>
        <w:t>预算</w:t>
      </w:r>
      <w:bookmarkEnd w:id="27"/>
    </w:p>
    <w:p>
      <w:pPr>
        <w:pStyle w:val="4"/>
        <w:pageBreakBefore w:val="0"/>
        <w:widowControl w:val="0"/>
        <w:kinsoku/>
        <w:wordWrap/>
        <w:overflowPunct/>
        <w:topLinePunct w:val="0"/>
        <w:autoSpaceDE/>
        <w:autoSpaceDN/>
        <w:bidi w:val="0"/>
        <w:adjustRightInd w:val="0"/>
        <w:snapToGrid w:val="0"/>
        <w:spacing w:before="0" w:beforeLines="0" w:after="0" w:afterLines="0" w:line="360" w:lineRule="auto"/>
        <w:jc w:val="both"/>
        <w:textAlignment w:val="auto"/>
        <w:rPr>
          <w:rFonts w:hint="default" w:ascii="Times New Roman" w:hAnsi="Times New Roman" w:cs="Times New Roman"/>
          <w:highlight w:val="none"/>
        </w:rPr>
      </w:pPr>
      <w:bookmarkStart w:id="28" w:name="_Toc384281659"/>
      <w:bookmarkStart w:id="29" w:name="_Toc3444"/>
      <w:bookmarkStart w:id="30" w:name="_Toc382243425"/>
      <w:bookmarkStart w:id="31" w:name="_Toc354385190"/>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一</w:t>
      </w:r>
      <w:r>
        <w:rPr>
          <w:rFonts w:hint="default" w:ascii="Times New Roman" w:hAnsi="Times New Roman" w:cs="Times New Roman"/>
          <w:highlight w:val="none"/>
          <w:lang w:eastAsia="zh-CN"/>
        </w:rPr>
        <w:t>）</w:t>
      </w:r>
      <w:r>
        <w:rPr>
          <w:rFonts w:hint="default" w:ascii="Times New Roman" w:hAnsi="Times New Roman" w:cs="Times New Roman"/>
          <w:highlight w:val="none"/>
        </w:rPr>
        <w:t xml:space="preserve">  工程经费概算编制依据</w:t>
      </w:r>
      <w:bookmarkEnd w:id="28"/>
      <w:bookmarkEnd w:id="29"/>
      <w:bookmarkEnd w:id="30"/>
    </w:p>
    <w:p>
      <w:pPr>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highlight w:val="none"/>
        </w:rPr>
      </w:pPr>
      <w:r>
        <w:rPr>
          <w:rFonts w:hint="default" w:ascii="Times New Roman" w:hAnsi="Times New Roman" w:cs="Times New Roman"/>
          <w:highlight w:val="none"/>
        </w:rPr>
        <w:t>　　</w:t>
      </w:r>
      <w:r>
        <w:rPr>
          <w:rFonts w:hint="eastAsia" w:cs="Times New Roman"/>
          <w:highlight w:val="none"/>
          <w:lang w:val="en-US" w:eastAsia="zh-CN"/>
        </w:rPr>
        <w:t>1</w:t>
      </w:r>
      <w:r>
        <w:rPr>
          <w:rFonts w:hint="default" w:ascii="Times New Roman" w:hAnsi="Times New Roman" w:cs="Times New Roman"/>
          <w:highlight w:val="none"/>
        </w:rPr>
        <w:t>、财政部、国土资源部关于印发《土地开发整理项目预算定额标准》的通知，财综【2011】128号；</w:t>
      </w:r>
    </w:p>
    <w:p>
      <w:pPr>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Cs w:val="24"/>
          <w:highlight w:val="none"/>
        </w:rPr>
      </w:pPr>
      <w:r>
        <w:rPr>
          <w:rFonts w:hint="eastAsia" w:cs="Times New Roman"/>
          <w:szCs w:val="24"/>
          <w:highlight w:val="none"/>
          <w:lang w:val="en-US" w:eastAsia="zh-CN"/>
        </w:rPr>
        <w:t>2</w:t>
      </w:r>
      <w:r>
        <w:rPr>
          <w:rFonts w:hint="default" w:ascii="Times New Roman" w:hAnsi="Times New Roman" w:cs="Times New Roman"/>
          <w:szCs w:val="24"/>
          <w:highlight w:val="none"/>
        </w:rPr>
        <w:t>、《内蒙古自治区矿山地质环境治理工程预算定额标准》（内蒙古自治区土地整理中心，2013年6月）</w:t>
      </w:r>
    </w:p>
    <w:p>
      <w:pPr>
        <w:pageBreakBefore w:val="0"/>
        <w:widowControl w:val="0"/>
        <w:kinsoku/>
        <w:wordWrap/>
        <w:overflowPunct/>
        <w:topLinePunct w:val="0"/>
        <w:autoSpaceDE/>
        <w:autoSpaceDN/>
        <w:bidi w:val="0"/>
        <w:adjustRightInd w:val="0"/>
        <w:snapToGrid w:val="0"/>
        <w:spacing w:line="360" w:lineRule="auto"/>
        <w:ind w:firstLine="480" w:firstLineChars="0"/>
        <w:textAlignment w:val="auto"/>
        <w:rPr>
          <w:rFonts w:hint="default" w:ascii="Times New Roman" w:hAnsi="Times New Roman" w:cs="Times New Roman"/>
          <w:szCs w:val="24"/>
          <w:highlight w:val="none"/>
        </w:rPr>
      </w:pPr>
      <w:r>
        <w:rPr>
          <w:rFonts w:hint="eastAsia" w:cs="Times New Roman"/>
          <w:highlight w:val="none"/>
          <w:lang w:val="en-US" w:eastAsia="zh-CN"/>
        </w:rPr>
        <w:t>3</w:t>
      </w:r>
      <w:r>
        <w:rPr>
          <w:rFonts w:hint="default" w:ascii="Times New Roman" w:hAnsi="Times New Roman" w:cs="Times New Roman"/>
          <w:highlight w:val="none"/>
        </w:rPr>
        <w:t>、赤峰市材料价格信息（20</w:t>
      </w:r>
      <w:r>
        <w:rPr>
          <w:rFonts w:hint="default" w:ascii="Times New Roman" w:hAnsi="Times New Roman" w:cs="Times New Roman"/>
          <w:highlight w:val="none"/>
          <w:lang w:val="en-US" w:eastAsia="zh-CN"/>
        </w:rPr>
        <w:t>2</w:t>
      </w:r>
      <w:r>
        <w:rPr>
          <w:rFonts w:hint="eastAsia" w:cs="Times New Roman"/>
          <w:highlight w:val="none"/>
          <w:lang w:val="en-US" w:eastAsia="zh-CN"/>
        </w:rPr>
        <w:t>3</w:t>
      </w:r>
      <w:r>
        <w:rPr>
          <w:rFonts w:hint="default" w:ascii="Times New Roman" w:hAnsi="Times New Roman" w:cs="Times New Roman"/>
          <w:highlight w:val="none"/>
        </w:rPr>
        <w:t>年</w:t>
      </w:r>
      <w:r>
        <w:rPr>
          <w:rFonts w:hint="default" w:ascii="Times New Roman" w:hAnsi="Times New Roman" w:cs="Times New Roman"/>
          <w:highlight w:val="none"/>
          <w:lang w:val="en-US" w:eastAsia="zh-CN"/>
        </w:rPr>
        <w:t>4</w:t>
      </w:r>
      <w:r>
        <w:rPr>
          <w:rFonts w:hint="default" w:ascii="Times New Roman" w:hAnsi="Times New Roman" w:cs="Times New Roman"/>
          <w:highlight w:val="none"/>
        </w:rPr>
        <w:t>季度）及赤峰市材料价格市场询价。</w:t>
      </w:r>
    </w:p>
    <w:p>
      <w:pPr>
        <w:pStyle w:val="4"/>
        <w:pageBreakBefore w:val="0"/>
        <w:widowControl w:val="0"/>
        <w:kinsoku/>
        <w:wordWrap/>
        <w:overflowPunct/>
        <w:topLinePunct w:val="0"/>
        <w:autoSpaceDE/>
        <w:autoSpaceDN/>
        <w:bidi w:val="0"/>
        <w:adjustRightInd w:val="0"/>
        <w:snapToGrid w:val="0"/>
        <w:spacing w:before="0" w:beforeLines="0" w:after="0" w:afterLines="0" w:line="360" w:lineRule="auto"/>
        <w:jc w:val="both"/>
        <w:textAlignment w:val="auto"/>
        <w:rPr>
          <w:rFonts w:hint="default" w:ascii="Times New Roman" w:hAnsi="Times New Roman" w:cs="Times New Roman"/>
          <w:highlight w:val="none"/>
        </w:rPr>
      </w:pPr>
      <w:bookmarkStart w:id="32" w:name="_Toc22752"/>
      <w:bookmarkStart w:id="33" w:name="_Toc382243426"/>
      <w:bookmarkStart w:id="34" w:name="_Toc384281660"/>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二</w:t>
      </w:r>
      <w:r>
        <w:rPr>
          <w:rFonts w:hint="default" w:ascii="Times New Roman" w:hAnsi="Times New Roman" w:cs="Times New Roman"/>
          <w:highlight w:val="none"/>
          <w:lang w:eastAsia="zh-CN"/>
        </w:rPr>
        <w:t>）</w:t>
      </w:r>
      <w:r>
        <w:rPr>
          <w:rFonts w:hint="default" w:ascii="Times New Roman" w:hAnsi="Times New Roman" w:cs="Times New Roman"/>
          <w:highlight w:val="none"/>
        </w:rPr>
        <w:t xml:space="preserve">  工程经费概算编制说明</w:t>
      </w:r>
      <w:bookmarkEnd w:id="32"/>
      <w:bookmarkEnd w:id="33"/>
      <w:bookmarkEnd w:id="34"/>
    </w:p>
    <w:p>
      <w:pPr>
        <w:pageBreakBefore w:val="0"/>
        <w:widowControl w:val="0"/>
        <w:kinsoku/>
        <w:wordWrap/>
        <w:overflowPunct/>
        <w:topLinePunct w:val="0"/>
        <w:autoSpaceDE/>
        <w:autoSpaceDN/>
        <w:bidi w:val="0"/>
        <w:adjustRightInd w:val="0"/>
        <w:snapToGrid w:val="0"/>
        <w:spacing w:line="360" w:lineRule="auto"/>
        <w:ind w:firstLine="480"/>
        <w:contextualSpacing/>
        <w:textAlignment w:val="auto"/>
        <w:rPr>
          <w:rFonts w:hint="default" w:ascii="Times New Roman" w:hAnsi="Times New Roman" w:cs="Times New Roman"/>
          <w:highlight w:val="none"/>
        </w:rPr>
      </w:pPr>
      <w:r>
        <w:rPr>
          <w:rFonts w:hint="default" w:ascii="Times New Roman" w:hAnsi="Times New Roman" w:cs="Times New Roman"/>
          <w:highlight w:val="none"/>
        </w:rPr>
        <w:t>（一）、矿山地质环境保护与恢复治理及土地复垦方案中的工程项目施工原则上由采矿权人自主完成。</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（二）、费用构成</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该矿山地质环境治理项目费用由工程施工费、其他费用、不可预见费、管护费及监测费组成，具体内容如下：</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工程施工费由直接费、间接费、利润、税金组成。其中：</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直接费由直接工程费、措施费组成；</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间接费由规费、企业管理费组成；</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税金由营业税、城乡维护建设税、教育费附加组成。</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其他费用由前期工作费、工程监理费、竣工验收费、项目管理费组成。</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1、工程施工费</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（1）直接费</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指工程施工过程中直接消耗在工程项目上的活劳动和物化劳动。由直接工程费、措施费组成。</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直接工程费包括人工费、材料费和施工机械使用费。</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措施费包括临时设施费、冬雨季施工增加费、夜间施工增加费、施工辅助费和安全施工措施费。</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A）直接工程费</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人工费=定额劳动量（工日）×人工概算单价（元／工日），人工单价根据《内蒙古自治区矿山地质环境治理工程预算定额标准》的规定及</w:t>
      </w:r>
      <w:r>
        <w:rPr>
          <w:rFonts w:hint="default" w:ascii="Times New Roman" w:hAnsi="Times New Roman" w:cs="Times New Roman"/>
          <w:highlight w:val="none"/>
          <w:lang w:val="en-US" w:eastAsia="zh-CN"/>
        </w:rPr>
        <w:t>宁城县</w:t>
      </w:r>
      <w:r>
        <w:rPr>
          <w:rFonts w:hint="default" w:ascii="Times New Roman" w:hAnsi="Times New Roman" w:cs="Times New Roman"/>
          <w:highlight w:val="none"/>
        </w:rPr>
        <w:t xml:space="preserve">市场价格计取，甲类工86.21元／工日，乙类工63.16元／工日。 </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材料费=定额材料用量×材料单价，主要材料单价按照《内蒙古自治区矿山地质环境治理工程预算定额标准》编制，超出限价部分单独计算材料价差，主要材料以外的材料价格以赤峰市20</w:t>
      </w:r>
      <w:r>
        <w:rPr>
          <w:rFonts w:hint="default" w:ascii="Times New Roman" w:hAnsi="Times New Roman" w:cs="Times New Roman"/>
          <w:highlight w:val="none"/>
          <w:lang w:val="en-US" w:eastAsia="zh-CN"/>
        </w:rPr>
        <w:t>2</w:t>
      </w:r>
      <w:r>
        <w:rPr>
          <w:rFonts w:hint="eastAsia" w:cs="Times New Roman"/>
          <w:highlight w:val="none"/>
          <w:lang w:val="en-US" w:eastAsia="zh-CN"/>
        </w:rPr>
        <w:t>3</w:t>
      </w:r>
      <w:r>
        <w:rPr>
          <w:rFonts w:hint="default" w:ascii="Times New Roman" w:hAnsi="Times New Roman" w:cs="Times New Roman"/>
          <w:highlight w:val="none"/>
        </w:rPr>
        <w:t>年市场价格计取并以材料到工地实际价格计算。</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施工机械使用费=定额机械使用量（台班）×施工机械台班费（元／台班）。台班费定额依据《内蒙古自治区矿山地质环境治理工程预算定额标准》编制， （具体见定额单价取费表）</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B）措施费</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指为完成工程项目施工，发生于该工程施工前和施工过程中非工程实体项目的费用，包括临时设施费、冬雨季施工增加费、夜间施工增加费、施工辅助费和安全施工措施费。</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措施费=直接工程费×措施费费率。</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其费率依据财政部、国土资源部《内蒙古自治区矿山地质环境治理工程预算定额标准》内蒙古自治区矿山地质环境治理工程预算定额标准计取，取费标准如下表所示：</w:t>
      </w:r>
    </w:p>
    <w:p>
      <w:pPr>
        <w:spacing w:line="331" w:lineRule="auto"/>
        <w:ind w:firstLine="0" w:firstLineChars="0"/>
        <w:contextualSpacing/>
        <w:jc w:val="center"/>
        <w:rPr>
          <w:rFonts w:hint="default" w:ascii="Times New Roman" w:hAnsi="Times New Roman" w:eastAsia="黑体" w:cs="Times New Roman"/>
          <w:szCs w:val="24"/>
          <w:highlight w:val="none"/>
        </w:rPr>
      </w:pPr>
      <w:r>
        <w:rPr>
          <w:rFonts w:hint="default" w:ascii="Times New Roman" w:hAnsi="Times New Roman" w:eastAsia="黑体" w:cs="Times New Roman"/>
          <w:highlight w:val="none"/>
        </w:rPr>
        <w:t>表6-1    措施费费率表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1276"/>
        <w:gridCol w:w="993"/>
        <w:gridCol w:w="1134"/>
        <w:gridCol w:w="1133"/>
        <w:gridCol w:w="1274"/>
        <w:gridCol w:w="1117"/>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序号</w:t>
            </w:r>
          </w:p>
        </w:tc>
        <w:tc>
          <w:tcPr>
            <w:tcW w:w="748"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工程类别</w:t>
            </w:r>
          </w:p>
        </w:tc>
        <w:tc>
          <w:tcPr>
            <w:tcW w:w="582"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临时设施费率（%）</w:t>
            </w:r>
          </w:p>
        </w:tc>
        <w:tc>
          <w:tcPr>
            <w:tcW w:w="665"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冬雨季施工增加费率（%）</w:t>
            </w:r>
          </w:p>
        </w:tc>
        <w:tc>
          <w:tcPr>
            <w:tcW w:w="664"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夜间施工</w:t>
            </w:r>
          </w:p>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增加费率（%）</w:t>
            </w:r>
          </w:p>
        </w:tc>
        <w:tc>
          <w:tcPr>
            <w:tcW w:w="747"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施工辅助</w:t>
            </w:r>
          </w:p>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费率（%）</w:t>
            </w:r>
          </w:p>
        </w:tc>
        <w:tc>
          <w:tcPr>
            <w:tcW w:w="655"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安全施工措施费率（%）</w:t>
            </w:r>
          </w:p>
        </w:tc>
        <w:tc>
          <w:tcPr>
            <w:tcW w:w="625"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费率合计（%）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1</w:t>
            </w:r>
          </w:p>
        </w:tc>
        <w:tc>
          <w:tcPr>
            <w:tcW w:w="748"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土方工程</w:t>
            </w:r>
          </w:p>
        </w:tc>
        <w:tc>
          <w:tcPr>
            <w:tcW w:w="582"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2</w:t>
            </w:r>
          </w:p>
        </w:tc>
        <w:tc>
          <w:tcPr>
            <w:tcW w:w="665"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0.7</w:t>
            </w:r>
          </w:p>
        </w:tc>
        <w:tc>
          <w:tcPr>
            <w:tcW w:w="664"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0.2</w:t>
            </w:r>
          </w:p>
        </w:tc>
        <w:tc>
          <w:tcPr>
            <w:tcW w:w="747"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0.7</w:t>
            </w:r>
          </w:p>
        </w:tc>
        <w:tc>
          <w:tcPr>
            <w:tcW w:w="655"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0.2</w:t>
            </w:r>
          </w:p>
        </w:tc>
        <w:tc>
          <w:tcPr>
            <w:tcW w:w="625"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2</w:t>
            </w:r>
          </w:p>
        </w:tc>
        <w:tc>
          <w:tcPr>
            <w:tcW w:w="748"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石方工程</w:t>
            </w:r>
          </w:p>
        </w:tc>
        <w:tc>
          <w:tcPr>
            <w:tcW w:w="582"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2</w:t>
            </w:r>
          </w:p>
        </w:tc>
        <w:tc>
          <w:tcPr>
            <w:tcW w:w="665"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0.7</w:t>
            </w:r>
          </w:p>
        </w:tc>
        <w:tc>
          <w:tcPr>
            <w:tcW w:w="664"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0.2</w:t>
            </w:r>
          </w:p>
        </w:tc>
        <w:tc>
          <w:tcPr>
            <w:tcW w:w="747"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0.7</w:t>
            </w:r>
          </w:p>
        </w:tc>
        <w:tc>
          <w:tcPr>
            <w:tcW w:w="655"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0.2</w:t>
            </w:r>
          </w:p>
        </w:tc>
        <w:tc>
          <w:tcPr>
            <w:tcW w:w="625"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3</w:t>
            </w:r>
          </w:p>
        </w:tc>
        <w:tc>
          <w:tcPr>
            <w:tcW w:w="748"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砌体工程</w:t>
            </w:r>
          </w:p>
        </w:tc>
        <w:tc>
          <w:tcPr>
            <w:tcW w:w="582"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2</w:t>
            </w:r>
          </w:p>
        </w:tc>
        <w:tc>
          <w:tcPr>
            <w:tcW w:w="665"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0.7</w:t>
            </w:r>
          </w:p>
        </w:tc>
        <w:tc>
          <w:tcPr>
            <w:tcW w:w="664"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0.2</w:t>
            </w:r>
          </w:p>
        </w:tc>
        <w:tc>
          <w:tcPr>
            <w:tcW w:w="747"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0.7</w:t>
            </w:r>
          </w:p>
        </w:tc>
        <w:tc>
          <w:tcPr>
            <w:tcW w:w="655"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0.2</w:t>
            </w:r>
          </w:p>
        </w:tc>
        <w:tc>
          <w:tcPr>
            <w:tcW w:w="625"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4</w:t>
            </w:r>
          </w:p>
        </w:tc>
        <w:tc>
          <w:tcPr>
            <w:tcW w:w="748"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混凝土工程</w:t>
            </w:r>
          </w:p>
        </w:tc>
        <w:tc>
          <w:tcPr>
            <w:tcW w:w="582"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3</w:t>
            </w:r>
          </w:p>
        </w:tc>
        <w:tc>
          <w:tcPr>
            <w:tcW w:w="665"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0.7</w:t>
            </w:r>
          </w:p>
        </w:tc>
        <w:tc>
          <w:tcPr>
            <w:tcW w:w="664"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0.2</w:t>
            </w:r>
          </w:p>
        </w:tc>
        <w:tc>
          <w:tcPr>
            <w:tcW w:w="747"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0.7</w:t>
            </w:r>
          </w:p>
        </w:tc>
        <w:tc>
          <w:tcPr>
            <w:tcW w:w="655"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0.2</w:t>
            </w:r>
          </w:p>
        </w:tc>
        <w:tc>
          <w:tcPr>
            <w:tcW w:w="625"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5</w:t>
            </w:r>
          </w:p>
        </w:tc>
        <w:tc>
          <w:tcPr>
            <w:tcW w:w="748"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植被工程</w:t>
            </w:r>
          </w:p>
        </w:tc>
        <w:tc>
          <w:tcPr>
            <w:tcW w:w="582"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2</w:t>
            </w:r>
          </w:p>
        </w:tc>
        <w:tc>
          <w:tcPr>
            <w:tcW w:w="665"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0.7</w:t>
            </w:r>
          </w:p>
        </w:tc>
        <w:tc>
          <w:tcPr>
            <w:tcW w:w="664"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0.2</w:t>
            </w:r>
          </w:p>
        </w:tc>
        <w:tc>
          <w:tcPr>
            <w:tcW w:w="747"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0.7</w:t>
            </w:r>
          </w:p>
        </w:tc>
        <w:tc>
          <w:tcPr>
            <w:tcW w:w="655"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0.2</w:t>
            </w:r>
          </w:p>
        </w:tc>
        <w:tc>
          <w:tcPr>
            <w:tcW w:w="625"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4"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6</w:t>
            </w:r>
          </w:p>
        </w:tc>
        <w:tc>
          <w:tcPr>
            <w:tcW w:w="748"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辅助工程</w:t>
            </w:r>
          </w:p>
        </w:tc>
        <w:tc>
          <w:tcPr>
            <w:tcW w:w="582"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2</w:t>
            </w:r>
          </w:p>
        </w:tc>
        <w:tc>
          <w:tcPr>
            <w:tcW w:w="665"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0.7</w:t>
            </w:r>
          </w:p>
        </w:tc>
        <w:tc>
          <w:tcPr>
            <w:tcW w:w="664"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0.2</w:t>
            </w:r>
          </w:p>
        </w:tc>
        <w:tc>
          <w:tcPr>
            <w:tcW w:w="747"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0.7</w:t>
            </w:r>
          </w:p>
        </w:tc>
        <w:tc>
          <w:tcPr>
            <w:tcW w:w="655"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0.2</w:t>
            </w:r>
          </w:p>
        </w:tc>
        <w:tc>
          <w:tcPr>
            <w:tcW w:w="625"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3.8</w:t>
            </w:r>
          </w:p>
        </w:tc>
      </w:tr>
    </w:tbl>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（2）间接费</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间接费包括企业管理费和规费，依据《内蒙古自治区矿山地质环境治理工程预算定额标准》规定，间接费率按工程类别进行计取，间接费按项目直接费×间接费费率进行计算，取费标准如下表所示：</w:t>
      </w:r>
    </w:p>
    <w:p>
      <w:pPr>
        <w:spacing w:line="331" w:lineRule="auto"/>
        <w:ind w:firstLine="0" w:firstLineChars="0"/>
        <w:contextualSpacing/>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表6-2    间接费费率表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2"/>
        <w:gridCol w:w="2132"/>
        <w:gridCol w:w="2132"/>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序号</w:t>
            </w:r>
          </w:p>
        </w:tc>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工程类别</w:t>
            </w:r>
          </w:p>
        </w:tc>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计算基础</w:t>
            </w:r>
          </w:p>
        </w:tc>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l</w:t>
            </w:r>
          </w:p>
        </w:tc>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土方工程</w:t>
            </w:r>
          </w:p>
        </w:tc>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直接费</w:t>
            </w:r>
          </w:p>
        </w:tc>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2</w:t>
            </w:r>
          </w:p>
        </w:tc>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石方工程</w:t>
            </w:r>
          </w:p>
        </w:tc>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直接费</w:t>
            </w:r>
          </w:p>
        </w:tc>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3</w:t>
            </w:r>
          </w:p>
        </w:tc>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砌体工程</w:t>
            </w:r>
          </w:p>
        </w:tc>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直接费</w:t>
            </w:r>
          </w:p>
        </w:tc>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4</w:t>
            </w:r>
          </w:p>
        </w:tc>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混凝土工程</w:t>
            </w:r>
          </w:p>
        </w:tc>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直接费</w:t>
            </w:r>
          </w:p>
        </w:tc>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5</w:t>
            </w:r>
          </w:p>
        </w:tc>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植被工程</w:t>
            </w:r>
          </w:p>
        </w:tc>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直接费</w:t>
            </w:r>
          </w:p>
        </w:tc>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6</w:t>
            </w:r>
          </w:p>
        </w:tc>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辅助工程</w:t>
            </w:r>
          </w:p>
        </w:tc>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直接费</w:t>
            </w:r>
          </w:p>
        </w:tc>
        <w:tc>
          <w:tcPr>
            <w:tcW w:w="1250" w:type="pct"/>
            <w:shd w:val="clear" w:color="auto" w:fill="auto"/>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5</w:t>
            </w:r>
          </w:p>
        </w:tc>
      </w:tr>
    </w:tbl>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（3）利润</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依据《内蒙古自治区矿山地质环境治理工程预算定额标准》规定，利润按直接费与间接费之和的3%计取。</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（4）税金</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依据《内蒙古自治区矿山地质环境治理工程预算定额标准》、税金按直接费、间接费、利润之和的3.28%计取。</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2、其他费用</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其他费用包括前期工作费、工程监理费、竣工验收费、项目管理费。</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（1）前期工作费：</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包括项目可研论证费、项目勘测与设计费、项目招标代理费，具体费率如下表：</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A）项目可研论证费：以工程施工费作为计费基数，采用分档定额计费方式计算，各分区按内插法确定。</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B）项目勘测与设计费</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以工程施工费为计算基数，采用分档定额计费方式计算，各分区按内插法确定。</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C）项目招标代理费</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以工程施工费作为计费基数，采用差额定率累进法计算。</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（2）工程监理费</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以工程施工费作为计费基数，采用分档定额计费方式计算，各区间按内插法确定。</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（3）竣工验收费</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竣工验收费=工程验收费+项目决算编制与审计费</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A）工程验收费</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以工程施工费作为计费基数，采用差额定率累进计算。</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B）项目决算编制与审计费</w:t>
      </w:r>
    </w:p>
    <w:p>
      <w:pPr>
        <w:spacing w:line="331" w:lineRule="auto"/>
        <w:ind w:firstLine="480"/>
        <w:contextualSpacing/>
        <w:rPr>
          <w:rFonts w:hint="default" w:ascii="Times New Roman" w:hAnsi="Times New Roman" w:cs="Times New Roman"/>
          <w:highlight w:val="none"/>
        </w:rPr>
      </w:pPr>
      <w:r>
        <w:rPr>
          <w:rFonts w:hint="default" w:ascii="Times New Roman" w:hAnsi="Times New Roman" w:cs="Times New Roman"/>
          <w:highlight w:val="none"/>
        </w:rPr>
        <w:t>以工程施工费为计算基数，采用差额定率累进计算。</w:t>
      </w:r>
    </w:p>
    <w:p>
      <w:pPr>
        <w:keepNext w:val="0"/>
        <w:keepLines w:val="0"/>
        <w:pageBreakBefore w:val="0"/>
        <w:widowControl w:val="0"/>
        <w:kinsoku/>
        <w:wordWrap/>
        <w:overflowPunct/>
        <w:topLinePunct w:val="0"/>
        <w:bidi w:val="0"/>
        <w:adjustRightInd w:val="0"/>
        <w:spacing w:line="360" w:lineRule="auto"/>
        <w:ind w:firstLine="480"/>
        <w:contextualSpacing/>
        <w:textAlignment w:val="auto"/>
        <w:rPr>
          <w:rFonts w:hint="default" w:ascii="Times New Roman" w:hAnsi="Times New Roman" w:cs="Times New Roman"/>
          <w:highlight w:val="none"/>
        </w:rPr>
      </w:pPr>
      <w:r>
        <w:rPr>
          <w:rFonts w:hint="default" w:ascii="Times New Roman" w:hAnsi="Times New Roman" w:cs="Times New Roman"/>
          <w:highlight w:val="none"/>
        </w:rPr>
        <w:t>（4）项目管理费</w:t>
      </w:r>
    </w:p>
    <w:p>
      <w:pPr>
        <w:keepNext w:val="0"/>
        <w:keepLines w:val="0"/>
        <w:pageBreakBefore w:val="0"/>
        <w:widowControl w:val="0"/>
        <w:kinsoku/>
        <w:wordWrap/>
        <w:overflowPunct/>
        <w:topLinePunct w:val="0"/>
        <w:bidi w:val="0"/>
        <w:adjustRightInd w:val="0"/>
        <w:spacing w:line="360" w:lineRule="auto"/>
        <w:ind w:firstLine="480"/>
        <w:contextualSpacing/>
        <w:textAlignment w:val="auto"/>
        <w:rPr>
          <w:rFonts w:hint="default" w:ascii="Times New Roman" w:hAnsi="Times New Roman" w:cs="Times New Roman"/>
          <w:highlight w:val="none"/>
        </w:rPr>
      </w:pPr>
      <w:r>
        <w:rPr>
          <w:rFonts w:hint="default" w:ascii="Times New Roman" w:hAnsi="Times New Roman" w:cs="Times New Roman"/>
          <w:highlight w:val="none"/>
        </w:rPr>
        <w:t>以工程施工费、前期工作费、工程监理费、竣工验收费之和作为计费基数，采用差额定率累进计算。</w:t>
      </w:r>
    </w:p>
    <w:p>
      <w:pPr>
        <w:pStyle w:val="2"/>
        <w:keepNext w:val="0"/>
        <w:keepLines w:val="0"/>
        <w:pageBreakBefore w:val="0"/>
        <w:widowControl w:val="0"/>
        <w:kinsoku/>
        <w:wordWrap/>
        <w:overflowPunct/>
        <w:topLinePunct w:val="0"/>
        <w:bidi w:val="0"/>
        <w:adjustRightInd w:val="0"/>
        <w:spacing w:line="360" w:lineRule="auto"/>
        <w:ind w:firstLine="480" w:firstLineChars="200"/>
        <w:textAlignment w:val="auto"/>
        <w:rPr>
          <w:rFonts w:hint="default"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本年度治理不涉及此项费用。</w:t>
      </w:r>
    </w:p>
    <w:p>
      <w:pPr>
        <w:keepNext w:val="0"/>
        <w:keepLines w:val="0"/>
        <w:pageBreakBefore w:val="0"/>
        <w:widowControl w:val="0"/>
        <w:kinsoku/>
        <w:wordWrap/>
        <w:overflowPunct/>
        <w:topLinePunct w:val="0"/>
        <w:bidi w:val="0"/>
        <w:adjustRightInd w:val="0"/>
        <w:spacing w:line="360" w:lineRule="auto"/>
        <w:ind w:firstLine="480"/>
        <w:contextualSpacing/>
        <w:textAlignment w:val="auto"/>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3、不可预见费</w:t>
      </w:r>
    </w:p>
    <w:p>
      <w:pPr>
        <w:keepNext w:val="0"/>
        <w:keepLines w:val="0"/>
        <w:pageBreakBefore w:val="0"/>
        <w:widowControl w:val="0"/>
        <w:kinsoku/>
        <w:wordWrap/>
        <w:overflowPunct/>
        <w:topLinePunct w:val="0"/>
        <w:bidi w:val="0"/>
        <w:adjustRightInd w:val="0"/>
        <w:spacing w:line="360" w:lineRule="auto"/>
        <w:ind w:firstLine="480"/>
        <w:contextualSpacing/>
        <w:textAlignment w:val="auto"/>
        <w:rPr>
          <w:rFonts w:hint="default" w:ascii="Times New Roman" w:hAnsi="Times New Roman" w:cs="Times New Roman"/>
          <w:highlight w:val="none"/>
        </w:rPr>
      </w:pPr>
      <w:r>
        <w:rPr>
          <w:rFonts w:hint="default" w:ascii="Times New Roman" w:hAnsi="Times New Roman" w:eastAsia="宋体" w:cs="Times New Roman"/>
          <w:color w:val="auto"/>
          <w:kern w:val="2"/>
          <w:sz w:val="24"/>
          <w:szCs w:val="20"/>
          <w:highlight w:val="none"/>
          <w:lang w:val="en-US" w:eastAsia="zh-CN" w:bidi="ar-SA"/>
        </w:rPr>
        <w:t>不可预见费按不</w:t>
      </w:r>
      <w:r>
        <w:rPr>
          <w:rFonts w:hint="default" w:ascii="Times New Roman" w:hAnsi="Times New Roman" w:cs="Times New Roman"/>
          <w:highlight w:val="none"/>
        </w:rPr>
        <w:t>超过工程施工费、其他费用之和的3%计算，计算公式为：</w:t>
      </w:r>
    </w:p>
    <w:p>
      <w:pPr>
        <w:keepNext w:val="0"/>
        <w:keepLines w:val="0"/>
        <w:pageBreakBefore w:val="0"/>
        <w:widowControl w:val="0"/>
        <w:kinsoku/>
        <w:wordWrap/>
        <w:overflowPunct/>
        <w:topLinePunct w:val="0"/>
        <w:bidi w:val="0"/>
        <w:adjustRightInd w:val="0"/>
        <w:spacing w:line="360" w:lineRule="auto"/>
        <w:ind w:firstLine="480"/>
        <w:contextualSpacing/>
        <w:textAlignment w:val="auto"/>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t>不可预见费=（工程施工费+其他费用）×3%。</w:t>
      </w:r>
      <w:r>
        <w:rPr>
          <w:rFonts w:hint="eastAsia" w:cs="Times New Roman"/>
          <w:highlight w:val="none"/>
          <w:lang w:val="en-US" w:eastAsia="zh-CN"/>
        </w:rPr>
        <w:t>本年度治理不涉及此项费用。</w:t>
      </w:r>
    </w:p>
    <w:p>
      <w:pPr>
        <w:keepNext w:val="0"/>
        <w:keepLines w:val="0"/>
        <w:pageBreakBefore w:val="0"/>
        <w:widowControl w:val="0"/>
        <w:kinsoku/>
        <w:wordWrap/>
        <w:overflowPunct/>
        <w:topLinePunct w:val="0"/>
        <w:bidi w:val="0"/>
        <w:adjustRightInd w:val="0"/>
        <w:spacing w:line="360" w:lineRule="auto"/>
        <w:ind w:firstLine="480"/>
        <w:contextualSpacing/>
        <w:textAlignment w:val="auto"/>
        <w:rPr>
          <w:rFonts w:hint="default" w:ascii="Times New Roman" w:hAnsi="Times New Roman" w:cs="Times New Roman"/>
          <w:highlight w:val="none"/>
        </w:rPr>
      </w:pPr>
      <w:r>
        <w:rPr>
          <w:rFonts w:hint="default" w:ascii="Times New Roman" w:hAnsi="Times New Roman" w:cs="Times New Roman"/>
          <w:highlight w:val="none"/>
        </w:rPr>
        <w:t>4、监测管护费</w:t>
      </w:r>
    </w:p>
    <w:p>
      <w:pPr>
        <w:ind w:firstLine="480"/>
        <w:contextualSpacing/>
        <w:rPr>
          <w:rFonts w:hint="default" w:ascii="Times New Roman" w:hAnsi="Times New Roman" w:cs="Times New Roman"/>
          <w:highlight w:val="none"/>
        </w:rPr>
      </w:pPr>
      <w:r>
        <w:rPr>
          <w:rFonts w:hint="default" w:ascii="Times New Roman" w:hAnsi="Times New Roman" w:cs="Times New Roman"/>
          <w:highlight w:val="none"/>
        </w:rPr>
        <w:t>监测管护费由监测费和管护费组成。</w:t>
      </w:r>
    </w:p>
    <w:p>
      <w:pPr>
        <w:numPr>
          <w:ilvl w:val="0"/>
          <w:numId w:val="7"/>
        </w:numPr>
        <w:ind w:firstLine="480"/>
        <w:contextualSpacing/>
        <w:rPr>
          <w:rFonts w:hint="default" w:ascii="Times New Roman" w:hAnsi="Times New Roman" w:cs="Times New Roman"/>
          <w:bCs/>
          <w:highlight w:val="none"/>
        </w:rPr>
      </w:pPr>
      <w:r>
        <w:rPr>
          <w:rFonts w:hint="default" w:ascii="Times New Roman" w:hAnsi="Times New Roman" w:cs="Times New Roman"/>
          <w:highlight w:val="none"/>
        </w:rPr>
        <w:t>监测费：</w:t>
      </w:r>
      <w:r>
        <w:rPr>
          <w:rFonts w:hint="default" w:ascii="Times New Roman" w:hAnsi="Times New Roman" w:cs="Times New Roman"/>
          <w:bCs/>
          <w:highlight w:val="none"/>
        </w:rPr>
        <w:t>以工程施工费作为计费基数，一次监测费用可按不超过工程施工费的0.3%计算。</w:t>
      </w:r>
    </w:p>
    <w:p>
      <w:pPr>
        <w:numPr>
          <w:ilvl w:val="0"/>
          <w:numId w:val="7"/>
        </w:numPr>
        <w:spacing w:line="360" w:lineRule="auto"/>
        <w:ind w:left="0" w:leftChars="0" w:firstLine="480" w:firstLineChars="200"/>
        <w:contextualSpacing/>
        <w:rPr>
          <w:rFonts w:hint="default" w:ascii="Times New Roman" w:hAnsi="Times New Roman" w:cs="Times New Roman"/>
          <w:bCs/>
          <w:highlight w:val="none"/>
        </w:rPr>
      </w:pPr>
      <w:r>
        <w:rPr>
          <w:rFonts w:hint="default" w:ascii="Times New Roman" w:hAnsi="Times New Roman" w:cs="Times New Roman"/>
          <w:bCs/>
          <w:highlight w:val="none"/>
        </w:rPr>
        <w:t>管护费：以项目植物工程的工程施工费作为计费基，一次管护费用可按不超过植物工程的工程施工费的8%计算。</w:t>
      </w:r>
    </w:p>
    <w:p>
      <w:pPr>
        <w:pStyle w:val="2"/>
        <w:widowControl w:val="0"/>
        <w:numPr>
          <w:ilvl w:val="0"/>
          <w:numId w:val="0"/>
        </w:numPr>
        <w:autoSpaceDE w:val="0"/>
        <w:autoSpaceDN w:val="0"/>
        <w:adjustRightInd w:val="0"/>
        <w:spacing w:line="360" w:lineRule="auto"/>
        <w:rPr>
          <w:rFonts w:hint="default" w:ascii="Times New Roman" w:hAnsi="Times New Roman" w:cs="Times New Roman"/>
          <w:bCs/>
          <w:highlight w:val="none"/>
        </w:rPr>
      </w:pPr>
      <w:r>
        <w:rPr>
          <w:rFonts w:hint="default" w:ascii="Times New Roman" w:hAnsi="Times New Roman" w:cs="Times New Roman"/>
          <w:highlight w:val="none"/>
          <w:lang w:val="en-US" w:eastAsia="zh-CN"/>
        </w:rPr>
        <w:t xml:space="preserve"> </w:t>
      </w:r>
      <w:r>
        <w:rPr>
          <w:rFonts w:hint="default" w:ascii="Times New Roman" w:hAnsi="Times New Roman" w:eastAsia="宋体" w:cs="Times New Roman"/>
          <w:bCs/>
          <w:color w:val="auto"/>
          <w:kern w:val="2"/>
          <w:sz w:val="24"/>
          <w:szCs w:val="22"/>
          <w:highlight w:val="none"/>
          <w:lang w:val="en-US" w:eastAsia="zh-CN" w:bidi="ar-SA"/>
        </w:rPr>
        <w:t xml:space="preserve">  </w:t>
      </w:r>
      <w:bookmarkEnd w:id="31"/>
      <w:r>
        <w:rPr>
          <w:rFonts w:hint="default" w:ascii="Times New Roman" w:hAnsi="Times New Roman" w:cs="Times New Roman"/>
          <w:highlight w:val="none"/>
        </w:rPr>
        <w:t>经概算，</w:t>
      </w:r>
      <w:r>
        <w:rPr>
          <w:rFonts w:hint="default" w:ascii="Times New Roman" w:hAnsi="Times New Roman" w:cs="Times New Roman"/>
          <w:highlight w:val="none"/>
          <w:lang w:eastAsia="zh-CN"/>
        </w:rPr>
        <w:t>宁城县生鑫矿业有限公司</w:t>
      </w:r>
      <w:r>
        <w:rPr>
          <w:rFonts w:hint="default" w:ascii="Times New Roman" w:hAnsi="Times New Roman" w:cs="Times New Roman"/>
          <w:highlight w:val="none"/>
          <w:lang w:val="en-US" w:eastAsia="zh-CN"/>
        </w:rPr>
        <w:t>年度</w:t>
      </w:r>
      <w:r>
        <w:rPr>
          <w:rFonts w:hint="default" w:ascii="Times New Roman" w:hAnsi="Times New Roman" w:cs="Times New Roman"/>
          <w:highlight w:val="none"/>
        </w:rPr>
        <w:t>矿山地质环境治理工程经费概算总额为</w:t>
      </w:r>
      <w:r>
        <w:rPr>
          <w:rFonts w:hint="default" w:ascii="Times New Roman" w:hAnsi="Times New Roman" w:cs="Times New Roman"/>
          <w:szCs w:val="22"/>
          <w:highlight w:val="none"/>
          <w:lang w:val="en-US" w:eastAsia="zh-CN"/>
        </w:rPr>
        <w:t>301549.14</w:t>
      </w:r>
      <w:r>
        <w:rPr>
          <w:rFonts w:hint="default" w:ascii="Times New Roman" w:hAnsi="Times New Roman" w:cs="Times New Roman"/>
          <w:highlight w:val="none"/>
        </w:rPr>
        <w:t>元</w:t>
      </w:r>
      <w:r>
        <w:rPr>
          <w:rFonts w:hint="default" w:ascii="Times New Roman" w:hAnsi="Times New Roman" w:cs="Times New Roman"/>
          <w:bCs/>
          <w:highlight w:val="none"/>
        </w:rPr>
        <w:t>。详见表6-</w:t>
      </w:r>
      <w:r>
        <w:rPr>
          <w:rFonts w:hint="default" w:ascii="Times New Roman" w:hAnsi="Times New Roman" w:cs="Times New Roman"/>
          <w:bCs/>
          <w:highlight w:val="none"/>
          <w:lang w:val="en-US" w:eastAsia="zh-CN"/>
        </w:rPr>
        <w:t>3</w:t>
      </w:r>
      <w:r>
        <w:rPr>
          <w:rFonts w:hint="default" w:ascii="Times New Roman" w:hAnsi="Times New Roman" w:cs="Times New Roman"/>
          <w:bCs/>
          <w:highlight w:val="none"/>
        </w:rPr>
        <w:t>至6-</w:t>
      </w:r>
      <w:r>
        <w:rPr>
          <w:rFonts w:hint="eastAsia" w:ascii="Times New Roman" w:cs="Times New Roman"/>
          <w:bCs/>
          <w:highlight w:val="none"/>
          <w:lang w:val="en-US" w:eastAsia="zh-CN"/>
        </w:rPr>
        <w:t>5</w:t>
      </w:r>
      <w:r>
        <w:rPr>
          <w:rFonts w:hint="default" w:ascii="Times New Roman" w:hAnsi="Times New Roman" w:cs="Times New Roman"/>
          <w:bCs/>
          <w:highlight w:val="none"/>
        </w:rPr>
        <w:t>。</w:t>
      </w:r>
    </w:p>
    <w:p>
      <w:pPr>
        <w:spacing w:line="326" w:lineRule="auto"/>
        <w:ind w:firstLine="198" w:firstLineChars="82"/>
        <w:jc w:val="center"/>
        <w:rPr>
          <w:rFonts w:hint="default" w:ascii="Times New Roman" w:hAnsi="Times New Roman" w:cs="Times New Roman"/>
          <w:b/>
          <w:bCs/>
          <w:szCs w:val="22"/>
          <w:highlight w:val="none"/>
        </w:rPr>
      </w:pPr>
      <w:r>
        <w:rPr>
          <w:rFonts w:hint="default" w:ascii="Times New Roman" w:hAnsi="Times New Roman" w:cs="Times New Roman"/>
          <w:b/>
          <w:bCs/>
          <w:szCs w:val="22"/>
          <w:highlight w:val="none"/>
        </w:rPr>
        <w:t>表6-</w:t>
      </w:r>
      <w:r>
        <w:rPr>
          <w:rFonts w:hint="eastAsia" w:cs="Times New Roman"/>
          <w:b/>
          <w:bCs/>
          <w:szCs w:val="22"/>
          <w:highlight w:val="none"/>
          <w:lang w:val="en-US" w:eastAsia="zh-CN"/>
        </w:rPr>
        <w:t>3</w:t>
      </w:r>
      <w:r>
        <w:rPr>
          <w:rFonts w:hint="default" w:ascii="Times New Roman" w:hAnsi="Times New Roman" w:cs="Times New Roman"/>
          <w:b/>
          <w:bCs/>
          <w:szCs w:val="22"/>
          <w:highlight w:val="none"/>
        </w:rPr>
        <w:t xml:space="preserve">  矿山地质环境治理预算表    单位：元</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2019"/>
        <w:gridCol w:w="2268"/>
        <w:gridCol w:w="3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5" w:type="pct"/>
            <w:vMerge w:val="restar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序号</w:t>
            </w:r>
          </w:p>
        </w:tc>
        <w:tc>
          <w:tcPr>
            <w:tcW w:w="1183" w:type="pc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工程或费用名称</w:t>
            </w:r>
          </w:p>
        </w:tc>
        <w:tc>
          <w:tcPr>
            <w:tcW w:w="1330" w:type="pc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预算金额（</w:t>
            </w:r>
            <w:r>
              <w:rPr>
                <w:rFonts w:hint="eastAsia" w:cs="Times New Roman"/>
                <w:sz w:val="21"/>
                <w:szCs w:val="21"/>
                <w:highlight w:val="none"/>
                <w:lang w:val="en-US" w:eastAsia="zh-CN"/>
              </w:rPr>
              <w:t>万</w:t>
            </w:r>
            <w:r>
              <w:rPr>
                <w:rFonts w:hint="default" w:ascii="Times New Roman" w:hAnsi="Times New Roman" w:cs="Times New Roman"/>
                <w:sz w:val="21"/>
                <w:szCs w:val="21"/>
                <w:highlight w:val="none"/>
              </w:rPr>
              <w:t>元）</w:t>
            </w:r>
          </w:p>
        </w:tc>
        <w:tc>
          <w:tcPr>
            <w:tcW w:w="2040" w:type="pc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各费用占总费用的比例（%）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5" w:type="pct"/>
            <w:vMerge w:val="continue"/>
            <w:noWrap w:val="0"/>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183" w:type="pc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1330" w:type="pc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w:t>
            </w:r>
          </w:p>
        </w:tc>
        <w:tc>
          <w:tcPr>
            <w:tcW w:w="2040" w:type="pc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5" w:type="pct"/>
            <w:noWrap w:val="0"/>
            <w:vAlign w:val="center"/>
          </w:tcPr>
          <w:p>
            <w:pPr>
              <w:spacing w:line="240" w:lineRule="auto"/>
              <w:ind w:firstLine="0" w:firstLineChars="0"/>
              <w:jc w:val="center"/>
              <w:rPr>
                <w:rFonts w:hint="default" w:ascii="Times New Roman" w:hAnsi="Times New Roman" w:cs="Times New Roman"/>
                <w:sz w:val="21"/>
                <w:szCs w:val="21"/>
                <w:highlight w:val="none"/>
              </w:rPr>
            </w:pPr>
            <w:bookmarkStart w:id="35" w:name="OLE_LINK2" w:colFirst="1" w:colLast="1"/>
            <w:bookmarkStart w:id="36" w:name="OLE_LINK3" w:colFirst="1" w:colLast="1"/>
            <w:bookmarkStart w:id="37" w:name="OLE_LINK7" w:colFirst="1" w:colLast="1"/>
            <w:bookmarkStart w:id="38" w:name="_Hlk440361838"/>
            <w:r>
              <w:rPr>
                <w:rFonts w:hint="default" w:ascii="Times New Roman" w:hAnsi="Times New Roman" w:cs="Times New Roman"/>
                <w:sz w:val="21"/>
                <w:szCs w:val="21"/>
                <w:highlight w:val="none"/>
              </w:rPr>
              <w:t>一</w:t>
            </w:r>
          </w:p>
        </w:tc>
        <w:tc>
          <w:tcPr>
            <w:tcW w:w="1183" w:type="pc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工程施工费</w:t>
            </w:r>
          </w:p>
        </w:tc>
        <w:tc>
          <w:tcPr>
            <w:tcW w:w="1330"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14.91</w:t>
            </w:r>
          </w:p>
        </w:tc>
        <w:tc>
          <w:tcPr>
            <w:tcW w:w="2040" w:type="pct"/>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 xml:space="preserve">93.71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5" w:type="pct"/>
            <w:noWrap w:val="0"/>
            <w:vAlign w:val="center"/>
          </w:tcPr>
          <w:p>
            <w:pPr>
              <w:spacing w:line="240" w:lineRule="auto"/>
              <w:ind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val="en-US" w:eastAsia="zh-CN"/>
              </w:rPr>
              <w:t>二</w:t>
            </w:r>
          </w:p>
        </w:tc>
        <w:tc>
          <w:tcPr>
            <w:tcW w:w="1183" w:type="pct"/>
            <w:noWrap w:val="0"/>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监测与管护费</w:t>
            </w:r>
          </w:p>
        </w:tc>
        <w:tc>
          <w:tcPr>
            <w:tcW w:w="1330"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1.00</w:t>
            </w:r>
          </w:p>
        </w:tc>
        <w:tc>
          <w:tcPr>
            <w:tcW w:w="2040" w:type="pct"/>
            <w:noWrap w:val="0"/>
            <w:vAlign w:val="center"/>
          </w:tcPr>
          <w:p>
            <w:pPr>
              <w:spacing w:line="240" w:lineRule="auto"/>
              <w:ind w:firstLine="0" w:firstLineChars="0"/>
              <w:jc w:val="center"/>
              <w:rPr>
                <w:rFonts w:hint="default" w:cs="Times New Roman"/>
                <w:sz w:val="21"/>
                <w:szCs w:val="21"/>
                <w:highlight w:val="none"/>
                <w:lang w:val="en-US" w:eastAsia="zh-CN"/>
              </w:rPr>
            </w:pPr>
            <w:r>
              <w:rPr>
                <w:rFonts w:hint="eastAsia" w:cs="Times New Roman"/>
                <w:sz w:val="21"/>
                <w:szCs w:val="21"/>
                <w:highlight w:val="none"/>
                <w:lang w:val="en-US" w:eastAsia="zh-CN"/>
              </w:rPr>
              <w:t xml:space="preserve">6.29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629" w:type="pct"/>
            <w:gridSpan w:val="2"/>
            <w:noWrap w:val="0"/>
            <w:vAlign w:val="center"/>
          </w:tcPr>
          <w:p>
            <w:pPr>
              <w:spacing w:line="240" w:lineRule="auto"/>
              <w:ind w:firstLine="0" w:firstLineChars="0"/>
              <w:jc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default" w:ascii="Times New Roman" w:hAnsi="Times New Roman" w:eastAsia="宋体" w:cs="Times New Roman"/>
                <w:b/>
                <w:bCs/>
                <w:i w:val="0"/>
                <w:color w:val="000000"/>
                <w:kern w:val="0"/>
                <w:sz w:val="21"/>
                <w:szCs w:val="21"/>
                <w:highlight w:val="none"/>
                <w:u w:val="none"/>
                <w:lang w:val="en-US" w:eastAsia="zh-CN" w:bidi="ar"/>
              </w:rPr>
              <w:t>总              计</w:t>
            </w:r>
          </w:p>
        </w:tc>
        <w:tc>
          <w:tcPr>
            <w:tcW w:w="1330"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15.91</w:t>
            </w:r>
          </w:p>
        </w:tc>
        <w:tc>
          <w:tcPr>
            <w:tcW w:w="2040" w:type="pct"/>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100</w:t>
            </w:r>
            <w:r>
              <w:rPr>
                <w:rFonts w:hint="eastAsia" w:cs="Times New Roman"/>
                <w:sz w:val="21"/>
                <w:szCs w:val="21"/>
                <w:highlight w:val="none"/>
                <w:lang w:val="en-US" w:eastAsia="zh-CN"/>
              </w:rPr>
              <w:t>.00</w:t>
            </w:r>
          </w:p>
        </w:tc>
      </w:tr>
      <w:bookmarkEnd w:id="35"/>
      <w:bookmarkEnd w:id="36"/>
      <w:bookmarkEnd w:id="37"/>
      <w:bookmarkEnd w:id="38"/>
    </w:tbl>
    <w:p>
      <w:pPr>
        <w:spacing w:line="326" w:lineRule="auto"/>
        <w:ind w:firstLine="198" w:firstLineChars="82"/>
        <w:jc w:val="center"/>
        <w:rPr>
          <w:rFonts w:hint="default" w:ascii="Times New Roman" w:hAnsi="Times New Roman" w:cs="Times New Roman"/>
          <w:b/>
          <w:bCs/>
          <w:szCs w:val="22"/>
          <w:highlight w:val="none"/>
        </w:rPr>
      </w:pPr>
      <w:r>
        <w:rPr>
          <w:rFonts w:hint="default" w:ascii="Times New Roman" w:hAnsi="Times New Roman" w:cs="Times New Roman"/>
          <w:b/>
          <w:bCs/>
          <w:szCs w:val="22"/>
          <w:highlight w:val="none"/>
        </w:rPr>
        <w:t>表6-</w:t>
      </w:r>
      <w:r>
        <w:rPr>
          <w:rFonts w:hint="eastAsia" w:cs="Times New Roman"/>
          <w:b/>
          <w:bCs/>
          <w:szCs w:val="22"/>
          <w:highlight w:val="none"/>
          <w:lang w:val="en-US" w:eastAsia="zh-CN"/>
        </w:rPr>
        <w:t>4</w:t>
      </w:r>
      <w:r>
        <w:rPr>
          <w:rFonts w:hint="default" w:ascii="Times New Roman" w:hAnsi="Times New Roman" w:cs="Times New Roman"/>
          <w:b/>
          <w:bCs/>
          <w:szCs w:val="22"/>
          <w:highlight w:val="none"/>
        </w:rPr>
        <w:t xml:space="preserve"> 工程施工费预算总表              单位：元</w:t>
      </w:r>
    </w:p>
    <w:tbl>
      <w:tblPr>
        <w:tblStyle w:val="13"/>
        <w:tblW w:w="5113" w:type="pct"/>
        <w:tblInd w:w="-111" w:type="dxa"/>
        <w:tblLayout w:type="autofit"/>
        <w:tblCellMar>
          <w:top w:w="0" w:type="dxa"/>
          <w:left w:w="0" w:type="dxa"/>
          <w:bottom w:w="0" w:type="dxa"/>
          <w:right w:w="0" w:type="dxa"/>
        </w:tblCellMar>
      </w:tblPr>
      <w:tblGrid>
        <w:gridCol w:w="1123"/>
        <w:gridCol w:w="1012"/>
        <w:gridCol w:w="1729"/>
        <w:gridCol w:w="828"/>
        <w:gridCol w:w="804"/>
        <w:gridCol w:w="1698"/>
        <w:gridCol w:w="1337"/>
      </w:tblGrid>
      <w:tr>
        <w:tblPrEx>
          <w:tblCellMar>
            <w:top w:w="0" w:type="dxa"/>
            <w:left w:w="0" w:type="dxa"/>
            <w:bottom w:w="0" w:type="dxa"/>
            <w:right w:w="0" w:type="dxa"/>
          </w:tblCellMar>
        </w:tblPrEx>
        <w:trPr>
          <w:trHeight w:val="340" w:hRule="atLeast"/>
        </w:trPr>
        <w:tc>
          <w:tcPr>
            <w:tcW w:w="658" w:type="pct"/>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序号</w:t>
            </w:r>
          </w:p>
        </w:tc>
        <w:tc>
          <w:tcPr>
            <w:tcW w:w="593" w:type="pc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定额编号</w:t>
            </w:r>
          </w:p>
        </w:tc>
        <w:tc>
          <w:tcPr>
            <w:tcW w:w="1011" w:type="pc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单项名称</w:t>
            </w:r>
          </w:p>
        </w:tc>
        <w:tc>
          <w:tcPr>
            <w:tcW w:w="485" w:type="pc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单位</w:t>
            </w:r>
          </w:p>
        </w:tc>
        <w:tc>
          <w:tcPr>
            <w:tcW w:w="471" w:type="pc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工程量</w:t>
            </w:r>
          </w:p>
        </w:tc>
        <w:tc>
          <w:tcPr>
            <w:tcW w:w="995" w:type="pc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综合单价（元）</w:t>
            </w:r>
          </w:p>
        </w:tc>
        <w:tc>
          <w:tcPr>
            <w:tcW w:w="783" w:type="pc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合计（元）</w:t>
            </w:r>
          </w:p>
        </w:tc>
      </w:tr>
      <w:tr>
        <w:tblPrEx>
          <w:tblCellMar>
            <w:top w:w="0" w:type="dxa"/>
            <w:left w:w="0" w:type="dxa"/>
            <w:bottom w:w="0" w:type="dxa"/>
            <w:right w:w="0" w:type="dxa"/>
          </w:tblCellMar>
        </w:tblPrEx>
        <w:trPr>
          <w:trHeight w:val="340" w:hRule="atLeast"/>
        </w:trPr>
        <w:tc>
          <w:tcPr>
            <w:tcW w:w="658" w:type="pct"/>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adjustRightInd/>
              <w:snapToGrid/>
              <w:spacing w:line="240" w:lineRule="auto"/>
              <w:ind w:firstLine="0" w:firstLineChars="0"/>
              <w:jc w:val="center"/>
              <w:rPr>
                <w:rFonts w:hint="default" w:ascii="Times New Roman" w:hAnsi="Times New Roman" w:eastAsia="宋体" w:cs="Times New Roman"/>
                <w:i w:val="0"/>
                <w:color w:val="000000"/>
                <w:sz w:val="21"/>
                <w:szCs w:val="21"/>
                <w:highlight w:val="none"/>
                <w:u w:val="none"/>
              </w:rPr>
            </w:pPr>
          </w:p>
        </w:tc>
        <w:tc>
          <w:tcPr>
            <w:tcW w:w="593"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w:t>
            </w:r>
          </w:p>
        </w:tc>
        <w:tc>
          <w:tcPr>
            <w:tcW w:w="1011"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w:t>
            </w:r>
          </w:p>
        </w:tc>
        <w:tc>
          <w:tcPr>
            <w:tcW w:w="485"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3</w:t>
            </w:r>
          </w:p>
        </w:tc>
        <w:tc>
          <w:tcPr>
            <w:tcW w:w="471"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4</w:t>
            </w:r>
          </w:p>
        </w:tc>
        <w:tc>
          <w:tcPr>
            <w:tcW w:w="995"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5</w:t>
            </w:r>
          </w:p>
        </w:tc>
        <w:tc>
          <w:tcPr>
            <w:tcW w:w="783"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w:t>
            </w:r>
          </w:p>
        </w:tc>
      </w:tr>
      <w:tr>
        <w:tblPrEx>
          <w:tblCellMar>
            <w:top w:w="0" w:type="dxa"/>
            <w:left w:w="0" w:type="dxa"/>
            <w:bottom w:w="0" w:type="dxa"/>
            <w:right w:w="0" w:type="dxa"/>
          </w:tblCellMar>
        </w:tblPrEx>
        <w:trPr>
          <w:trHeight w:val="340" w:hRule="atLeast"/>
        </w:trPr>
        <w:tc>
          <w:tcPr>
            <w:tcW w:w="658" w:type="pc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adjustRightInd/>
              <w:snapToGrid/>
              <w:spacing w:line="240" w:lineRule="auto"/>
              <w:ind w:firstLine="0" w:firstLineChars="0"/>
              <w:jc w:val="center"/>
              <w:rPr>
                <w:rFonts w:hint="default" w:ascii="Times New Roman" w:hAnsi="Times New Roman" w:eastAsia="宋体" w:cs="Times New Roman"/>
                <w:i w:val="0"/>
                <w:color w:val="000000"/>
                <w:sz w:val="21"/>
                <w:szCs w:val="21"/>
                <w:highlight w:val="none"/>
                <w:u w:val="none"/>
                <w:lang w:val="en-US" w:eastAsia="zh-CN"/>
              </w:rPr>
            </w:pPr>
            <w:r>
              <w:rPr>
                <w:rFonts w:hint="default" w:ascii="Times New Roman" w:hAnsi="Times New Roman" w:cs="Times New Roman"/>
                <w:i w:val="0"/>
                <w:color w:val="000000"/>
                <w:sz w:val="21"/>
                <w:szCs w:val="21"/>
                <w:highlight w:val="none"/>
                <w:u w:val="none"/>
                <w:lang w:val="en-US" w:eastAsia="zh-CN"/>
              </w:rPr>
              <w:t>一</w:t>
            </w:r>
          </w:p>
        </w:tc>
        <w:tc>
          <w:tcPr>
            <w:tcW w:w="593"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p>
        </w:tc>
        <w:tc>
          <w:tcPr>
            <w:tcW w:w="1011"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土方工程</w:t>
            </w:r>
          </w:p>
        </w:tc>
        <w:tc>
          <w:tcPr>
            <w:tcW w:w="485"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p>
        </w:tc>
        <w:tc>
          <w:tcPr>
            <w:tcW w:w="471"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p>
        </w:tc>
        <w:tc>
          <w:tcPr>
            <w:tcW w:w="995"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p>
        </w:tc>
        <w:tc>
          <w:tcPr>
            <w:tcW w:w="783"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p>
        </w:tc>
      </w:tr>
      <w:tr>
        <w:tblPrEx>
          <w:tblCellMar>
            <w:top w:w="0" w:type="dxa"/>
            <w:left w:w="0" w:type="dxa"/>
            <w:bottom w:w="0" w:type="dxa"/>
            <w:right w:w="0" w:type="dxa"/>
          </w:tblCellMar>
        </w:tblPrEx>
        <w:trPr>
          <w:trHeight w:val="340" w:hRule="atLeast"/>
        </w:trPr>
        <w:tc>
          <w:tcPr>
            <w:tcW w:w="658" w:type="pc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adjustRightInd/>
              <w:snapToGrid/>
              <w:spacing w:line="240" w:lineRule="auto"/>
              <w:ind w:firstLine="0" w:firstLineChars="0"/>
              <w:jc w:val="center"/>
              <w:rPr>
                <w:rFonts w:hint="default" w:ascii="Times New Roman" w:hAnsi="Times New Roman" w:cs="Times New Roman"/>
                <w:i w:val="0"/>
                <w:color w:val="000000"/>
                <w:sz w:val="21"/>
                <w:szCs w:val="21"/>
                <w:highlight w:val="none"/>
                <w:u w:val="none"/>
                <w:lang w:val="en-US" w:eastAsia="zh-CN"/>
              </w:rPr>
            </w:pPr>
            <w:r>
              <w:rPr>
                <w:rFonts w:hint="default" w:ascii="Times New Roman" w:hAnsi="Times New Roman" w:cs="Times New Roman"/>
                <w:i w:val="0"/>
                <w:color w:val="000000"/>
                <w:sz w:val="21"/>
                <w:szCs w:val="21"/>
                <w:highlight w:val="none"/>
                <w:u w:val="none"/>
                <w:lang w:val="en-US" w:eastAsia="zh-CN"/>
              </w:rPr>
              <w:t>二</w:t>
            </w:r>
          </w:p>
        </w:tc>
        <w:tc>
          <w:tcPr>
            <w:tcW w:w="593"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p>
        </w:tc>
        <w:tc>
          <w:tcPr>
            <w:tcW w:w="1011"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石方工程</w:t>
            </w:r>
          </w:p>
        </w:tc>
        <w:tc>
          <w:tcPr>
            <w:tcW w:w="485"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cs="Times New Roman"/>
                <w:i w:val="0"/>
                <w:color w:val="000000"/>
                <w:kern w:val="0"/>
                <w:sz w:val="21"/>
                <w:szCs w:val="21"/>
                <w:highlight w:val="none"/>
                <w:u w:val="none"/>
                <w:lang w:val="en-US" w:eastAsia="zh-CN" w:bidi="ar"/>
              </w:rPr>
            </w:pPr>
          </w:p>
        </w:tc>
        <w:tc>
          <w:tcPr>
            <w:tcW w:w="471"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p>
        </w:tc>
        <w:tc>
          <w:tcPr>
            <w:tcW w:w="995"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p>
        </w:tc>
        <w:tc>
          <w:tcPr>
            <w:tcW w:w="783"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149118.</w:t>
            </w:r>
            <w:r>
              <w:rPr>
                <w:rFonts w:hint="eastAsia" w:cs="Times New Roman"/>
                <w:b/>
                <w:bCs/>
                <w:i w:val="0"/>
                <w:color w:val="000000"/>
                <w:kern w:val="0"/>
                <w:sz w:val="21"/>
                <w:szCs w:val="21"/>
                <w:highlight w:val="none"/>
                <w:u w:val="none"/>
                <w:lang w:val="en-US" w:eastAsia="zh-CN" w:bidi="ar"/>
              </w:rPr>
              <w:t>46</w:t>
            </w:r>
          </w:p>
        </w:tc>
      </w:tr>
      <w:tr>
        <w:tblPrEx>
          <w:tblCellMar>
            <w:top w:w="0" w:type="dxa"/>
            <w:left w:w="0" w:type="dxa"/>
            <w:bottom w:w="0" w:type="dxa"/>
            <w:right w:w="0" w:type="dxa"/>
          </w:tblCellMar>
        </w:tblPrEx>
        <w:trPr>
          <w:trHeight w:val="340" w:hRule="atLeast"/>
        </w:trPr>
        <w:tc>
          <w:tcPr>
            <w:tcW w:w="658" w:type="pc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adjustRightInd/>
              <w:snapToGrid/>
              <w:spacing w:line="240" w:lineRule="auto"/>
              <w:ind w:firstLine="0" w:firstLineChars="0"/>
              <w:jc w:val="center"/>
              <w:rPr>
                <w:rFonts w:hint="default" w:ascii="Times New Roman" w:hAnsi="Times New Roman" w:cs="Times New Roman"/>
                <w:i w:val="0"/>
                <w:color w:val="000000"/>
                <w:sz w:val="21"/>
                <w:szCs w:val="21"/>
                <w:highlight w:val="none"/>
                <w:u w:val="none"/>
                <w:lang w:val="en-US" w:eastAsia="zh-CN"/>
              </w:rPr>
            </w:pPr>
          </w:p>
        </w:tc>
        <w:tc>
          <w:tcPr>
            <w:tcW w:w="593"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eastAsia" w:cs="Times New Roman"/>
                <w:i w:val="0"/>
                <w:color w:val="000000"/>
                <w:kern w:val="0"/>
                <w:sz w:val="21"/>
                <w:szCs w:val="21"/>
                <w:highlight w:val="none"/>
                <w:u w:val="none"/>
                <w:lang w:val="en-US" w:eastAsia="zh-CN" w:bidi="ar"/>
              </w:rPr>
              <w:t>20013</w:t>
            </w:r>
          </w:p>
        </w:tc>
        <w:tc>
          <w:tcPr>
            <w:tcW w:w="1011"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危岩体</w:t>
            </w:r>
            <w:r>
              <w:rPr>
                <w:rFonts w:hint="eastAsia" w:cs="Times New Roman"/>
                <w:i w:val="0"/>
                <w:color w:val="000000"/>
                <w:kern w:val="0"/>
                <w:sz w:val="21"/>
                <w:szCs w:val="21"/>
                <w:highlight w:val="none"/>
                <w:u w:val="none"/>
                <w:lang w:val="en-US" w:eastAsia="zh-CN" w:bidi="ar"/>
              </w:rPr>
              <w:t>清理</w:t>
            </w:r>
          </w:p>
        </w:tc>
        <w:tc>
          <w:tcPr>
            <w:tcW w:w="485"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m</w:t>
            </w:r>
            <w:r>
              <w:rPr>
                <w:rFonts w:hint="default" w:ascii="Times New Roman" w:hAnsi="Times New Roman" w:cs="Times New Roman"/>
                <w:i w:val="0"/>
                <w:color w:val="000000"/>
                <w:kern w:val="0"/>
                <w:sz w:val="21"/>
                <w:szCs w:val="21"/>
                <w:highlight w:val="none"/>
                <w:u w:val="none"/>
                <w:vertAlign w:val="superscript"/>
                <w:lang w:val="en-US" w:eastAsia="zh-CN" w:bidi="ar"/>
              </w:rPr>
              <w:t>3</w:t>
            </w:r>
          </w:p>
        </w:tc>
        <w:tc>
          <w:tcPr>
            <w:tcW w:w="471"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eastAsia" w:cs="Times New Roman"/>
                <w:i w:val="0"/>
                <w:color w:val="000000"/>
                <w:kern w:val="0"/>
                <w:sz w:val="21"/>
                <w:szCs w:val="21"/>
                <w:highlight w:val="none"/>
                <w:u w:val="none"/>
                <w:lang w:val="en-US" w:eastAsia="zh-CN" w:bidi="ar"/>
              </w:rPr>
              <w:t>5531</w:t>
            </w:r>
          </w:p>
        </w:tc>
        <w:tc>
          <w:tcPr>
            <w:tcW w:w="995"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26.96</w:t>
            </w:r>
          </w:p>
        </w:tc>
        <w:tc>
          <w:tcPr>
            <w:tcW w:w="783"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149118.</w:t>
            </w:r>
            <w:r>
              <w:rPr>
                <w:rFonts w:hint="eastAsia" w:cs="Times New Roman"/>
                <w:b/>
                <w:bCs/>
                <w:i w:val="0"/>
                <w:color w:val="000000"/>
                <w:kern w:val="0"/>
                <w:sz w:val="21"/>
                <w:szCs w:val="21"/>
                <w:highlight w:val="none"/>
                <w:u w:val="none"/>
                <w:lang w:val="en-US" w:eastAsia="zh-CN" w:bidi="ar"/>
              </w:rPr>
              <w:t>46</w:t>
            </w:r>
          </w:p>
        </w:tc>
      </w:tr>
      <w:tr>
        <w:tblPrEx>
          <w:tblCellMar>
            <w:top w:w="0" w:type="dxa"/>
            <w:left w:w="0" w:type="dxa"/>
            <w:bottom w:w="0" w:type="dxa"/>
            <w:right w:w="0" w:type="dxa"/>
          </w:tblCellMar>
        </w:tblPrEx>
        <w:trPr>
          <w:trHeight w:val="340" w:hRule="atLeast"/>
        </w:trPr>
        <w:tc>
          <w:tcPr>
            <w:tcW w:w="2264" w:type="pct"/>
            <w:gridSpan w:val="3"/>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i w:val="0"/>
                <w:color w:val="000000"/>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总  计</w:t>
            </w:r>
          </w:p>
        </w:tc>
        <w:tc>
          <w:tcPr>
            <w:tcW w:w="485" w:type="pct"/>
            <w:tcBorders>
              <w:top w:val="nil"/>
              <w:left w:val="nil"/>
              <w:bottom w:val="single" w:color="000000" w:sz="8" w:space="0"/>
              <w:right w:val="single" w:color="000000" w:sz="8" w:space="0"/>
            </w:tcBorders>
            <w:noWrap w:val="0"/>
            <w:tcMar>
              <w:top w:w="15" w:type="dxa"/>
              <w:left w:w="15" w:type="dxa"/>
              <w:right w:w="15" w:type="dxa"/>
            </w:tcMar>
            <w:vAlign w:val="center"/>
          </w:tcPr>
          <w:p>
            <w:pPr>
              <w:adjustRightInd/>
              <w:snapToGrid/>
              <w:spacing w:line="240" w:lineRule="auto"/>
              <w:ind w:firstLine="0" w:firstLineChars="0"/>
              <w:jc w:val="center"/>
              <w:rPr>
                <w:rFonts w:hint="default" w:ascii="Times New Roman" w:hAnsi="Times New Roman" w:eastAsia="宋体" w:cs="Times New Roman"/>
                <w:i w:val="0"/>
                <w:color w:val="000000"/>
                <w:sz w:val="21"/>
                <w:szCs w:val="21"/>
                <w:highlight w:val="none"/>
                <w:u w:val="none"/>
              </w:rPr>
            </w:pPr>
          </w:p>
        </w:tc>
        <w:tc>
          <w:tcPr>
            <w:tcW w:w="471" w:type="pct"/>
            <w:tcBorders>
              <w:top w:val="nil"/>
              <w:left w:val="nil"/>
              <w:bottom w:val="single" w:color="000000" w:sz="8" w:space="0"/>
              <w:right w:val="single" w:color="000000" w:sz="8" w:space="0"/>
            </w:tcBorders>
            <w:noWrap w:val="0"/>
            <w:tcMar>
              <w:top w:w="15" w:type="dxa"/>
              <w:left w:w="15" w:type="dxa"/>
              <w:right w:w="15" w:type="dxa"/>
            </w:tcMar>
            <w:vAlign w:val="center"/>
          </w:tcPr>
          <w:p>
            <w:pPr>
              <w:adjustRightInd/>
              <w:snapToGrid/>
              <w:spacing w:line="240" w:lineRule="auto"/>
              <w:ind w:firstLine="0" w:firstLineChars="0"/>
              <w:jc w:val="center"/>
              <w:rPr>
                <w:rFonts w:hint="default" w:ascii="Times New Roman" w:hAnsi="Times New Roman" w:eastAsia="宋体" w:cs="Times New Roman"/>
                <w:i w:val="0"/>
                <w:color w:val="000000"/>
                <w:sz w:val="21"/>
                <w:szCs w:val="21"/>
                <w:highlight w:val="none"/>
                <w:u w:val="none"/>
              </w:rPr>
            </w:pPr>
          </w:p>
        </w:tc>
        <w:tc>
          <w:tcPr>
            <w:tcW w:w="995"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p>
        </w:tc>
        <w:tc>
          <w:tcPr>
            <w:tcW w:w="783" w:type="pc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宋体" w:cs="Times New Roman"/>
                <w:b/>
                <w:bCs/>
                <w:i w:val="0"/>
                <w:color w:val="000000"/>
                <w:kern w:val="0"/>
                <w:sz w:val="21"/>
                <w:szCs w:val="21"/>
                <w:highlight w:val="none"/>
                <w:u w:val="none"/>
                <w:lang w:val="en-US" w:eastAsia="zh-CN" w:bidi="ar"/>
              </w:rPr>
            </w:pPr>
            <w:r>
              <w:rPr>
                <w:rFonts w:hint="eastAsia" w:ascii="Times New Roman" w:hAnsi="Times New Roman" w:eastAsia="宋体" w:cs="Times New Roman"/>
                <w:b/>
                <w:bCs/>
                <w:i w:val="0"/>
                <w:color w:val="000000"/>
                <w:kern w:val="0"/>
                <w:sz w:val="21"/>
                <w:szCs w:val="21"/>
                <w:highlight w:val="none"/>
                <w:u w:val="none"/>
                <w:lang w:val="en-US" w:eastAsia="zh-CN" w:bidi="ar"/>
              </w:rPr>
              <w:t>149118.</w:t>
            </w:r>
            <w:r>
              <w:rPr>
                <w:rFonts w:hint="eastAsia" w:cs="Times New Roman"/>
                <w:b/>
                <w:bCs/>
                <w:i w:val="0"/>
                <w:color w:val="000000"/>
                <w:kern w:val="0"/>
                <w:sz w:val="21"/>
                <w:szCs w:val="21"/>
                <w:highlight w:val="none"/>
                <w:u w:val="none"/>
                <w:lang w:val="en-US" w:eastAsia="zh-CN" w:bidi="ar"/>
              </w:rPr>
              <w:t>46</w:t>
            </w:r>
          </w:p>
        </w:tc>
      </w:tr>
    </w:tbl>
    <w:p>
      <w:pPr>
        <w:rPr>
          <w:rFonts w:hint="default" w:ascii="Times New Roman" w:hAnsi="Times New Roman" w:cs="Times New Roman"/>
          <w:b/>
          <w:bCs/>
          <w:szCs w:val="22"/>
          <w:highlight w:val="none"/>
        </w:rPr>
      </w:pPr>
      <w:r>
        <w:rPr>
          <w:rFonts w:hint="default" w:ascii="Times New Roman" w:hAnsi="Times New Roman" w:cs="Times New Roman"/>
          <w:b/>
          <w:bCs/>
          <w:szCs w:val="22"/>
          <w:highlight w:val="none"/>
        </w:rPr>
        <w:br w:type="page"/>
      </w:r>
    </w:p>
    <w:p>
      <w:pPr>
        <w:spacing w:line="326" w:lineRule="auto"/>
        <w:ind w:firstLine="198" w:firstLineChars="82"/>
        <w:jc w:val="center"/>
        <w:rPr>
          <w:rFonts w:hint="default" w:ascii="Times New Roman" w:hAnsi="Times New Roman" w:cs="Times New Roman"/>
          <w:b/>
          <w:bCs/>
          <w:szCs w:val="22"/>
          <w:highlight w:val="none"/>
        </w:rPr>
      </w:pPr>
      <w:r>
        <w:rPr>
          <w:rFonts w:hint="default" w:ascii="Times New Roman" w:hAnsi="Times New Roman" w:cs="Times New Roman"/>
          <w:b/>
          <w:bCs/>
          <w:szCs w:val="22"/>
          <w:highlight w:val="none"/>
        </w:rPr>
        <w:t>表</w:t>
      </w:r>
      <w:r>
        <w:rPr>
          <w:rFonts w:hint="default" w:ascii="Times New Roman" w:hAnsi="Times New Roman" w:cs="Times New Roman"/>
          <w:b/>
          <w:bCs/>
          <w:szCs w:val="22"/>
          <w:highlight w:val="none"/>
          <w:lang w:val="en-US" w:eastAsia="zh-CN"/>
        </w:rPr>
        <w:t>6</w:t>
      </w:r>
      <w:r>
        <w:rPr>
          <w:rFonts w:hint="default" w:ascii="Times New Roman" w:hAnsi="Times New Roman" w:cs="Times New Roman"/>
          <w:b/>
          <w:bCs/>
          <w:szCs w:val="22"/>
          <w:highlight w:val="none"/>
        </w:rPr>
        <w:t>-</w:t>
      </w:r>
      <w:r>
        <w:rPr>
          <w:rFonts w:hint="eastAsia" w:ascii="Times New Roman" w:hAnsi="Times New Roman" w:cs="Times New Roman"/>
          <w:b/>
          <w:bCs/>
          <w:szCs w:val="22"/>
          <w:highlight w:val="none"/>
          <w:lang w:val="en-US" w:eastAsia="zh-CN"/>
        </w:rPr>
        <w:t>5</w:t>
      </w:r>
      <w:r>
        <w:rPr>
          <w:rFonts w:hint="default" w:ascii="Times New Roman" w:hAnsi="Times New Roman" w:cs="Times New Roman"/>
          <w:b/>
          <w:bCs/>
          <w:szCs w:val="22"/>
          <w:highlight w:val="none"/>
        </w:rPr>
        <w:t xml:space="preserve">  </w:t>
      </w:r>
      <w:r>
        <w:rPr>
          <w:rFonts w:hint="eastAsia" w:cs="Times New Roman"/>
          <w:b/>
          <w:bCs/>
          <w:szCs w:val="22"/>
          <w:highlight w:val="none"/>
          <w:lang w:val="en-US" w:eastAsia="zh-CN"/>
        </w:rPr>
        <w:t xml:space="preserve"> </w:t>
      </w:r>
      <w:r>
        <w:rPr>
          <w:rFonts w:hint="default" w:ascii="Times New Roman" w:hAnsi="Times New Roman" w:cs="Times New Roman"/>
          <w:b/>
          <w:bCs/>
          <w:szCs w:val="22"/>
          <w:highlight w:val="none"/>
        </w:rPr>
        <w:t>工程施工费单价分析表</w:t>
      </w:r>
    </w:p>
    <w:tbl>
      <w:tblPr>
        <w:tblStyle w:val="13"/>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27"/>
        <w:gridCol w:w="2146"/>
        <w:gridCol w:w="1122"/>
        <w:gridCol w:w="1069"/>
        <w:gridCol w:w="1382"/>
        <w:gridCol w:w="14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一般石方开挖 风钻钻孔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13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定额编号：</w:t>
            </w:r>
            <w:r>
              <w:rPr>
                <w:rFonts w:hint="default" w:ascii="Times New Roman" w:hAnsi="Times New Roman" w:cs="Times New Roman"/>
                <w:sz w:val="21"/>
                <w:szCs w:val="21"/>
                <w:highlight w:val="none"/>
                <w:lang w:val="en-US" w:eastAsia="zh-CN"/>
              </w:rPr>
              <w:t>20013</w:t>
            </w:r>
          </w:p>
        </w:tc>
        <w:tc>
          <w:tcPr>
            <w:tcW w:w="8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单位：元</w:t>
            </w:r>
            <w:r>
              <w:rPr>
                <w:rFonts w:hint="default" w:ascii="Times New Roman" w:hAnsi="Times New Roman" w:cs="Times New Roman"/>
                <w:sz w:val="21"/>
                <w:szCs w:val="21"/>
                <w:highlight w:val="none"/>
                <w:lang w:val="en-US" w:eastAsia="zh-CN"/>
              </w:rPr>
              <w:t>/100m3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131"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适用范围：一般明挖</w:t>
            </w:r>
          </w:p>
        </w:tc>
        <w:tc>
          <w:tcPr>
            <w:tcW w:w="8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Times New Roman" w:hAnsi="Times New Roman" w:cs="Times New Roman"/>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131" w:type="pct"/>
            <w:gridSpan w:val="5"/>
            <w:tcBorders>
              <w:top w:val="single" w:color="000000" w:sz="4" w:space="0"/>
              <w:left w:val="single" w:color="000000" w:sz="4" w:space="0"/>
              <w:bottom w:val="nil"/>
              <w:right w:val="single" w:color="000000" w:sz="4" w:space="0"/>
            </w:tcBorders>
            <w:shd w:val="clear" w:color="auto" w:fill="auto"/>
            <w:vAlign w:val="center"/>
          </w:tcPr>
          <w:p>
            <w:pPr>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工作内容：风钻钻孔、爆破、撬移、解小、翻碴、清面</w:t>
            </w:r>
          </w:p>
        </w:tc>
        <w:tc>
          <w:tcPr>
            <w:tcW w:w="8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Times New Roman" w:hAnsi="Times New Roman" w:cs="Times New Roman"/>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序号</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项目名称</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单位</w:t>
            </w:r>
          </w:p>
        </w:tc>
        <w:tc>
          <w:tcPr>
            <w:tcW w:w="62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数量</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单价</w:t>
            </w:r>
          </w:p>
        </w:tc>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小计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一</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直接费</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62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2266.03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（一）</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直接工程费</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62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2183.07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1</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人工费</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62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878.90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甲类工</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工日</w:t>
            </w:r>
          </w:p>
        </w:tc>
        <w:tc>
          <w:tcPr>
            <w:tcW w:w="62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0.6</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94.15</w:t>
            </w:r>
          </w:p>
        </w:tc>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56.49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乙类工</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工日</w:t>
            </w:r>
          </w:p>
        </w:tc>
        <w:tc>
          <w:tcPr>
            <w:tcW w:w="62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11.9</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69.11</w:t>
            </w:r>
          </w:p>
        </w:tc>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822.41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2</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材料费</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62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630.25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合金钻头</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个</w:t>
            </w:r>
          </w:p>
        </w:tc>
        <w:tc>
          <w:tcPr>
            <w:tcW w:w="6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1.02</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50.00</w:t>
            </w: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空心钢</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kg</w:t>
            </w:r>
          </w:p>
        </w:tc>
        <w:tc>
          <w:tcPr>
            <w:tcW w:w="6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0.43</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5.00</w:t>
            </w: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8" w:type="pct"/>
            <w:tcBorders>
              <w:top w:val="single" w:color="000000" w:sz="4" w:space="0"/>
              <w:left w:val="single" w:color="000000" w:sz="4" w:space="0"/>
              <w:bottom w:val="nil"/>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258" w:type="pct"/>
            <w:tcBorders>
              <w:top w:val="single" w:color="000000" w:sz="4" w:space="0"/>
              <w:left w:val="single" w:color="000000" w:sz="4" w:space="0"/>
              <w:bottom w:val="nil"/>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炸药</w:t>
            </w:r>
          </w:p>
        </w:tc>
        <w:tc>
          <w:tcPr>
            <w:tcW w:w="657" w:type="pct"/>
            <w:tcBorders>
              <w:top w:val="single" w:color="000000" w:sz="4" w:space="0"/>
              <w:left w:val="single" w:color="000000" w:sz="4" w:space="0"/>
              <w:bottom w:val="nil"/>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kg</w:t>
            </w:r>
          </w:p>
        </w:tc>
        <w:tc>
          <w:tcPr>
            <w:tcW w:w="627" w:type="pct"/>
            <w:tcBorders>
              <w:top w:val="single" w:color="000000" w:sz="4" w:space="0"/>
              <w:left w:val="single" w:color="000000" w:sz="4" w:space="0"/>
              <w:bottom w:val="nil"/>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26.4</w:t>
            </w:r>
          </w:p>
        </w:tc>
        <w:tc>
          <w:tcPr>
            <w:tcW w:w="809" w:type="pct"/>
            <w:tcBorders>
              <w:top w:val="single" w:color="000000" w:sz="4" w:space="0"/>
              <w:left w:val="single" w:color="000000" w:sz="4" w:space="0"/>
              <w:bottom w:val="nil"/>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5.00</w:t>
            </w: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132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电雷管</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个</w:t>
            </w:r>
          </w:p>
        </w:tc>
        <w:tc>
          <w:tcPr>
            <w:tcW w:w="6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39</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0.90</w:t>
            </w: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35.1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导电线</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m</w:t>
            </w:r>
          </w:p>
        </w:tc>
        <w:tc>
          <w:tcPr>
            <w:tcW w:w="6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120</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2.00</w:t>
            </w: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火线</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m</w:t>
            </w:r>
          </w:p>
        </w:tc>
        <w:tc>
          <w:tcPr>
            <w:tcW w:w="6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85</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2.00</w:t>
            </w: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170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3</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机械费</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62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585.93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风钻（手持式）</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台班</w:t>
            </w:r>
          </w:p>
        </w:tc>
        <w:tc>
          <w:tcPr>
            <w:tcW w:w="6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0.77</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647.62</w:t>
            </w: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498.6674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修钎设备</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台班</w:t>
            </w:r>
          </w:p>
        </w:tc>
        <w:tc>
          <w:tcPr>
            <w:tcW w:w="6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0.04</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517.11</w:t>
            </w: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20.6844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Times New Roman" w:hAnsi="Times New Roman" w:cs="Times New Roman"/>
                <w:sz w:val="21"/>
                <w:szCs w:val="21"/>
                <w:highlight w:val="none"/>
              </w:rPr>
            </w:pP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载重汽车5t</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台班</w:t>
            </w:r>
          </w:p>
        </w:tc>
        <w:tc>
          <w:tcPr>
            <w:tcW w:w="6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0.2</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332.88</w:t>
            </w: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66.576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4</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其它费用</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w:t>
            </w:r>
          </w:p>
        </w:tc>
        <w:tc>
          <w:tcPr>
            <w:tcW w:w="62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4.2</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2095.08</w:t>
            </w:r>
          </w:p>
        </w:tc>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87.99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（二）</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措施费</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w:t>
            </w:r>
          </w:p>
        </w:tc>
        <w:tc>
          <w:tcPr>
            <w:tcW w:w="62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3.8</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2183.07</w:t>
            </w:r>
          </w:p>
        </w:tc>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82.96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二</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间接费</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w:t>
            </w:r>
          </w:p>
        </w:tc>
        <w:tc>
          <w:tcPr>
            <w:tcW w:w="62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6</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2266.03</w:t>
            </w:r>
          </w:p>
        </w:tc>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135.96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三</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利润</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w:t>
            </w:r>
          </w:p>
        </w:tc>
        <w:tc>
          <w:tcPr>
            <w:tcW w:w="62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3</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2401.99</w:t>
            </w:r>
          </w:p>
        </w:tc>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72.06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四</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材料价差</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6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23.64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汽油</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kg</w:t>
            </w:r>
          </w:p>
        </w:tc>
        <w:tc>
          <w:tcPr>
            <w:tcW w:w="62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6</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3.94</w:t>
            </w:r>
          </w:p>
        </w:tc>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23.64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五</w:t>
            </w:r>
          </w:p>
        </w:tc>
        <w:tc>
          <w:tcPr>
            <w:tcW w:w="125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税金</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w:t>
            </w:r>
          </w:p>
        </w:tc>
        <w:tc>
          <w:tcPr>
            <w:tcW w:w="62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9</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2474.05</w:t>
            </w:r>
          </w:p>
        </w:tc>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222.66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69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合计</w:t>
            </w:r>
          </w:p>
        </w:tc>
        <w:tc>
          <w:tcPr>
            <w:tcW w:w="62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p>
        </w:tc>
        <w:tc>
          <w:tcPr>
            <w:tcW w:w="86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2696.71</w:t>
            </w:r>
          </w:p>
        </w:tc>
      </w:tr>
    </w:tbl>
    <w:p>
      <w:pPr>
        <w:pStyle w:val="6"/>
        <w:adjustRightInd w:val="0"/>
        <w:snapToGrid w:val="0"/>
        <w:spacing w:after="0" w:line="240" w:lineRule="auto"/>
        <w:ind w:left="0" w:leftChars="0" w:firstLine="0" w:firstLineChars="0"/>
        <w:rPr>
          <w:rFonts w:hint="default" w:ascii="Times New Roman" w:hAnsi="Times New Roman" w:cs="Times New Roman"/>
          <w:b/>
          <w:bCs/>
          <w:highlight w:val="none"/>
        </w:rPr>
      </w:pPr>
    </w:p>
    <w:p>
      <w:pPr>
        <w:pStyle w:val="6"/>
        <w:adjustRightInd w:val="0"/>
        <w:snapToGrid w:val="0"/>
        <w:spacing w:after="0" w:line="240" w:lineRule="auto"/>
        <w:ind w:left="0" w:leftChars="0" w:firstLine="0" w:firstLineChars="0"/>
        <w:rPr>
          <w:rFonts w:hint="default" w:ascii="Times New Roman" w:hAnsi="Times New Roman" w:cs="Times New Roman"/>
          <w:b/>
          <w:bCs/>
          <w:highlight w:val="none"/>
        </w:rPr>
      </w:pPr>
    </w:p>
    <w:p>
      <w:pPr>
        <w:pStyle w:val="6"/>
        <w:adjustRightInd w:val="0"/>
        <w:snapToGrid w:val="0"/>
        <w:spacing w:after="0" w:line="240" w:lineRule="auto"/>
        <w:ind w:left="0" w:leftChars="0" w:firstLine="0" w:firstLineChars="0"/>
        <w:rPr>
          <w:rFonts w:hint="default" w:ascii="Times New Roman" w:hAnsi="Times New Roman" w:cs="Times New Roman"/>
          <w:b/>
          <w:bCs/>
          <w:highlight w:val="none"/>
        </w:rPr>
      </w:pPr>
    </w:p>
    <w:p>
      <w:pPr>
        <w:ind w:left="0" w:leftChars="0" w:firstLine="0" w:firstLineChars="0"/>
        <w:rPr>
          <w:rFonts w:hint="default" w:ascii="Times New Roman" w:hAnsi="Times New Roman" w:cs="Times New Roman"/>
          <w:highlight w:val="none"/>
        </w:rPr>
      </w:pPr>
    </w:p>
    <w:sectPr>
      <w:headerReference r:id="rId16" w:type="first"/>
      <w:footerReference r:id="rId19" w:type="first"/>
      <w:headerReference r:id="rId14" w:type="default"/>
      <w:footerReference r:id="rId17" w:type="default"/>
      <w:headerReference r:id="rId15" w:type="even"/>
      <w:footerReference r:id="rId18" w:type="even"/>
      <w:pgSz w:w="11906" w:h="16838"/>
      <w:pgMar w:top="1219" w:right="1797" w:bottom="1440" w:left="1797" w:header="851" w:footer="992" w:gutter="0"/>
      <w:pgBorders>
        <w:top w:val="none" w:sz="0" w:space="0"/>
        <w:left w:val="none" w:sz="0" w:space="0"/>
        <w:bottom w:val="none" w:sz="0" w:space="0"/>
        <w:right w:val="none" w:sz="0" w:space="0"/>
      </w:pgBorders>
      <w:pgNumType w:fmt="decimal"/>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pPr>
  </w:p>
  <w:p>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ind w:firstLine="360"/>
      <w:rPr>
        <w:rStyle w:val="16"/>
      </w:rPr>
    </w:pPr>
    <w:r>
      <w:fldChar w:fldCharType="begin"/>
    </w:r>
    <w:r>
      <w:rPr>
        <w:rStyle w:val="16"/>
      </w:rPr>
      <w:instrText xml:space="preserve">PAGE  </w:instrText>
    </w:r>
    <w:r>
      <w:fldChar w:fldCharType="end"/>
    </w:r>
  </w:p>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pPr>
  </w:p>
  <w:p>
    <w:pPr>
      <w:pStyle w:val="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ind w:left="0" w:leftChars="0" w:firstLine="0" w:firstLineChars="0"/>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8"/>
                      <w:ind w:left="0" w:leftChars="0" w:firstLine="0" w:firstLineChars="0"/>
                      <w:rPr>
                        <w:rFonts w:hint="eastAsia" w:eastAsia="宋体"/>
                        <w:lang w:eastAsia="zh-CN"/>
                      </w:rPr>
                    </w:pPr>
                  </w:p>
                </w:txbxContent>
              </v:textbox>
            </v:shape>
          </w:pict>
        </mc:Fallback>
      </mc:AlternateContent>
    </w:r>
  </w:p>
  <w:p>
    <w:pPr>
      <w:pStyle w:val="8"/>
      <w:ind w:firstLine="360"/>
      <w:jc w:val="center"/>
      <w:rPr>
        <w:rFonts w:ascii="Times New Roman" w:hAnsi="Times New Roma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rPr>
        <w:rFonts w:ascii="Times New Roman" w:hAnsi="Times New Roma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29</w:t>
                    </w:r>
                    <w:r>
                      <w:fldChar w:fldCharType="end"/>
                    </w:r>
                  </w:p>
                </w:txbxContent>
              </v:textbox>
            </v:shape>
          </w:pict>
        </mc:Fallback>
      </mc:AlternateContent>
    </w:r>
  </w:p>
  <w:p>
    <w:pPr>
      <w:pStyle w:val="8"/>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CE0B01"/>
    <w:multiLevelType w:val="singleLevel"/>
    <w:tmpl w:val="B4CE0B01"/>
    <w:lvl w:ilvl="0" w:tentative="0">
      <w:start w:val="4"/>
      <w:numFmt w:val="decimal"/>
      <w:suff w:val="nothing"/>
      <w:lvlText w:val="%1、"/>
      <w:lvlJc w:val="left"/>
    </w:lvl>
  </w:abstractNum>
  <w:abstractNum w:abstractNumId="1">
    <w:nsid w:val="E9817AC7"/>
    <w:multiLevelType w:val="singleLevel"/>
    <w:tmpl w:val="E9817AC7"/>
    <w:lvl w:ilvl="0" w:tentative="0">
      <w:start w:val="1"/>
      <w:numFmt w:val="decimal"/>
      <w:suff w:val="nothing"/>
      <w:lvlText w:val="%1、"/>
      <w:lvlJc w:val="left"/>
    </w:lvl>
  </w:abstractNum>
  <w:abstractNum w:abstractNumId="2">
    <w:nsid w:val="01FC1E1D"/>
    <w:multiLevelType w:val="singleLevel"/>
    <w:tmpl w:val="01FC1E1D"/>
    <w:lvl w:ilvl="0" w:tentative="0">
      <w:start w:val="1"/>
      <w:numFmt w:val="decimal"/>
      <w:suff w:val="nothing"/>
      <w:lvlText w:val="%1、"/>
      <w:lvlJc w:val="left"/>
    </w:lvl>
  </w:abstractNum>
  <w:abstractNum w:abstractNumId="3">
    <w:nsid w:val="0891FB8C"/>
    <w:multiLevelType w:val="singleLevel"/>
    <w:tmpl w:val="0891FB8C"/>
    <w:lvl w:ilvl="0" w:tentative="0">
      <w:start w:val="2"/>
      <w:numFmt w:val="chineseCounting"/>
      <w:suff w:val="nothing"/>
      <w:lvlText w:val="（%1）"/>
      <w:lvlJc w:val="left"/>
      <w:rPr>
        <w:rFonts w:hint="eastAsia"/>
      </w:rPr>
    </w:lvl>
  </w:abstractNum>
  <w:abstractNum w:abstractNumId="4">
    <w:nsid w:val="2348E353"/>
    <w:multiLevelType w:val="singleLevel"/>
    <w:tmpl w:val="2348E353"/>
    <w:lvl w:ilvl="0" w:tentative="0">
      <w:start w:val="1"/>
      <w:numFmt w:val="chineseCounting"/>
      <w:suff w:val="nothing"/>
      <w:lvlText w:val="%1、"/>
      <w:lvlJc w:val="left"/>
      <w:rPr>
        <w:rFonts w:hint="eastAsia"/>
      </w:rPr>
    </w:lvl>
  </w:abstractNum>
  <w:abstractNum w:abstractNumId="5">
    <w:nsid w:val="46343288"/>
    <w:multiLevelType w:val="singleLevel"/>
    <w:tmpl w:val="46343288"/>
    <w:lvl w:ilvl="0" w:tentative="0">
      <w:start w:val="1"/>
      <w:numFmt w:val="decimal"/>
      <w:suff w:val="nothing"/>
      <w:lvlText w:val="（%1）"/>
      <w:lvlJc w:val="left"/>
    </w:lvl>
  </w:abstractNum>
  <w:abstractNum w:abstractNumId="6">
    <w:nsid w:val="705D7C63"/>
    <w:multiLevelType w:val="multilevel"/>
    <w:tmpl w:val="705D7C63"/>
    <w:lvl w:ilvl="0" w:tentative="0">
      <w:start w:val="1"/>
      <w:numFmt w:val="japaneseCounting"/>
      <w:lvlText w:val="%1、"/>
      <w:lvlJc w:val="left"/>
      <w:pPr>
        <w:ind w:left="976" w:hanging="510"/>
      </w:pPr>
      <w:rPr>
        <w:rFonts w:hint="default"/>
        <w:lang w:val="en-US"/>
      </w:rPr>
    </w:lvl>
    <w:lvl w:ilvl="1" w:tentative="0">
      <w:start w:val="1"/>
      <w:numFmt w:val="lowerLetter"/>
      <w:lvlText w:val="%2)"/>
      <w:lvlJc w:val="left"/>
      <w:pPr>
        <w:ind w:left="1306" w:hanging="420"/>
      </w:pPr>
    </w:lvl>
    <w:lvl w:ilvl="2" w:tentative="0">
      <w:start w:val="1"/>
      <w:numFmt w:val="lowerRoman"/>
      <w:lvlText w:val="%3."/>
      <w:lvlJc w:val="right"/>
      <w:pPr>
        <w:ind w:left="1726" w:hanging="420"/>
      </w:pPr>
    </w:lvl>
    <w:lvl w:ilvl="3" w:tentative="0">
      <w:start w:val="1"/>
      <w:numFmt w:val="decimal"/>
      <w:lvlText w:val="%4."/>
      <w:lvlJc w:val="left"/>
      <w:pPr>
        <w:ind w:left="2146" w:hanging="420"/>
      </w:pPr>
    </w:lvl>
    <w:lvl w:ilvl="4" w:tentative="0">
      <w:start w:val="1"/>
      <w:numFmt w:val="lowerLetter"/>
      <w:lvlText w:val="%5)"/>
      <w:lvlJc w:val="left"/>
      <w:pPr>
        <w:ind w:left="2566" w:hanging="420"/>
      </w:pPr>
    </w:lvl>
    <w:lvl w:ilvl="5" w:tentative="0">
      <w:start w:val="1"/>
      <w:numFmt w:val="lowerRoman"/>
      <w:lvlText w:val="%6."/>
      <w:lvlJc w:val="right"/>
      <w:pPr>
        <w:ind w:left="2986" w:hanging="420"/>
      </w:pPr>
    </w:lvl>
    <w:lvl w:ilvl="6" w:tentative="0">
      <w:start w:val="1"/>
      <w:numFmt w:val="decimal"/>
      <w:lvlText w:val="%7."/>
      <w:lvlJc w:val="left"/>
      <w:pPr>
        <w:ind w:left="3406" w:hanging="420"/>
      </w:pPr>
    </w:lvl>
    <w:lvl w:ilvl="7" w:tentative="0">
      <w:start w:val="1"/>
      <w:numFmt w:val="lowerLetter"/>
      <w:lvlText w:val="%8)"/>
      <w:lvlJc w:val="left"/>
      <w:pPr>
        <w:ind w:left="3826" w:hanging="420"/>
      </w:pPr>
    </w:lvl>
    <w:lvl w:ilvl="8" w:tentative="0">
      <w:start w:val="1"/>
      <w:numFmt w:val="lowerRoman"/>
      <w:lvlText w:val="%9."/>
      <w:lvlJc w:val="right"/>
      <w:pPr>
        <w:ind w:left="4246" w:hanging="420"/>
      </w:pPr>
    </w:lvl>
  </w:abstractNum>
  <w:num w:numId="1">
    <w:abstractNumId w:val="1"/>
  </w:num>
  <w:num w:numId="2">
    <w:abstractNumId w:val="4"/>
  </w:num>
  <w:num w:numId="3">
    <w:abstractNumId w:val="0"/>
  </w:num>
  <w:num w:numId="4">
    <w:abstractNumId w:val="3"/>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1N2Q3YjA1MTJkOWM1MWZlN2EyZDVjZWJkNzc2MjQifQ=="/>
  </w:docVars>
  <w:rsids>
    <w:rsidRoot w:val="76B43A24"/>
    <w:rsid w:val="00061648"/>
    <w:rsid w:val="001833FF"/>
    <w:rsid w:val="0027010E"/>
    <w:rsid w:val="002B4F75"/>
    <w:rsid w:val="0058630E"/>
    <w:rsid w:val="005939EC"/>
    <w:rsid w:val="006413D3"/>
    <w:rsid w:val="007A27FE"/>
    <w:rsid w:val="007B1105"/>
    <w:rsid w:val="00836AD0"/>
    <w:rsid w:val="00841584"/>
    <w:rsid w:val="00877554"/>
    <w:rsid w:val="008B2F07"/>
    <w:rsid w:val="008D30EC"/>
    <w:rsid w:val="009B052C"/>
    <w:rsid w:val="009B3364"/>
    <w:rsid w:val="009D61A4"/>
    <w:rsid w:val="00A458FC"/>
    <w:rsid w:val="00B1476D"/>
    <w:rsid w:val="00BF012D"/>
    <w:rsid w:val="00E42251"/>
    <w:rsid w:val="00FD78B7"/>
    <w:rsid w:val="00FE4651"/>
    <w:rsid w:val="01090CC4"/>
    <w:rsid w:val="012805D4"/>
    <w:rsid w:val="014F11B6"/>
    <w:rsid w:val="01652232"/>
    <w:rsid w:val="01900C99"/>
    <w:rsid w:val="01911D0A"/>
    <w:rsid w:val="019404F8"/>
    <w:rsid w:val="01D039E6"/>
    <w:rsid w:val="01DC03D8"/>
    <w:rsid w:val="01F202A0"/>
    <w:rsid w:val="02080F80"/>
    <w:rsid w:val="021C6026"/>
    <w:rsid w:val="02244529"/>
    <w:rsid w:val="02644226"/>
    <w:rsid w:val="027C58F8"/>
    <w:rsid w:val="0300052B"/>
    <w:rsid w:val="0310496D"/>
    <w:rsid w:val="03782560"/>
    <w:rsid w:val="03C22C90"/>
    <w:rsid w:val="03E46280"/>
    <w:rsid w:val="042E65B2"/>
    <w:rsid w:val="044643C9"/>
    <w:rsid w:val="047C4B05"/>
    <w:rsid w:val="049432C0"/>
    <w:rsid w:val="04AE3494"/>
    <w:rsid w:val="04F954AB"/>
    <w:rsid w:val="051B396A"/>
    <w:rsid w:val="053C5488"/>
    <w:rsid w:val="05824120"/>
    <w:rsid w:val="05AE5F26"/>
    <w:rsid w:val="05C05783"/>
    <w:rsid w:val="05C36A61"/>
    <w:rsid w:val="05D63936"/>
    <w:rsid w:val="05F77D3B"/>
    <w:rsid w:val="06192B76"/>
    <w:rsid w:val="06597633"/>
    <w:rsid w:val="068E3512"/>
    <w:rsid w:val="06A96A25"/>
    <w:rsid w:val="06DD7B6F"/>
    <w:rsid w:val="06E47299"/>
    <w:rsid w:val="073B3BBE"/>
    <w:rsid w:val="073D5328"/>
    <w:rsid w:val="07634BF4"/>
    <w:rsid w:val="07907431"/>
    <w:rsid w:val="07C21027"/>
    <w:rsid w:val="07F02841"/>
    <w:rsid w:val="081A1F9B"/>
    <w:rsid w:val="0823263C"/>
    <w:rsid w:val="08853271"/>
    <w:rsid w:val="08A43DE9"/>
    <w:rsid w:val="08D37EB9"/>
    <w:rsid w:val="08E71CA2"/>
    <w:rsid w:val="095206C1"/>
    <w:rsid w:val="097F632F"/>
    <w:rsid w:val="099C21F0"/>
    <w:rsid w:val="09C9279F"/>
    <w:rsid w:val="09E304E0"/>
    <w:rsid w:val="0A2B21F9"/>
    <w:rsid w:val="0A380260"/>
    <w:rsid w:val="0A55657A"/>
    <w:rsid w:val="0A94672E"/>
    <w:rsid w:val="0ABD64FE"/>
    <w:rsid w:val="0ADD629B"/>
    <w:rsid w:val="0AE155AE"/>
    <w:rsid w:val="0B0A2925"/>
    <w:rsid w:val="0B2852DB"/>
    <w:rsid w:val="0B393E1F"/>
    <w:rsid w:val="0BA8311E"/>
    <w:rsid w:val="0BC1105E"/>
    <w:rsid w:val="0C0C1722"/>
    <w:rsid w:val="0CD57139"/>
    <w:rsid w:val="0CE43193"/>
    <w:rsid w:val="0CF348E4"/>
    <w:rsid w:val="0D807377"/>
    <w:rsid w:val="0D9A750D"/>
    <w:rsid w:val="0E490CC1"/>
    <w:rsid w:val="0E4D1449"/>
    <w:rsid w:val="0E976266"/>
    <w:rsid w:val="0EAF38B5"/>
    <w:rsid w:val="0EF468A4"/>
    <w:rsid w:val="0F0C1B78"/>
    <w:rsid w:val="0F0F1DD3"/>
    <w:rsid w:val="0F363803"/>
    <w:rsid w:val="0F366EEB"/>
    <w:rsid w:val="0F455132"/>
    <w:rsid w:val="0F485DCF"/>
    <w:rsid w:val="0F8F3253"/>
    <w:rsid w:val="0FA6323C"/>
    <w:rsid w:val="0FF90EEF"/>
    <w:rsid w:val="10503021"/>
    <w:rsid w:val="1098107D"/>
    <w:rsid w:val="10AE2FCD"/>
    <w:rsid w:val="10EF7DE0"/>
    <w:rsid w:val="10FB4BD1"/>
    <w:rsid w:val="11216593"/>
    <w:rsid w:val="1144021E"/>
    <w:rsid w:val="11994B02"/>
    <w:rsid w:val="11A13006"/>
    <w:rsid w:val="1240528E"/>
    <w:rsid w:val="125F2966"/>
    <w:rsid w:val="12944875"/>
    <w:rsid w:val="133A0304"/>
    <w:rsid w:val="1405003F"/>
    <w:rsid w:val="14591210"/>
    <w:rsid w:val="1464224A"/>
    <w:rsid w:val="146C301F"/>
    <w:rsid w:val="148D6A3F"/>
    <w:rsid w:val="14EB0F83"/>
    <w:rsid w:val="15235E88"/>
    <w:rsid w:val="1544722D"/>
    <w:rsid w:val="15691543"/>
    <w:rsid w:val="15B3045A"/>
    <w:rsid w:val="15B70E05"/>
    <w:rsid w:val="15C2325C"/>
    <w:rsid w:val="15DE7796"/>
    <w:rsid w:val="161661E2"/>
    <w:rsid w:val="164E353C"/>
    <w:rsid w:val="16981D39"/>
    <w:rsid w:val="16B12969"/>
    <w:rsid w:val="16C8798C"/>
    <w:rsid w:val="170806E1"/>
    <w:rsid w:val="170C01E7"/>
    <w:rsid w:val="17140A47"/>
    <w:rsid w:val="177E56A8"/>
    <w:rsid w:val="17A1542D"/>
    <w:rsid w:val="17D82E9E"/>
    <w:rsid w:val="180821E2"/>
    <w:rsid w:val="18700291"/>
    <w:rsid w:val="18A77BD7"/>
    <w:rsid w:val="18B00B10"/>
    <w:rsid w:val="190D709A"/>
    <w:rsid w:val="193245D4"/>
    <w:rsid w:val="19C44696"/>
    <w:rsid w:val="1A2D7EF6"/>
    <w:rsid w:val="1A31354A"/>
    <w:rsid w:val="1A7B398D"/>
    <w:rsid w:val="1AA920AA"/>
    <w:rsid w:val="1ACC4A33"/>
    <w:rsid w:val="1AD634B9"/>
    <w:rsid w:val="1B2130D2"/>
    <w:rsid w:val="1B3F2465"/>
    <w:rsid w:val="1B5C7CE6"/>
    <w:rsid w:val="1B703F7F"/>
    <w:rsid w:val="1BD97B43"/>
    <w:rsid w:val="1BFC2644"/>
    <w:rsid w:val="1C072ECD"/>
    <w:rsid w:val="1C0767AA"/>
    <w:rsid w:val="1C3A6030"/>
    <w:rsid w:val="1C605C48"/>
    <w:rsid w:val="1C697653"/>
    <w:rsid w:val="1C6C29B5"/>
    <w:rsid w:val="1C70267E"/>
    <w:rsid w:val="1CBE4993"/>
    <w:rsid w:val="1CD937AA"/>
    <w:rsid w:val="1D0166FB"/>
    <w:rsid w:val="1D1D108A"/>
    <w:rsid w:val="1D430549"/>
    <w:rsid w:val="1D6B04D0"/>
    <w:rsid w:val="1D7E27A9"/>
    <w:rsid w:val="1D882CE9"/>
    <w:rsid w:val="1D932180"/>
    <w:rsid w:val="1E0C56B6"/>
    <w:rsid w:val="1E526225"/>
    <w:rsid w:val="1E7A3995"/>
    <w:rsid w:val="1EC668AC"/>
    <w:rsid w:val="1F251AF8"/>
    <w:rsid w:val="1F7A6049"/>
    <w:rsid w:val="20072D51"/>
    <w:rsid w:val="2045211D"/>
    <w:rsid w:val="20595A84"/>
    <w:rsid w:val="20707D1B"/>
    <w:rsid w:val="20B0107A"/>
    <w:rsid w:val="20B6184F"/>
    <w:rsid w:val="20B96E62"/>
    <w:rsid w:val="20CC647C"/>
    <w:rsid w:val="212D2B4A"/>
    <w:rsid w:val="21BC673B"/>
    <w:rsid w:val="21C31D92"/>
    <w:rsid w:val="21FC06A8"/>
    <w:rsid w:val="22470E8C"/>
    <w:rsid w:val="22A02A4B"/>
    <w:rsid w:val="22A930FB"/>
    <w:rsid w:val="22E25C91"/>
    <w:rsid w:val="23002892"/>
    <w:rsid w:val="231A340C"/>
    <w:rsid w:val="232E5EF7"/>
    <w:rsid w:val="23817391"/>
    <w:rsid w:val="24165372"/>
    <w:rsid w:val="2416559B"/>
    <w:rsid w:val="242343C0"/>
    <w:rsid w:val="24703FBC"/>
    <w:rsid w:val="24854692"/>
    <w:rsid w:val="24D05714"/>
    <w:rsid w:val="250332F8"/>
    <w:rsid w:val="25110FAE"/>
    <w:rsid w:val="257E1E5A"/>
    <w:rsid w:val="258E1084"/>
    <w:rsid w:val="25DB5129"/>
    <w:rsid w:val="25E13D10"/>
    <w:rsid w:val="25E43E8F"/>
    <w:rsid w:val="26591E4D"/>
    <w:rsid w:val="267C0631"/>
    <w:rsid w:val="268A2028"/>
    <w:rsid w:val="26E326D1"/>
    <w:rsid w:val="26E775A4"/>
    <w:rsid w:val="26F173F5"/>
    <w:rsid w:val="26F2051D"/>
    <w:rsid w:val="26F62EAC"/>
    <w:rsid w:val="27341DB9"/>
    <w:rsid w:val="273C1112"/>
    <w:rsid w:val="274F39B2"/>
    <w:rsid w:val="27693709"/>
    <w:rsid w:val="27742254"/>
    <w:rsid w:val="27990306"/>
    <w:rsid w:val="27BE0D0E"/>
    <w:rsid w:val="27C14D9D"/>
    <w:rsid w:val="27F330BB"/>
    <w:rsid w:val="280D2DF4"/>
    <w:rsid w:val="284D2379"/>
    <w:rsid w:val="286609F5"/>
    <w:rsid w:val="28A20E72"/>
    <w:rsid w:val="28C9558B"/>
    <w:rsid w:val="28D212B2"/>
    <w:rsid w:val="29323E76"/>
    <w:rsid w:val="29975481"/>
    <w:rsid w:val="29E4049E"/>
    <w:rsid w:val="2A1E36CF"/>
    <w:rsid w:val="2A49028B"/>
    <w:rsid w:val="2A945FAC"/>
    <w:rsid w:val="2ABE639B"/>
    <w:rsid w:val="2B0A75CE"/>
    <w:rsid w:val="2B1D5FAB"/>
    <w:rsid w:val="2B2F5006"/>
    <w:rsid w:val="2B346B07"/>
    <w:rsid w:val="2B3E6451"/>
    <w:rsid w:val="2B3E7E2F"/>
    <w:rsid w:val="2B7316A4"/>
    <w:rsid w:val="2B7D762D"/>
    <w:rsid w:val="2BE52DD3"/>
    <w:rsid w:val="2BF57B55"/>
    <w:rsid w:val="2C2E2943"/>
    <w:rsid w:val="2C4B52D3"/>
    <w:rsid w:val="2C646256"/>
    <w:rsid w:val="2CDD6E7E"/>
    <w:rsid w:val="2CF87CD8"/>
    <w:rsid w:val="2CF900A4"/>
    <w:rsid w:val="2D0232BB"/>
    <w:rsid w:val="2D4A5F9F"/>
    <w:rsid w:val="2E4A0476"/>
    <w:rsid w:val="2E720974"/>
    <w:rsid w:val="2EB6624E"/>
    <w:rsid w:val="2EC626DE"/>
    <w:rsid w:val="2F015EEA"/>
    <w:rsid w:val="2F3D5F39"/>
    <w:rsid w:val="2F455B03"/>
    <w:rsid w:val="2F4A1DD6"/>
    <w:rsid w:val="2F8E5B95"/>
    <w:rsid w:val="2FB7058A"/>
    <w:rsid w:val="2FC3156B"/>
    <w:rsid w:val="2FFA0463"/>
    <w:rsid w:val="30434A1F"/>
    <w:rsid w:val="30480634"/>
    <w:rsid w:val="304A30B7"/>
    <w:rsid w:val="30565AFB"/>
    <w:rsid w:val="30623AAA"/>
    <w:rsid w:val="30BD577F"/>
    <w:rsid w:val="30FC3EAE"/>
    <w:rsid w:val="31043042"/>
    <w:rsid w:val="3165140E"/>
    <w:rsid w:val="31767CAB"/>
    <w:rsid w:val="318C22AF"/>
    <w:rsid w:val="32002810"/>
    <w:rsid w:val="320D5FF2"/>
    <w:rsid w:val="32A5347B"/>
    <w:rsid w:val="32C66783"/>
    <w:rsid w:val="331F3F08"/>
    <w:rsid w:val="334D5BF5"/>
    <w:rsid w:val="33543D12"/>
    <w:rsid w:val="338035AE"/>
    <w:rsid w:val="33DD0FD6"/>
    <w:rsid w:val="340B273D"/>
    <w:rsid w:val="342D261D"/>
    <w:rsid w:val="347544C8"/>
    <w:rsid w:val="34D26677"/>
    <w:rsid w:val="35773CA0"/>
    <w:rsid w:val="35A64C46"/>
    <w:rsid w:val="35AA59EC"/>
    <w:rsid w:val="35BF5852"/>
    <w:rsid w:val="35E93BB3"/>
    <w:rsid w:val="35EA18A9"/>
    <w:rsid w:val="35EF2515"/>
    <w:rsid w:val="360878B6"/>
    <w:rsid w:val="36174266"/>
    <w:rsid w:val="36280263"/>
    <w:rsid w:val="36406A61"/>
    <w:rsid w:val="36676D0F"/>
    <w:rsid w:val="36752753"/>
    <w:rsid w:val="36AC20B1"/>
    <w:rsid w:val="36BA6CA8"/>
    <w:rsid w:val="372639DF"/>
    <w:rsid w:val="3728034B"/>
    <w:rsid w:val="37784A8F"/>
    <w:rsid w:val="3780197A"/>
    <w:rsid w:val="378160BF"/>
    <w:rsid w:val="37A9619D"/>
    <w:rsid w:val="37AD1C1A"/>
    <w:rsid w:val="37D053FD"/>
    <w:rsid w:val="37DC3704"/>
    <w:rsid w:val="37F57F98"/>
    <w:rsid w:val="3812321B"/>
    <w:rsid w:val="383006F3"/>
    <w:rsid w:val="383C58FF"/>
    <w:rsid w:val="38411606"/>
    <w:rsid w:val="38A57571"/>
    <w:rsid w:val="38B13D3A"/>
    <w:rsid w:val="38B870EC"/>
    <w:rsid w:val="38D512EF"/>
    <w:rsid w:val="38F368D0"/>
    <w:rsid w:val="38F85C43"/>
    <w:rsid w:val="3907364F"/>
    <w:rsid w:val="390F4B13"/>
    <w:rsid w:val="392432BE"/>
    <w:rsid w:val="392D0AF9"/>
    <w:rsid w:val="39685A04"/>
    <w:rsid w:val="39690114"/>
    <w:rsid w:val="39862EF0"/>
    <w:rsid w:val="399B21F0"/>
    <w:rsid w:val="39E11CF5"/>
    <w:rsid w:val="39E97788"/>
    <w:rsid w:val="39F04DCB"/>
    <w:rsid w:val="3A662480"/>
    <w:rsid w:val="3A8A30F2"/>
    <w:rsid w:val="3AEC3C13"/>
    <w:rsid w:val="3B0D0C60"/>
    <w:rsid w:val="3B0F15A3"/>
    <w:rsid w:val="3B1F13F5"/>
    <w:rsid w:val="3B2C6211"/>
    <w:rsid w:val="3B431FE5"/>
    <w:rsid w:val="3B9037DB"/>
    <w:rsid w:val="3BA8129B"/>
    <w:rsid w:val="3BB508B7"/>
    <w:rsid w:val="3BB67117"/>
    <w:rsid w:val="3BC70066"/>
    <w:rsid w:val="3C0E48A1"/>
    <w:rsid w:val="3C67746F"/>
    <w:rsid w:val="3C742B13"/>
    <w:rsid w:val="3C864411"/>
    <w:rsid w:val="3C9B5B60"/>
    <w:rsid w:val="3CD24CD3"/>
    <w:rsid w:val="3CE9031B"/>
    <w:rsid w:val="3CEB1CB0"/>
    <w:rsid w:val="3D1C334C"/>
    <w:rsid w:val="3D38297D"/>
    <w:rsid w:val="3D530520"/>
    <w:rsid w:val="3D572B7D"/>
    <w:rsid w:val="3DB36281"/>
    <w:rsid w:val="3DEA38F6"/>
    <w:rsid w:val="3E8D29A1"/>
    <w:rsid w:val="3E915C55"/>
    <w:rsid w:val="3E923BAE"/>
    <w:rsid w:val="3EAA45DA"/>
    <w:rsid w:val="3ECB1868"/>
    <w:rsid w:val="3ECD6FF2"/>
    <w:rsid w:val="3EF3220B"/>
    <w:rsid w:val="3EFA671B"/>
    <w:rsid w:val="3F222D71"/>
    <w:rsid w:val="3F66629D"/>
    <w:rsid w:val="3F840733"/>
    <w:rsid w:val="3FD65A8C"/>
    <w:rsid w:val="401A6987"/>
    <w:rsid w:val="40694D16"/>
    <w:rsid w:val="413C3B3A"/>
    <w:rsid w:val="414A398B"/>
    <w:rsid w:val="419F0B14"/>
    <w:rsid w:val="41CC6756"/>
    <w:rsid w:val="41CF5EF7"/>
    <w:rsid w:val="41D21972"/>
    <w:rsid w:val="41DF1FBE"/>
    <w:rsid w:val="41E00E8E"/>
    <w:rsid w:val="41EB5E70"/>
    <w:rsid w:val="41ED03B3"/>
    <w:rsid w:val="42014D10"/>
    <w:rsid w:val="421F7C2D"/>
    <w:rsid w:val="425B2D2D"/>
    <w:rsid w:val="42953666"/>
    <w:rsid w:val="42AF74D2"/>
    <w:rsid w:val="42B75B58"/>
    <w:rsid w:val="42ED6E26"/>
    <w:rsid w:val="43010D0D"/>
    <w:rsid w:val="431A50EB"/>
    <w:rsid w:val="43795299"/>
    <w:rsid w:val="438066F6"/>
    <w:rsid w:val="439126E1"/>
    <w:rsid w:val="43B564A2"/>
    <w:rsid w:val="44100D01"/>
    <w:rsid w:val="44917138"/>
    <w:rsid w:val="44920B3B"/>
    <w:rsid w:val="44987EE6"/>
    <w:rsid w:val="44AA4F4A"/>
    <w:rsid w:val="44C75EA4"/>
    <w:rsid w:val="45364F05"/>
    <w:rsid w:val="45576887"/>
    <w:rsid w:val="455F240F"/>
    <w:rsid w:val="45B26485"/>
    <w:rsid w:val="45D8788D"/>
    <w:rsid w:val="46125032"/>
    <w:rsid w:val="4627406A"/>
    <w:rsid w:val="46967952"/>
    <w:rsid w:val="46AF35F8"/>
    <w:rsid w:val="46C0689E"/>
    <w:rsid w:val="46CF37C4"/>
    <w:rsid w:val="46D963FC"/>
    <w:rsid w:val="47214EDF"/>
    <w:rsid w:val="472A14F8"/>
    <w:rsid w:val="47356FBE"/>
    <w:rsid w:val="4737593A"/>
    <w:rsid w:val="47F9603C"/>
    <w:rsid w:val="485449BA"/>
    <w:rsid w:val="48627B3C"/>
    <w:rsid w:val="48963714"/>
    <w:rsid w:val="48BF45D4"/>
    <w:rsid w:val="48C30FA9"/>
    <w:rsid w:val="48F567EB"/>
    <w:rsid w:val="490F67CE"/>
    <w:rsid w:val="493A5912"/>
    <w:rsid w:val="49720405"/>
    <w:rsid w:val="49A777C0"/>
    <w:rsid w:val="49C45BFA"/>
    <w:rsid w:val="49D1022B"/>
    <w:rsid w:val="49F6478A"/>
    <w:rsid w:val="4A127DB5"/>
    <w:rsid w:val="4A3C1768"/>
    <w:rsid w:val="4AB91E0F"/>
    <w:rsid w:val="4AC5070C"/>
    <w:rsid w:val="4B093234"/>
    <w:rsid w:val="4B1F17B2"/>
    <w:rsid w:val="4B2916DA"/>
    <w:rsid w:val="4B8A523F"/>
    <w:rsid w:val="4BA2306C"/>
    <w:rsid w:val="4BCA036B"/>
    <w:rsid w:val="4BD878B4"/>
    <w:rsid w:val="4BED1E50"/>
    <w:rsid w:val="4C021B56"/>
    <w:rsid w:val="4C0B7C5F"/>
    <w:rsid w:val="4C1B4B0B"/>
    <w:rsid w:val="4C6664D9"/>
    <w:rsid w:val="4C791961"/>
    <w:rsid w:val="4C934CC8"/>
    <w:rsid w:val="4CA61A08"/>
    <w:rsid w:val="4D3608DC"/>
    <w:rsid w:val="4DAC4351"/>
    <w:rsid w:val="4DAC4800"/>
    <w:rsid w:val="4E6A4B6D"/>
    <w:rsid w:val="4EA02C83"/>
    <w:rsid w:val="4EA3664C"/>
    <w:rsid w:val="4EBC4D27"/>
    <w:rsid w:val="4EDC031A"/>
    <w:rsid w:val="4EF56A8F"/>
    <w:rsid w:val="4F0448F4"/>
    <w:rsid w:val="4F9034A7"/>
    <w:rsid w:val="4F9F514C"/>
    <w:rsid w:val="4FA3310F"/>
    <w:rsid w:val="4FB85031"/>
    <w:rsid w:val="4FD50B66"/>
    <w:rsid w:val="4FE41EB1"/>
    <w:rsid w:val="4FF3560C"/>
    <w:rsid w:val="500C2981"/>
    <w:rsid w:val="502A10FD"/>
    <w:rsid w:val="50D337E9"/>
    <w:rsid w:val="50DD16F9"/>
    <w:rsid w:val="511D0E02"/>
    <w:rsid w:val="51725FF4"/>
    <w:rsid w:val="51846CF3"/>
    <w:rsid w:val="51940D0E"/>
    <w:rsid w:val="51BC7459"/>
    <w:rsid w:val="51ED4837"/>
    <w:rsid w:val="51F223E7"/>
    <w:rsid w:val="521A2EDD"/>
    <w:rsid w:val="525D6962"/>
    <w:rsid w:val="52842504"/>
    <w:rsid w:val="529B1903"/>
    <w:rsid w:val="52B60CA8"/>
    <w:rsid w:val="52F9396D"/>
    <w:rsid w:val="530F186B"/>
    <w:rsid w:val="5349492B"/>
    <w:rsid w:val="53513ED7"/>
    <w:rsid w:val="537B0887"/>
    <w:rsid w:val="538D73D2"/>
    <w:rsid w:val="53C14D6F"/>
    <w:rsid w:val="53C74C41"/>
    <w:rsid w:val="53DB66D6"/>
    <w:rsid w:val="541F2591"/>
    <w:rsid w:val="54214814"/>
    <w:rsid w:val="54635DC1"/>
    <w:rsid w:val="546E57E8"/>
    <w:rsid w:val="54B534BC"/>
    <w:rsid w:val="54F72CAF"/>
    <w:rsid w:val="55276463"/>
    <w:rsid w:val="557D7174"/>
    <w:rsid w:val="55830C82"/>
    <w:rsid w:val="55F70124"/>
    <w:rsid w:val="562370A0"/>
    <w:rsid w:val="56326503"/>
    <w:rsid w:val="569C1A91"/>
    <w:rsid w:val="56BA409A"/>
    <w:rsid w:val="56E22D67"/>
    <w:rsid w:val="572062E1"/>
    <w:rsid w:val="57255849"/>
    <w:rsid w:val="573B3256"/>
    <w:rsid w:val="57B8489D"/>
    <w:rsid w:val="57E759E8"/>
    <w:rsid w:val="583B3851"/>
    <w:rsid w:val="58A957A1"/>
    <w:rsid w:val="58BA0BA5"/>
    <w:rsid w:val="58DA7EEA"/>
    <w:rsid w:val="590F1EF4"/>
    <w:rsid w:val="59225F62"/>
    <w:rsid w:val="592A731D"/>
    <w:rsid w:val="595F33B1"/>
    <w:rsid w:val="59A461A5"/>
    <w:rsid w:val="59AA0910"/>
    <w:rsid w:val="59CC3858"/>
    <w:rsid w:val="59F64778"/>
    <w:rsid w:val="5A3A375E"/>
    <w:rsid w:val="5A7F3AB5"/>
    <w:rsid w:val="5A83416A"/>
    <w:rsid w:val="5A851CC1"/>
    <w:rsid w:val="5A872A7E"/>
    <w:rsid w:val="5AA4368F"/>
    <w:rsid w:val="5AF76DF4"/>
    <w:rsid w:val="5AF93B6B"/>
    <w:rsid w:val="5B1D265B"/>
    <w:rsid w:val="5B9F0644"/>
    <w:rsid w:val="5BFB52F1"/>
    <w:rsid w:val="5C201C84"/>
    <w:rsid w:val="5C4111AA"/>
    <w:rsid w:val="5C426587"/>
    <w:rsid w:val="5C921C6F"/>
    <w:rsid w:val="5C9F31B5"/>
    <w:rsid w:val="5CCA4EFE"/>
    <w:rsid w:val="5CDD7962"/>
    <w:rsid w:val="5D074947"/>
    <w:rsid w:val="5D7E5CB2"/>
    <w:rsid w:val="5D877226"/>
    <w:rsid w:val="5DA402F0"/>
    <w:rsid w:val="5DAC3CE3"/>
    <w:rsid w:val="5DB85B5A"/>
    <w:rsid w:val="5DC74430"/>
    <w:rsid w:val="5DD35F81"/>
    <w:rsid w:val="5DE93139"/>
    <w:rsid w:val="5E0A5AE3"/>
    <w:rsid w:val="5E467CD7"/>
    <w:rsid w:val="5E693D86"/>
    <w:rsid w:val="5E7B1688"/>
    <w:rsid w:val="5EC045F3"/>
    <w:rsid w:val="5EC54C25"/>
    <w:rsid w:val="5F753B6F"/>
    <w:rsid w:val="5F9529FF"/>
    <w:rsid w:val="5FC436F3"/>
    <w:rsid w:val="5FCF0D11"/>
    <w:rsid w:val="60157323"/>
    <w:rsid w:val="60576219"/>
    <w:rsid w:val="60D24DF0"/>
    <w:rsid w:val="60D60CB8"/>
    <w:rsid w:val="611661AE"/>
    <w:rsid w:val="61586A66"/>
    <w:rsid w:val="61594301"/>
    <w:rsid w:val="61BA2FA9"/>
    <w:rsid w:val="61FE3933"/>
    <w:rsid w:val="627143D0"/>
    <w:rsid w:val="627F18E6"/>
    <w:rsid w:val="62A12700"/>
    <w:rsid w:val="63254056"/>
    <w:rsid w:val="6396236C"/>
    <w:rsid w:val="63CD139E"/>
    <w:rsid w:val="640D71D9"/>
    <w:rsid w:val="640F5C44"/>
    <w:rsid w:val="641B6C1D"/>
    <w:rsid w:val="643B60BC"/>
    <w:rsid w:val="651806C7"/>
    <w:rsid w:val="653E144B"/>
    <w:rsid w:val="659E08F0"/>
    <w:rsid w:val="65FF7451"/>
    <w:rsid w:val="660D2ED6"/>
    <w:rsid w:val="6640233F"/>
    <w:rsid w:val="66976AB8"/>
    <w:rsid w:val="66B31457"/>
    <w:rsid w:val="66B42EDB"/>
    <w:rsid w:val="670169AD"/>
    <w:rsid w:val="67021B53"/>
    <w:rsid w:val="6722438D"/>
    <w:rsid w:val="67583D78"/>
    <w:rsid w:val="678C2072"/>
    <w:rsid w:val="67A10204"/>
    <w:rsid w:val="67A909E9"/>
    <w:rsid w:val="684316C3"/>
    <w:rsid w:val="68532957"/>
    <w:rsid w:val="685B615F"/>
    <w:rsid w:val="68BE6E72"/>
    <w:rsid w:val="68DD3AE7"/>
    <w:rsid w:val="6957144F"/>
    <w:rsid w:val="6959507C"/>
    <w:rsid w:val="695C5E52"/>
    <w:rsid w:val="696A1E06"/>
    <w:rsid w:val="698308CD"/>
    <w:rsid w:val="69957ED4"/>
    <w:rsid w:val="69A708AF"/>
    <w:rsid w:val="6A2B2855"/>
    <w:rsid w:val="6A782E59"/>
    <w:rsid w:val="6AA96239"/>
    <w:rsid w:val="6AB63580"/>
    <w:rsid w:val="6B331C03"/>
    <w:rsid w:val="6B536CFA"/>
    <w:rsid w:val="6B562F62"/>
    <w:rsid w:val="6B8C33C1"/>
    <w:rsid w:val="6BAF53CC"/>
    <w:rsid w:val="6C036BB3"/>
    <w:rsid w:val="6C0E5A04"/>
    <w:rsid w:val="6C5E3800"/>
    <w:rsid w:val="6C637823"/>
    <w:rsid w:val="6C8040F3"/>
    <w:rsid w:val="6CFF13C7"/>
    <w:rsid w:val="6D0066D5"/>
    <w:rsid w:val="6D011335"/>
    <w:rsid w:val="6D130D6D"/>
    <w:rsid w:val="6D277BA5"/>
    <w:rsid w:val="6D2C79FF"/>
    <w:rsid w:val="6D355B06"/>
    <w:rsid w:val="6DA54490"/>
    <w:rsid w:val="6DE940EA"/>
    <w:rsid w:val="6E4A1735"/>
    <w:rsid w:val="6E786426"/>
    <w:rsid w:val="6EAB3975"/>
    <w:rsid w:val="6EC67B69"/>
    <w:rsid w:val="6EF65E5D"/>
    <w:rsid w:val="6F472811"/>
    <w:rsid w:val="6F6324B5"/>
    <w:rsid w:val="6F690801"/>
    <w:rsid w:val="6FB872BB"/>
    <w:rsid w:val="6FBB77A6"/>
    <w:rsid w:val="6FC117E5"/>
    <w:rsid w:val="70A248F8"/>
    <w:rsid w:val="71240E1C"/>
    <w:rsid w:val="712C5E66"/>
    <w:rsid w:val="713652FF"/>
    <w:rsid w:val="71CA7136"/>
    <w:rsid w:val="71F728B6"/>
    <w:rsid w:val="72263617"/>
    <w:rsid w:val="722D1FA4"/>
    <w:rsid w:val="72337D19"/>
    <w:rsid w:val="72455033"/>
    <w:rsid w:val="724645C6"/>
    <w:rsid w:val="72562322"/>
    <w:rsid w:val="72591B55"/>
    <w:rsid w:val="725A2444"/>
    <w:rsid w:val="72E239D6"/>
    <w:rsid w:val="73C03F52"/>
    <w:rsid w:val="73EB6477"/>
    <w:rsid w:val="73F66C66"/>
    <w:rsid w:val="74111B71"/>
    <w:rsid w:val="749D0501"/>
    <w:rsid w:val="74C3250F"/>
    <w:rsid w:val="74C65E93"/>
    <w:rsid w:val="74CE1173"/>
    <w:rsid w:val="74F56012"/>
    <w:rsid w:val="75090CA9"/>
    <w:rsid w:val="752A6C73"/>
    <w:rsid w:val="75442A9A"/>
    <w:rsid w:val="754D6E2D"/>
    <w:rsid w:val="75635C34"/>
    <w:rsid w:val="756F31C5"/>
    <w:rsid w:val="757A76E3"/>
    <w:rsid w:val="75A97285"/>
    <w:rsid w:val="75AF069F"/>
    <w:rsid w:val="75B907D3"/>
    <w:rsid w:val="762750DA"/>
    <w:rsid w:val="762B71EB"/>
    <w:rsid w:val="766916F1"/>
    <w:rsid w:val="766B68C1"/>
    <w:rsid w:val="767B680C"/>
    <w:rsid w:val="767C50CE"/>
    <w:rsid w:val="7681705B"/>
    <w:rsid w:val="76B43A24"/>
    <w:rsid w:val="76DC07AB"/>
    <w:rsid w:val="772A7571"/>
    <w:rsid w:val="77306D95"/>
    <w:rsid w:val="780074B7"/>
    <w:rsid w:val="782468AB"/>
    <w:rsid w:val="782853E1"/>
    <w:rsid w:val="789206AF"/>
    <w:rsid w:val="78D0141C"/>
    <w:rsid w:val="791677D6"/>
    <w:rsid w:val="792D4A81"/>
    <w:rsid w:val="794A6D84"/>
    <w:rsid w:val="79AC560E"/>
    <w:rsid w:val="79B24DFB"/>
    <w:rsid w:val="79E02738"/>
    <w:rsid w:val="79E2370F"/>
    <w:rsid w:val="79EA7204"/>
    <w:rsid w:val="79FB56D5"/>
    <w:rsid w:val="7A06571B"/>
    <w:rsid w:val="7A34506E"/>
    <w:rsid w:val="7A540837"/>
    <w:rsid w:val="7A7374FF"/>
    <w:rsid w:val="7A896E12"/>
    <w:rsid w:val="7A933FD1"/>
    <w:rsid w:val="7ACC355C"/>
    <w:rsid w:val="7AD241A1"/>
    <w:rsid w:val="7AE123E1"/>
    <w:rsid w:val="7AEF2C3E"/>
    <w:rsid w:val="7BA26DAA"/>
    <w:rsid w:val="7BB250CF"/>
    <w:rsid w:val="7BB74E0E"/>
    <w:rsid w:val="7BC11C3E"/>
    <w:rsid w:val="7BC8735D"/>
    <w:rsid w:val="7BD55F21"/>
    <w:rsid w:val="7CB577F2"/>
    <w:rsid w:val="7D49025F"/>
    <w:rsid w:val="7D572566"/>
    <w:rsid w:val="7DA475AA"/>
    <w:rsid w:val="7DF95094"/>
    <w:rsid w:val="7DFA631C"/>
    <w:rsid w:val="7E5661BF"/>
    <w:rsid w:val="7E754829"/>
    <w:rsid w:val="7EB56E39"/>
    <w:rsid w:val="7ED50086"/>
    <w:rsid w:val="7F197B07"/>
    <w:rsid w:val="7F2F2E35"/>
    <w:rsid w:val="7F7A2044"/>
    <w:rsid w:val="7FA753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lang w:val="en-US" w:eastAsia="zh-CN" w:bidi="ar-SA"/>
    </w:rPr>
  </w:style>
  <w:style w:type="paragraph" w:styleId="3">
    <w:name w:val="heading 1"/>
    <w:basedOn w:val="1"/>
    <w:next w:val="1"/>
    <w:qFormat/>
    <w:uiPriority w:val="0"/>
    <w:pPr>
      <w:keepNext/>
      <w:keepLines/>
      <w:pageBreakBefore/>
      <w:spacing w:before="156" w:beforeLines="50" w:after="156" w:afterLines="50" w:line="600" w:lineRule="exact"/>
      <w:ind w:firstLine="0" w:firstLineChars="0"/>
      <w:jc w:val="center"/>
      <w:outlineLvl w:val="0"/>
    </w:pPr>
    <w:rPr>
      <w:rFonts w:ascii="黑体" w:hAnsi="Calibri" w:eastAsia="黑体"/>
      <w:bCs/>
      <w:kern w:val="44"/>
      <w:sz w:val="32"/>
      <w:szCs w:val="44"/>
    </w:rPr>
  </w:style>
  <w:style w:type="paragraph" w:styleId="4">
    <w:name w:val="heading 2"/>
    <w:basedOn w:val="1"/>
    <w:next w:val="1"/>
    <w:link w:val="27"/>
    <w:autoRedefine/>
    <w:qFormat/>
    <w:uiPriority w:val="0"/>
    <w:pPr>
      <w:keepNext/>
      <w:keepLines/>
      <w:spacing w:before="156" w:beforeLines="50" w:after="156" w:afterLines="50" w:line="600" w:lineRule="exact"/>
      <w:ind w:firstLine="0" w:firstLineChars="0"/>
      <w:jc w:val="center"/>
      <w:outlineLvl w:val="1"/>
    </w:pPr>
    <w:rPr>
      <w:rFonts w:ascii="宋体" w:hAnsi="宋体"/>
      <w:b/>
      <w:bCs/>
      <w:color w:val="000000"/>
      <w:sz w:val="32"/>
      <w:szCs w:val="30"/>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5">
    <w:name w:val="Body Text"/>
    <w:basedOn w:val="1"/>
    <w:autoRedefine/>
    <w:qFormat/>
    <w:uiPriority w:val="0"/>
    <w:pPr>
      <w:adjustRightInd/>
      <w:snapToGrid/>
      <w:spacing w:before="50" w:after="50" w:line="540" w:lineRule="exact"/>
      <w:ind w:firstLine="0" w:firstLineChars="0"/>
    </w:pPr>
    <w:rPr>
      <w:rFonts w:ascii="Calibri" w:hAnsi="Calibri"/>
      <w:kern w:val="0"/>
      <w:sz w:val="28"/>
    </w:rPr>
  </w:style>
  <w:style w:type="paragraph" w:styleId="6">
    <w:name w:val="Body Text Indent"/>
    <w:basedOn w:val="1"/>
    <w:autoRedefine/>
    <w:qFormat/>
    <w:uiPriority w:val="0"/>
    <w:pPr>
      <w:spacing w:line="540" w:lineRule="exact"/>
      <w:ind w:firstLine="570"/>
    </w:pPr>
    <w:rPr>
      <w:kern w:val="0"/>
      <w:sz w:val="28"/>
    </w:rPr>
  </w:style>
  <w:style w:type="paragraph" w:styleId="7">
    <w:name w:val="Plain Text"/>
    <w:basedOn w:val="1"/>
    <w:autoRedefine/>
    <w:unhideWhenUsed/>
    <w:qFormat/>
    <w:uiPriority w:val="0"/>
    <w:rPr>
      <w:rFonts w:ascii="宋体" w:hAnsi="Courier New"/>
      <w:sz w:val="21"/>
    </w:rPr>
  </w:style>
  <w:style w:type="paragraph" w:styleId="8">
    <w:name w:val="footer"/>
    <w:basedOn w:val="1"/>
    <w:link w:val="25"/>
    <w:autoRedefine/>
    <w:unhideWhenUsed/>
    <w:qFormat/>
    <w:uiPriority w:val="99"/>
    <w:pPr>
      <w:tabs>
        <w:tab w:val="center" w:pos="4153"/>
        <w:tab w:val="right" w:pos="8306"/>
      </w:tabs>
      <w:jc w:val="left"/>
    </w:pPr>
    <w:rPr>
      <w:rFonts w:ascii="Calibri" w:hAnsi="Calibri"/>
      <w:kern w:val="0"/>
      <w:sz w:val="18"/>
      <w:szCs w:val="18"/>
    </w:rPr>
  </w:style>
  <w:style w:type="paragraph" w:styleId="9">
    <w:name w:val="header"/>
    <w:basedOn w:val="1"/>
    <w:autoRedefine/>
    <w:unhideWhenUsed/>
    <w:qFormat/>
    <w:uiPriority w:val="0"/>
    <w:pPr>
      <w:tabs>
        <w:tab w:val="center" w:pos="4153"/>
        <w:tab w:val="right" w:pos="8306"/>
      </w:tabs>
      <w:jc w:val="center"/>
    </w:pPr>
    <w:rPr>
      <w:rFonts w:ascii="Calibri" w:hAnsi="Calibri"/>
      <w:sz w:val="18"/>
      <w:szCs w:val="18"/>
    </w:rPr>
  </w:style>
  <w:style w:type="paragraph" w:styleId="10">
    <w:name w:val="toc 1"/>
    <w:basedOn w:val="1"/>
    <w:next w:val="1"/>
    <w:autoRedefine/>
    <w:qFormat/>
    <w:uiPriority w:val="39"/>
    <w:pPr>
      <w:adjustRightInd/>
      <w:snapToGrid/>
      <w:spacing w:before="120" w:after="120" w:line="240" w:lineRule="auto"/>
      <w:ind w:firstLine="0" w:firstLineChars="0"/>
      <w:jc w:val="left"/>
    </w:pPr>
    <w:rPr>
      <w:b/>
      <w:bCs/>
      <w:caps/>
    </w:rPr>
  </w:style>
  <w:style w:type="paragraph" w:styleId="11">
    <w:name w:val="toc 2"/>
    <w:basedOn w:val="1"/>
    <w:next w:val="1"/>
    <w:autoRedefine/>
    <w:qFormat/>
    <w:uiPriority w:val="39"/>
    <w:pPr>
      <w:adjustRightInd/>
      <w:snapToGrid/>
      <w:spacing w:line="240" w:lineRule="auto"/>
      <w:ind w:left="301" w:firstLine="0" w:firstLineChars="0"/>
      <w:jc w:val="left"/>
    </w:pPr>
    <w:rPr>
      <w:smallCaps/>
    </w:rPr>
  </w:style>
  <w:style w:type="paragraph" w:styleId="12">
    <w:name w:val="Body Text First Indent 2"/>
    <w:basedOn w:val="6"/>
    <w:autoRedefine/>
    <w:qFormat/>
    <w:uiPriority w:val="0"/>
    <w:pPr>
      <w:ind w:firstLine="420" w:firstLineChars="200"/>
    </w:pPr>
    <w:rPr>
      <w:szCs w:val="24"/>
    </w:r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autoRedefine/>
    <w:qFormat/>
    <w:uiPriority w:val="0"/>
  </w:style>
  <w:style w:type="paragraph" w:customStyle="1" w:styleId="17">
    <w:name w:val="_正文格式"/>
    <w:basedOn w:val="1"/>
    <w:autoRedefine/>
    <w:qFormat/>
    <w:uiPriority w:val="0"/>
    <w:pPr>
      <w:adjustRightInd/>
      <w:snapToGrid/>
      <w:spacing w:line="560" w:lineRule="exact"/>
    </w:pPr>
    <w:rPr>
      <w:rFonts w:ascii="Calibri" w:hAnsi="Calibri" w:eastAsia="仿宋_GB2312"/>
      <w:sz w:val="28"/>
      <w:szCs w:val="24"/>
    </w:rPr>
  </w:style>
  <w:style w:type="character" w:customStyle="1" w:styleId="18">
    <w:name w:val="表头 Char Char"/>
    <w:autoRedefine/>
    <w:qFormat/>
    <w:uiPriority w:val="0"/>
    <w:rPr>
      <w:rFonts w:ascii="黑体" w:hAnsi="Calibri" w:eastAsia="黑体"/>
      <w:kern w:val="0"/>
    </w:rPr>
  </w:style>
  <w:style w:type="paragraph" w:customStyle="1" w:styleId="19">
    <w:name w:val="表头"/>
    <w:basedOn w:val="1"/>
    <w:link w:val="23"/>
    <w:autoRedefine/>
    <w:qFormat/>
    <w:uiPriority w:val="0"/>
    <w:pPr>
      <w:adjustRightInd/>
      <w:snapToGrid/>
      <w:ind w:firstLine="0" w:firstLineChars="0"/>
      <w:jc w:val="center"/>
    </w:pPr>
    <w:rPr>
      <w:rFonts w:ascii="黑体" w:hAnsi="Calibri" w:eastAsia="黑体"/>
      <w:kern w:val="0"/>
    </w:rPr>
  </w:style>
  <w:style w:type="paragraph" w:customStyle="1" w:styleId="20">
    <w:name w:val="p0"/>
    <w:basedOn w:val="1"/>
    <w:autoRedefine/>
    <w:qFormat/>
    <w:uiPriority w:val="0"/>
    <w:pPr>
      <w:widowControl/>
      <w:adjustRightInd/>
      <w:snapToGrid/>
      <w:spacing w:line="240" w:lineRule="auto"/>
      <w:ind w:firstLine="0" w:firstLineChars="0"/>
    </w:pPr>
    <w:rPr>
      <w:kern w:val="0"/>
      <w:sz w:val="21"/>
      <w:szCs w:val="21"/>
    </w:rPr>
  </w:style>
  <w:style w:type="character" w:customStyle="1" w:styleId="21">
    <w:name w:val="font41"/>
    <w:autoRedefine/>
    <w:qFormat/>
    <w:uiPriority w:val="0"/>
    <w:rPr>
      <w:rFonts w:hint="eastAsia" w:ascii="宋体" w:hAnsi="宋体" w:eastAsia="宋体" w:cs="宋体"/>
      <w:color w:val="000000"/>
      <w:sz w:val="21"/>
      <w:szCs w:val="21"/>
      <w:u w:val="none"/>
    </w:rPr>
  </w:style>
  <w:style w:type="character" w:customStyle="1" w:styleId="22">
    <w:name w:val="font71"/>
    <w:autoRedefine/>
    <w:qFormat/>
    <w:uiPriority w:val="0"/>
    <w:rPr>
      <w:rFonts w:hint="eastAsia" w:ascii="Times New Roman" w:hAnsi="Times New Roman" w:cs="Times New Roman"/>
      <w:color w:val="000000"/>
      <w:sz w:val="21"/>
      <w:szCs w:val="21"/>
      <w:u w:val="none"/>
    </w:rPr>
  </w:style>
  <w:style w:type="character" w:customStyle="1" w:styleId="23">
    <w:name w:val="表头 Char"/>
    <w:link w:val="19"/>
    <w:autoRedefine/>
    <w:qFormat/>
    <w:uiPriority w:val="0"/>
    <w:rPr>
      <w:rFonts w:eastAsia="黑体"/>
      <w:sz w:val="24"/>
      <w:lang w:bidi="ar-SA"/>
    </w:rPr>
  </w:style>
  <w:style w:type="paragraph" w:styleId="24">
    <w:name w:val="List Paragraph"/>
    <w:basedOn w:val="1"/>
    <w:autoRedefine/>
    <w:qFormat/>
    <w:uiPriority w:val="0"/>
    <w:pPr>
      <w:ind w:firstLine="420"/>
    </w:pPr>
  </w:style>
  <w:style w:type="character" w:customStyle="1" w:styleId="25">
    <w:name w:val="页脚 字符"/>
    <w:basedOn w:val="15"/>
    <w:link w:val="8"/>
    <w:autoRedefine/>
    <w:qFormat/>
    <w:uiPriority w:val="99"/>
    <w:rPr>
      <w:rFonts w:ascii="Calibri" w:hAnsi="Calibri"/>
      <w:sz w:val="18"/>
      <w:szCs w:val="18"/>
    </w:rPr>
  </w:style>
  <w:style w:type="table" w:customStyle="1" w:styleId="26">
    <w:name w:val="表格样式1"/>
    <w:autoRedefine/>
    <w:qFormat/>
    <w:uiPriority w:val="0"/>
  </w:style>
  <w:style w:type="character" w:customStyle="1" w:styleId="27">
    <w:name w:val="标题 2 Char"/>
    <w:link w:val="4"/>
    <w:autoRedefine/>
    <w:qFormat/>
    <w:uiPriority w:val="0"/>
    <w:rPr>
      <w:rFonts w:ascii="宋体" w:hAnsi="宋体"/>
      <w:b/>
      <w:bCs/>
      <w:color w:val="000000"/>
      <w:sz w:val="32"/>
      <w:szCs w:val="30"/>
    </w:rPr>
  </w:style>
  <w:style w:type="paragraph" w:customStyle="1" w:styleId="28">
    <w:name w:val="表内"/>
    <w:basedOn w:val="1"/>
    <w:autoRedefine/>
    <w:qFormat/>
    <w:uiPriority w:val="0"/>
    <w:pPr>
      <w:suppressLineNumbers/>
      <w:suppressAutoHyphens/>
      <w:topLinePunct/>
      <w:adjustRightInd w:val="0"/>
      <w:snapToGrid w:val="0"/>
      <w:spacing w:line="0" w:lineRule="atLeast"/>
      <w:jc w:val="center"/>
      <w:textAlignment w:val="center"/>
    </w:pPr>
    <w:rPr>
      <w:rFonts w:ascii="宋体" w:hAnsi="宋体"/>
      <w:kern w:val="0"/>
      <w:sz w:val="18"/>
      <w:szCs w:val="15"/>
    </w:rPr>
  </w:style>
  <w:style w:type="character" w:customStyle="1" w:styleId="29">
    <w:name w:val="fontstyle01"/>
    <w:basedOn w:val="15"/>
    <w:autoRedefine/>
    <w:qFormat/>
    <w:uiPriority w:val="0"/>
    <w:rPr>
      <w:rFonts w:hint="eastAsia" w:ascii="宋体" w:hAnsi="宋体" w:eastAsia="宋体"/>
      <w:color w:val="000000"/>
      <w:sz w:val="24"/>
      <w:szCs w:val="24"/>
    </w:rPr>
  </w:style>
  <w:style w:type="paragraph" w:customStyle="1" w:styleId="30">
    <w:name w:val="我的正文"/>
    <w:basedOn w:val="1"/>
    <w:next w:val="1"/>
    <w:autoRedefine/>
    <w:qFormat/>
    <w:uiPriority w:val="0"/>
    <w:pPr>
      <w:ind w:firstLine="480"/>
    </w:pPr>
    <w:rPr>
      <w:rFonts w:cs="宋体"/>
    </w:rPr>
  </w:style>
  <w:style w:type="character" w:customStyle="1" w:styleId="31">
    <w:name w:val="font11"/>
    <w:basedOn w:val="15"/>
    <w:autoRedefine/>
    <w:qFormat/>
    <w:uiPriority w:val="0"/>
    <w:rPr>
      <w:rFonts w:hint="eastAsia" w:ascii="宋体" w:hAnsi="宋体" w:eastAsia="宋体" w:cs="宋体"/>
      <w:color w:val="000000"/>
      <w:sz w:val="21"/>
      <w:szCs w:val="21"/>
      <w:u w:val="none"/>
    </w:rPr>
  </w:style>
  <w:style w:type="character" w:customStyle="1" w:styleId="32">
    <w:name w:val="font21"/>
    <w:basedOn w:val="15"/>
    <w:uiPriority w:val="0"/>
    <w:rPr>
      <w:rFonts w:hint="default" w:ascii="Times New Roman" w:hAnsi="Times New Roman" w:cs="Times New Roman"/>
      <w:color w:val="000000"/>
      <w:sz w:val="21"/>
      <w:szCs w:val="21"/>
      <w:u w:val="none"/>
    </w:rPr>
  </w:style>
  <w:style w:type="character" w:customStyle="1" w:styleId="33">
    <w:name w:val="font31"/>
    <w:basedOn w:val="15"/>
    <w:qFormat/>
    <w:uiPriority w:val="0"/>
    <w:rPr>
      <w:rFonts w:hint="default" w:ascii="Times New Roman" w:hAnsi="Times New Roman" w:cs="Times New Roman"/>
      <w:color w:val="000000"/>
      <w:sz w:val="21"/>
      <w:szCs w:val="21"/>
      <w:u w:val="none"/>
      <w:vertAlign w:val="superscript"/>
    </w:rPr>
  </w:style>
  <w:style w:type="character" w:customStyle="1" w:styleId="34">
    <w:name w:val="font122"/>
    <w:basedOn w:val="15"/>
    <w:uiPriority w:val="0"/>
    <w:rPr>
      <w:rFonts w:hint="default" w:ascii="Times New Roman" w:hAnsi="Times New Roman" w:cs="Times New Roman"/>
      <w:b/>
      <w:bCs/>
      <w:color w:val="000000"/>
      <w:sz w:val="20"/>
      <w:szCs w:val="20"/>
      <w:u w:val="none"/>
    </w:rPr>
  </w:style>
  <w:style w:type="character" w:customStyle="1" w:styleId="35">
    <w:name w:val="font61"/>
    <w:basedOn w:val="15"/>
    <w:uiPriority w:val="0"/>
    <w:rPr>
      <w:rFonts w:hint="default" w:ascii="Times New Roman" w:hAnsi="Times New Roman" w:cs="Times New Roman"/>
      <w:b/>
      <w:bCs/>
      <w:color w:val="000000"/>
      <w:sz w:val="20"/>
      <w:szCs w:val="20"/>
      <w:u w:val="none"/>
    </w:rPr>
  </w:style>
  <w:style w:type="character" w:customStyle="1" w:styleId="36">
    <w:name w:val="font131"/>
    <w:basedOn w:val="15"/>
    <w:uiPriority w:val="0"/>
    <w:rPr>
      <w:rFonts w:hint="default" w:ascii="Times New Roman" w:hAnsi="Times New Roman" w:cs="Times New Roman"/>
      <w:b/>
      <w:bCs/>
      <w:color w:val="000000"/>
      <w:sz w:val="20"/>
      <w:szCs w:val="20"/>
      <w:u w:val="none"/>
      <w:vertAlign w:val="superscript"/>
    </w:rPr>
  </w:style>
  <w:style w:type="character" w:customStyle="1" w:styleId="37">
    <w:name w:val="font91"/>
    <w:basedOn w:val="15"/>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3.jpeg"/><Relationship Id="rId42" Type="http://schemas.openxmlformats.org/officeDocument/2006/relationships/image" Target="media/image22.jpeg"/><Relationship Id="rId41" Type="http://schemas.openxmlformats.org/officeDocument/2006/relationships/image" Target="media/image21.jpeg"/><Relationship Id="rId40" Type="http://schemas.openxmlformats.org/officeDocument/2006/relationships/image" Target="media/image20.jpeg"/><Relationship Id="rId4" Type="http://schemas.openxmlformats.org/officeDocument/2006/relationships/endnotes" Target="endnotes.xml"/><Relationship Id="rId39" Type="http://schemas.openxmlformats.org/officeDocument/2006/relationships/image" Target="media/image19.jpeg"/><Relationship Id="rId38" Type="http://schemas.openxmlformats.org/officeDocument/2006/relationships/image" Target="media/image18.jpeg"/><Relationship Id="rId37" Type="http://schemas.openxmlformats.org/officeDocument/2006/relationships/image" Target="media/image17.jpeg"/><Relationship Id="rId36" Type="http://schemas.openxmlformats.org/officeDocument/2006/relationships/image" Target="media/image16.jpeg"/><Relationship Id="rId35" Type="http://schemas.openxmlformats.org/officeDocument/2006/relationships/image" Target="media/image15.jpeg"/><Relationship Id="rId34" Type="http://schemas.openxmlformats.org/officeDocument/2006/relationships/image" Target="media/image14.jpeg"/><Relationship Id="rId33" Type="http://schemas.openxmlformats.org/officeDocument/2006/relationships/image" Target="media/image13.png"/><Relationship Id="rId32" Type="http://schemas.openxmlformats.org/officeDocument/2006/relationships/image" Target="media/image12.jpeg"/><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footnotes" Target="footnotes.xml"/><Relationship Id="rId29" Type="http://schemas.openxmlformats.org/officeDocument/2006/relationships/image" Target="media/image9.jpeg"/><Relationship Id="rId28" Type="http://schemas.openxmlformats.org/officeDocument/2006/relationships/image" Target="media/image8.jpeg"/><Relationship Id="rId27" Type="http://schemas.openxmlformats.org/officeDocument/2006/relationships/image" Target="media/image7.jpeg"/><Relationship Id="rId26" Type="http://schemas.openxmlformats.org/officeDocument/2006/relationships/image" Target="media/image6.jpeg"/><Relationship Id="rId25" Type="http://schemas.openxmlformats.org/officeDocument/2006/relationships/image" Target="media/image5.jpeg"/><Relationship Id="rId24" Type="http://schemas.openxmlformats.org/officeDocument/2006/relationships/image" Target="media/image4.jpeg"/><Relationship Id="rId23" Type="http://schemas.openxmlformats.org/officeDocument/2006/relationships/image" Target="media/image3.jpeg"/><Relationship Id="rId22" Type="http://schemas.openxmlformats.org/officeDocument/2006/relationships/image" Target="media/image2.jpe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4D0012-4780-4DA1-BEF1-101651F367FE}">
  <ds:schemaRefs/>
</ds:datastoreItem>
</file>

<file path=docProps/app.xml><?xml version="1.0" encoding="utf-8"?>
<Properties xmlns="http://schemas.openxmlformats.org/officeDocument/2006/extended-properties" xmlns:vt="http://schemas.openxmlformats.org/officeDocument/2006/docPropsVTypes">
  <Template>Normal</Template>
  <Pages>40</Pages>
  <Words>13314</Words>
  <Characters>16651</Characters>
  <Lines>1</Lines>
  <Paragraphs>1</Paragraphs>
  <TotalTime>3</TotalTime>
  <ScaleCrop>false</ScaleCrop>
  <LinksUpToDate>false</LinksUpToDate>
  <CharactersWithSpaces>18142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2020-03-31T08:54:00Z</dcterms:created>
  <dc:creator>Administrator</dc:creator>
  <cp:lastModifiedBy>星点</cp:lastModifiedBy>
  <cp:lastPrinted>2021-03-05T08:25:00Z</cp:lastPrinted>
  <dcterms:modified xsi:type="dcterms:W3CDTF">2024-03-18T08:10:30Z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1E40C62B07D4402CA9CB01E5D1876793_13</vt:lpwstr>
  </property>
</Properties>
</file>