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宁城县</w:t>
      </w: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ascii="黑体" w:hAnsi="黑体" w:eastAsia="黑体"/>
          <w:sz w:val="44"/>
          <w:szCs w:val="44"/>
        </w:rPr>
        <w:t>年国有资本经营预算收支情况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宁城县202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年国有资本经营预算收入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233</w:t>
      </w:r>
      <w:r>
        <w:rPr>
          <w:rFonts w:ascii="仿宋" w:hAnsi="仿宋" w:eastAsia="仿宋"/>
          <w:sz w:val="32"/>
          <w:szCs w:val="32"/>
        </w:rPr>
        <w:t>万元，其中：利润收入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217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，转移性收入16万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。国有资本经营预算支出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233</w:t>
      </w:r>
      <w:r>
        <w:rPr>
          <w:rFonts w:ascii="仿宋" w:hAnsi="仿宋" w:eastAsia="仿宋"/>
          <w:sz w:val="32"/>
          <w:szCs w:val="32"/>
        </w:rPr>
        <w:t>万元，其中：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调出资金217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，解决历史遗留问题及改革成本支出16万元</w:t>
      </w:r>
      <w:r>
        <w:rPr>
          <w:rFonts w:ascii="仿宋" w:hAnsi="仿宋" w:eastAsia="仿宋"/>
          <w:sz w:val="32"/>
          <w:szCs w:val="32"/>
        </w:rPr>
        <w:t>。国有资本经营预算实现收支平衡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393"/>
    <w:rsid w:val="005A2DC4"/>
    <w:rsid w:val="00A427C9"/>
    <w:rsid w:val="00AC0393"/>
    <w:rsid w:val="00B97B4A"/>
    <w:rsid w:val="00D47129"/>
    <w:rsid w:val="7BA25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8</TotalTime>
  <ScaleCrop>false</ScaleCrop>
  <LinksUpToDate>false</LinksUpToDate>
  <CharactersWithSpaces>143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2024-01-30T02:49:00Z</dcterms:created>
  <dc:creator>Administrator</dc:creator>
  <cp:lastModifiedBy>宁城财政</cp:lastModifiedBy>
  <dcterms:modified xsi:type="dcterms:W3CDTF">2026-01-29T09:03:57Z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