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5EC" w:rsidRDefault="00D14061">
      <w:pPr>
        <w:jc w:val="left"/>
        <w:rPr>
          <w:rFonts w:ascii="Times New Roman" w:eastAsia="仿宋" w:hAnsi="Times New Roman" w:cs="Times New Roman"/>
          <w:b/>
          <w:bCs/>
          <w:sz w:val="32"/>
          <w:szCs w:val="32"/>
        </w:rPr>
      </w:pPr>
      <w:r>
        <w:rPr>
          <w:rFonts w:ascii="Times New Roman" w:eastAsia="仿宋" w:hAnsi="Times New Roman" w:cs="Times New Roman" w:hint="eastAsia"/>
          <w:b/>
          <w:bCs/>
          <w:sz w:val="32"/>
          <w:szCs w:val="32"/>
        </w:rPr>
        <w:t>附件</w:t>
      </w:r>
      <w:r w:rsidR="00F02178">
        <w:rPr>
          <w:rFonts w:ascii="Times New Roman" w:eastAsia="仿宋" w:hAnsi="Times New Roman" w:cs="Times New Roman" w:hint="eastAsia"/>
          <w:b/>
          <w:bCs/>
          <w:sz w:val="32"/>
          <w:szCs w:val="32"/>
        </w:rPr>
        <w:t>3</w:t>
      </w:r>
      <w:bookmarkStart w:id="0" w:name="_GoBack"/>
      <w:bookmarkEnd w:id="0"/>
      <w:r>
        <w:rPr>
          <w:rFonts w:ascii="Times New Roman" w:eastAsia="仿宋" w:hAnsi="Times New Roman" w:cs="Times New Roman" w:hint="eastAsia"/>
          <w:b/>
          <w:bCs/>
          <w:sz w:val="32"/>
          <w:szCs w:val="32"/>
        </w:rPr>
        <w:t>：</w:t>
      </w:r>
    </w:p>
    <w:p w:rsidR="004325EC" w:rsidRDefault="00D14061">
      <w:pPr>
        <w:jc w:val="center"/>
        <w:rPr>
          <w:rFonts w:ascii="Times New Roman" w:eastAsia="仿宋" w:hAnsi="Times New Roman" w:cs="Times New Roman"/>
          <w:b/>
          <w:bCs/>
          <w:kern w:val="0"/>
          <w:sz w:val="28"/>
          <w:szCs w:val="28"/>
        </w:rPr>
      </w:pPr>
      <w:r>
        <w:rPr>
          <w:rFonts w:ascii="Times New Roman" w:eastAsia="仿宋" w:hAnsi="Times New Roman" w:cs="Times New Roman"/>
          <w:b/>
          <w:bCs/>
          <w:kern w:val="0"/>
          <w:sz w:val="28"/>
          <w:szCs w:val="28"/>
        </w:rPr>
        <w:t>赤峰市宁城县地上附着物补偿标准表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86"/>
        <w:gridCol w:w="4051"/>
        <w:gridCol w:w="1558"/>
        <w:gridCol w:w="2456"/>
        <w:gridCol w:w="3980"/>
      </w:tblGrid>
      <w:tr w:rsidR="004325EC">
        <w:trPr>
          <w:trHeight w:val="315"/>
          <w:tblHeader/>
        </w:trPr>
        <w:tc>
          <w:tcPr>
            <w:tcW w:w="400" w:type="pct"/>
            <w:vAlign w:val="center"/>
          </w:tcPr>
          <w:p w:rsidR="004325EC" w:rsidRDefault="00D14061">
            <w:pPr>
              <w:widowControl/>
              <w:jc w:val="center"/>
              <w:textAlignment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kern w:val="0"/>
                <w:sz w:val="24"/>
                <w:szCs w:val="24"/>
                <w:lang w:bidi="ar"/>
              </w:rPr>
              <w:t>一级类</w:t>
            </w:r>
          </w:p>
        </w:tc>
        <w:tc>
          <w:tcPr>
            <w:tcW w:w="348" w:type="pct"/>
            <w:vAlign w:val="center"/>
          </w:tcPr>
          <w:p w:rsidR="004325EC" w:rsidRDefault="00D14061">
            <w:pPr>
              <w:widowControl/>
              <w:jc w:val="center"/>
              <w:textAlignment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kern w:val="0"/>
                <w:sz w:val="24"/>
                <w:szCs w:val="24"/>
                <w:lang w:bidi="ar"/>
              </w:rPr>
              <w:t>二级类</w:t>
            </w:r>
          </w:p>
        </w:tc>
        <w:tc>
          <w:tcPr>
            <w:tcW w:w="1430" w:type="pct"/>
            <w:vAlign w:val="center"/>
          </w:tcPr>
          <w:p w:rsidR="004325EC" w:rsidRDefault="00D14061">
            <w:pPr>
              <w:widowControl/>
              <w:jc w:val="center"/>
              <w:textAlignment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kern w:val="0"/>
                <w:sz w:val="24"/>
                <w:szCs w:val="24"/>
                <w:lang w:bidi="ar"/>
              </w:rPr>
              <w:t>三级类</w:t>
            </w:r>
          </w:p>
        </w:tc>
        <w:tc>
          <w:tcPr>
            <w:tcW w:w="550" w:type="pct"/>
            <w:vAlign w:val="center"/>
          </w:tcPr>
          <w:p w:rsidR="004325EC" w:rsidRDefault="00D14061">
            <w:pPr>
              <w:widowControl/>
              <w:jc w:val="center"/>
              <w:textAlignment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kern w:val="0"/>
                <w:sz w:val="24"/>
                <w:szCs w:val="24"/>
                <w:lang w:bidi="ar"/>
              </w:rPr>
              <w:t>补偿标准</w:t>
            </w:r>
          </w:p>
        </w:tc>
        <w:tc>
          <w:tcPr>
            <w:tcW w:w="867" w:type="pct"/>
            <w:vAlign w:val="center"/>
          </w:tcPr>
          <w:p w:rsidR="004325EC" w:rsidRDefault="00D14061">
            <w:pPr>
              <w:widowControl/>
              <w:jc w:val="center"/>
              <w:textAlignment w:val="top"/>
              <w:rPr>
                <w:rFonts w:ascii="Times New Roman" w:eastAsia="仿宋" w:hAnsi="Times New Roman" w:cs="Times New Roman"/>
                <w:b/>
                <w:bCs/>
                <w:color w:val="000000"/>
                <w:sz w:val="24"/>
                <w:szCs w:val="24"/>
              </w:rPr>
            </w:pPr>
            <w:r>
              <w:rPr>
                <w:rFonts w:ascii="Times New Roman" w:eastAsia="仿宋" w:hAnsi="Times New Roman" w:cs="Times New Roman"/>
                <w:b/>
                <w:bCs/>
                <w:color w:val="000000"/>
                <w:kern w:val="0"/>
                <w:sz w:val="24"/>
                <w:szCs w:val="24"/>
                <w:lang w:bidi="ar"/>
              </w:rPr>
              <w:t>单位</w:t>
            </w:r>
          </w:p>
        </w:tc>
        <w:tc>
          <w:tcPr>
            <w:tcW w:w="1402" w:type="pct"/>
            <w:vAlign w:val="center"/>
          </w:tcPr>
          <w:p w:rsidR="004325EC" w:rsidRDefault="00D14061">
            <w:pPr>
              <w:widowControl/>
              <w:jc w:val="center"/>
              <w:textAlignment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kern w:val="0"/>
                <w:sz w:val="24"/>
                <w:szCs w:val="24"/>
                <w:lang w:bidi="ar"/>
              </w:rPr>
              <w:t>备注</w:t>
            </w:r>
          </w:p>
        </w:tc>
      </w:tr>
      <w:tr w:rsidR="004325EC">
        <w:trPr>
          <w:trHeight w:val="512"/>
        </w:trPr>
        <w:tc>
          <w:tcPr>
            <w:tcW w:w="400"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房屋及配套设施</w:t>
            </w:r>
          </w:p>
        </w:tc>
        <w:tc>
          <w:tcPr>
            <w:tcW w:w="348"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房屋</w:t>
            </w: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砖混结构（含楼房）</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2100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平方米</w:t>
            </w:r>
          </w:p>
        </w:tc>
        <w:tc>
          <w:tcPr>
            <w:tcW w:w="1402"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房屋价格包含二次装修价值，房屋具体价格以第三方评估机构出具的房屋评估价格为准</w:t>
            </w:r>
          </w:p>
        </w:tc>
      </w:tr>
      <w:tr w:rsidR="004325EC">
        <w:trPr>
          <w:trHeight w:val="489"/>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砖木结构</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1900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平方米</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500"/>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土木结构</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1300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平方米</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700"/>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井房</w:t>
            </w:r>
          </w:p>
        </w:tc>
        <w:tc>
          <w:tcPr>
            <w:tcW w:w="1430" w:type="pct"/>
            <w:vAlign w:val="center"/>
          </w:tcPr>
          <w:p w:rsidR="004325EC" w:rsidRDefault="004325EC">
            <w:pPr>
              <w:jc w:val="center"/>
              <w:rPr>
                <w:rFonts w:ascii="Times New Roman" w:eastAsia="仿宋" w:hAnsi="Times New Roman" w:cs="Times New Roman"/>
                <w:color w:val="000000"/>
                <w:sz w:val="24"/>
                <w:szCs w:val="24"/>
              </w:rPr>
            </w:pP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1100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平方米</w:t>
            </w:r>
          </w:p>
        </w:tc>
        <w:tc>
          <w:tcPr>
            <w:tcW w:w="1402"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人畜饮水井房、农田灌溉井房，砖混结构或砖木结构</w:t>
            </w:r>
          </w:p>
        </w:tc>
      </w:tr>
      <w:tr w:rsidR="004325EC">
        <w:trPr>
          <w:trHeight w:val="345"/>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门</w:t>
            </w: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木头门</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300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个</w:t>
            </w:r>
          </w:p>
        </w:tc>
        <w:tc>
          <w:tcPr>
            <w:tcW w:w="1402" w:type="pct"/>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345"/>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铁门</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1000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个</w:t>
            </w:r>
          </w:p>
        </w:tc>
        <w:tc>
          <w:tcPr>
            <w:tcW w:w="1402" w:type="pct"/>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410"/>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围墙</w:t>
            </w: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砖围墙</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120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平方米</w:t>
            </w:r>
          </w:p>
        </w:tc>
        <w:tc>
          <w:tcPr>
            <w:tcW w:w="1402"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包含地基，具体价格以第三方评估机构出具的评估价格为准</w:t>
            </w:r>
          </w:p>
        </w:tc>
      </w:tr>
      <w:tr w:rsidR="004325EC">
        <w:trPr>
          <w:trHeight w:val="398"/>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土石围墙</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55</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平方米</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345"/>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土围墙</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50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平方米</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1029"/>
        </w:trPr>
        <w:tc>
          <w:tcPr>
            <w:tcW w:w="400"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农业基础设施</w:t>
            </w:r>
          </w:p>
        </w:tc>
        <w:tc>
          <w:tcPr>
            <w:tcW w:w="348"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大棚</w:t>
            </w: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一类暖棚（钢筋等金属骨架暖棚）</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1500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延长米</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跨度</w:t>
            </w:r>
            <w:r>
              <w:rPr>
                <w:rFonts w:ascii="Times New Roman" w:eastAsia="仿宋" w:hAnsi="Times New Roman" w:cs="Times New Roman"/>
                <w:color w:val="000000"/>
                <w:kern w:val="0"/>
                <w:sz w:val="24"/>
                <w:szCs w:val="24"/>
                <w:lang w:bidi="ar"/>
              </w:rPr>
              <w:t>8</w:t>
            </w:r>
            <w:r>
              <w:rPr>
                <w:rFonts w:ascii="Times New Roman" w:eastAsia="仿宋" w:hAnsi="Times New Roman" w:cs="Times New Roman"/>
                <w:color w:val="000000"/>
                <w:kern w:val="0"/>
                <w:sz w:val="24"/>
                <w:szCs w:val="24"/>
                <w:lang w:bidi="ar"/>
              </w:rPr>
              <w:t>米</w:t>
            </w:r>
          </w:p>
        </w:tc>
        <w:tc>
          <w:tcPr>
            <w:tcW w:w="1402"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大棚墙体为砖墙或土墙，棚室完整、附属设施齐全、能够正常生产的，以整个大棚为征拆单元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含大棚所有附属设施</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，按大棚整体长度每延长米补偿。大棚跨度不足</w:t>
            </w:r>
            <w:r>
              <w:rPr>
                <w:rFonts w:ascii="Times New Roman" w:eastAsia="仿宋" w:hAnsi="Times New Roman" w:cs="Times New Roman"/>
                <w:color w:val="000000"/>
                <w:kern w:val="0"/>
                <w:sz w:val="24"/>
                <w:szCs w:val="24"/>
                <w:lang w:bidi="ar"/>
              </w:rPr>
              <w:t>8</w:t>
            </w:r>
            <w:r>
              <w:rPr>
                <w:rFonts w:ascii="Times New Roman" w:eastAsia="仿宋" w:hAnsi="Times New Roman" w:cs="Times New Roman"/>
                <w:color w:val="000000"/>
                <w:kern w:val="0"/>
                <w:sz w:val="24"/>
                <w:szCs w:val="24"/>
                <w:lang w:bidi="ar"/>
              </w:rPr>
              <w:t>米或超过</w:t>
            </w:r>
            <w:r>
              <w:rPr>
                <w:rFonts w:ascii="Times New Roman" w:eastAsia="仿宋" w:hAnsi="Times New Roman" w:cs="Times New Roman"/>
                <w:color w:val="000000"/>
                <w:kern w:val="0"/>
                <w:sz w:val="24"/>
                <w:szCs w:val="24"/>
                <w:lang w:bidi="ar"/>
              </w:rPr>
              <w:t>8</w:t>
            </w:r>
            <w:r>
              <w:rPr>
                <w:rFonts w:ascii="Times New Roman" w:eastAsia="仿宋" w:hAnsi="Times New Roman" w:cs="Times New Roman"/>
                <w:color w:val="000000"/>
                <w:kern w:val="0"/>
                <w:sz w:val="24"/>
                <w:szCs w:val="24"/>
                <w:lang w:bidi="ar"/>
              </w:rPr>
              <w:t>米的按照跨度</w:t>
            </w:r>
            <w:r>
              <w:rPr>
                <w:rFonts w:ascii="Times New Roman" w:eastAsia="仿宋" w:hAnsi="Times New Roman" w:cs="Times New Roman"/>
                <w:color w:val="000000"/>
                <w:kern w:val="0"/>
                <w:sz w:val="24"/>
                <w:szCs w:val="24"/>
                <w:lang w:bidi="ar"/>
              </w:rPr>
              <w:t>8</w:t>
            </w:r>
            <w:r>
              <w:rPr>
                <w:rFonts w:ascii="Times New Roman" w:eastAsia="仿宋" w:hAnsi="Times New Roman" w:cs="Times New Roman"/>
                <w:color w:val="000000"/>
                <w:kern w:val="0"/>
                <w:sz w:val="24"/>
                <w:szCs w:val="24"/>
                <w:lang w:bidi="ar"/>
              </w:rPr>
              <w:t>米补偿标准进行折算。</w:t>
            </w:r>
          </w:p>
        </w:tc>
      </w:tr>
      <w:tr w:rsidR="004325EC">
        <w:trPr>
          <w:trHeight w:val="840"/>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二类暖棚（竹木骨架暖棚）</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1200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延长米</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跨度</w:t>
            </w:r>
            <w:r>
              <w:rPr>
                <w:rFonts w:ascii="Times New Roman" w:eastAsia="仿宋" w:hAnsi="Times New Roman" w:cs="Times New Roman"/>
                <w:color w:val="000000"/>
                <w:kern w:val="0"/>
                <w:sz w:val="24"/>
                <w:szCs w:val="24"/>
                <w:lang w:bidi="ar"/>
              </w:rPr>
              <w:t>8</w:t>
            </w:r>
            <w:r>
              <w:rPr>
                <w:rFonts w:ascii="Times New Roman" w:eastAsia="仿宋" w:hAnsi="Times New Roman" w:cs="Times New Roman"/>
                <w:color w:val="000000"/>
                <w:kern w:val="0"/>
                <w:sz w:val="24"/>
                <w:szCs w:val="24"/>
                <w:lang w:bidi="ar"/>
              </w:rPr>
              <w:t>米</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2252"/>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一类冷棚（钢筋等金属骨架冷棚）</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900-20000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w:t>
            </w:r>
          </w:p>
        </w:tc>
        <w:tc>
          <w:tcPr>
            <w:tcW w:w="1402" w:type="pct"/>
            <w:vAlign w:val="center"/>
          </w:tcPr>
          <w:p w:rsidR="004325EC" w:rsidRDefault="00D14061">
            <w:pPr>
              <w:widowControl/>
              <w:jc w:val="left"/>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骨架、棚膜及其它设施完好，按照冷棚整体占地面积进行补偿</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含冷棚所有附属设施</w:t>
            </w:r>
            <w:r>
              <w:rPr>
                <w:rFonts w:ascii="Times New Roman" w:eastAsia="仿宋" w:hAnsi="Times New Roman" w:cs="Times New Roman"/>
                <w:color w:val="000000"/>
                <w:kern w:val="0"/>
                <w:sz w:val="24"/>
                <w:szCs w:val="24"/>
                <w:lang w:bidi="ar"/>
              </w:rPr>
              <w:t xml:space="preserve">):                 </w:t>
            </w:r>
          </w:p>
          <w:p w:rsidR="004325EC" w:rsidRDefault="00D14061">
            <w:pPr>
              <w:widowControl/>
              <w:jc w:val="left"/>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1.</w:t>
            </w:r>
            <w:r>
              <w:rPr>
                <w:rFonts w:ascii="Times New Roman" w:eastAsia="仿宋" w:hAnsi="Times New Roman" w:cs="Times New Roman"/>
                <w:color w:val="000000"/>
                <w:kern w:val="0"/>
                <w:sz w:val="24"/>
                <w:szCs w:val="24"/>
                <w:lang w:bidi="ar"/>
              </w:rPr>
              <w:t>冷棚棚顶与地面平均高度在</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米或</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米以上的，按照</w:t>
            </w:r>
            <w:r>
              <w:rPr>
                <w:rFonts w:ascii="Times New Roman" w:eastAsia="仿宋" w:hAnsi="Times New Roman" w:cs="Times New Roman"/>
                <w:color w:val="000000"/>
                <w:kern w:val="0"/>
                <w:sz w:val="24"/>
                <w:szCs w:val="24"/>
                <w:lang w:bidi="ar"/>
              </w:rPr>
              <w:t>20000</w:t>
            </w: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亩补偿</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br/>
              <w:t>2.</w:t>
            </w:r>
            <w:r>
              <w:rPr>
                <w:rFonts w:ascii="Times New Roman" w:eastAsia="仿宋" w:hAnsi="Times New Roman" w:cs="Times New Roman"/>
                <w:color w:val="000000"/>
                <w:kern w:val="0"/>
                <w:sz w:val="24"/>
                <w:szCs w:val="24"/>
                <w:lang w:bidi="ar"/>
              </w:rPr>
              <w:t>冷棚棚顶与地面平均高度大于</w:t>
            </w:r>
            <w:r>
              <w:rPr>
                <w:rFonts w:ascii="Times New Roman" w:eastAsia="仿宋" w:hAnsi="Times New Roman" w:cs="Times New Roman"/>
                <w:color w:val="000000"/>
                <w:kern w:val="0"/>
                <w:sz w:val="24"/>
                <w:szCs w:val="24"/>
                <w:lang w:bidi="ar"/>
              </w:rPr>
              <w:t>1</w:t>
            </w:r>
            <w:r>
              <w:rPr>
                <w:rFonts w:ascii="Times New Roman" w:eastAsia="仿宋" w:hAnsi="Times New Roman" w:cs="Times New Roman"/>
                <w:color w:val="000000"/>
                <w:kern w:val="0"/>
                <w:sz w:val="24"/>
                <w:szCs w:val="24"/>
                <w:lang w:bidi="ar"/>
              </w:rPr>
              <w:t>米而小于</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米的，按照</w:t>
            </w:r>
            <w:r>
              <w:rPr>
                <w:rFonts w:ascii="Times New Roman" w:eastAsia="仿宋" w:hAnsi="Times New Roman" w:cs="Times New Roman"/>
                <w:color w:val="000000"/>
                <w:kern w:val="0"/>
                <w:sz w:val="24"/>
                <w:szCs w:val="24"/>
                <w:lang w:bidi="ar"/>
              </w:rPr>
              <w:t>15000</w:t>
            </w: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亩补偿</w:t>
            </w:r>
            <w:r>
              <w:rPr>
                <w:rFonts w:ascii="Times New Roman" w:eastAsia="仿宋" w:hAnsi="Times New Roman" w:cs="Times New Roman"/>
                <w:color w:val="000000"/>
                <w:kern w:val="0"/>
                <w:sz w:val="24"/>
                <w:szCs w:val="24"/>
                <w:lang w:bidi="ar"/>
              </w:rPr>
              <w:t>;</w:t>
            </w:r>
          </w:p>
          <w:p w:rsidR="004325EC" w:rsidRDefault="00D14061">
            <w:pPr>
              <w:widowControl/>
              <w:jc w:val="left"/>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冷棚棚顶与地面平均高度大于</w:t>
            </w:r>
            <w:r>
              <w:rPr>
                <w:rFonts w:ascii="Times New Roman" w:eastAsia="仿宋" w:hAnsi="Times New Roman" w:cs="Times New Roman"/>
                <w:color w:val="000000"/>
                <w:kern w:val="0"/>
                <w:sz w:val="24"/>
                <w:szCs w:val="24"/>
                <w:lang w:bidi="ar"/>
              </w:rPr>
              <w:t>0.5</w:t>
            </w:r>
            <w:r>
              <w:rPr>
                <w:rFonts w:ascii="Times New Roman" w:eastAsia="仿宋" w:hAnsi="Times New Roman" w:cs="Times New Roman"/>
                <w:color w:val="000000"/>
                <w:kern w:val="0"/>
                <w:sz w:val="24"/>
                <w:szCs w:val="24"/>
                <w:lang w:bidi="ar"/>
              </w:rPr>
              <w:t>米而小于</w:t>
            </w:r>
            <w:r>
              <w:rPr>
                <w:rFonts w:ascii="Times New Roman" w:eastAsia="仿宋" w:hAnsi="Times New Roman" w:cs="Times New Roman"/>
                <w:color w:val="000000"/>
                <w:kern w:val="0"/>
                <w:sz w:val="24"/>
                <w:szCs w:val="24"/>
                <w:lang w:bidi="ar"/>
              </w:rPr>
              <w:t>1</w:t>
            </w:r>
            <w:r>
              <w:rPr>
                <w:rFonts w:ascii="Times New Roman" w:eastAsia="仿宋" w:hAnsi="Times New Roman" w:cs="Times New Roman"/>
                <w:color w:val="000000"/>
                <w:kern w:val="0"/>
                <w:sz w:val="24"/>
                <w:szCs w:val="24"/>
                <w:lang w:bidi="ar"/>
              </w:rPr>
              <w:t>米的，按照</w:t>
            </w:r>
            <w:r>
              <w:rPr>
                <w:rFonts w:ascii="Times New Roman" w:eastAsia="仿宋" w:hAnsi="Times New Roman" w:cs="Times New Roman"/>
                <w:color w:val="000000"/>
                <w:kern w:val="0"/>
                <w:sz w:val="24"/>
                <w:szCs w:val="24"/>
                <w:lang w:bidi="ar"/>
              </w:rPr>
              <w:t>5000</w:t>
            </w: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亩补偿</w:t>
            </w:r>
            <w:r>
              <w:rPr>
                <w:rFonts w:ascii="Times New Roman" w:eastAsia="仿宋" w:hAnsi="Times New Roman" w:cs="Times New Roman"/>
                <w:color w:val="000000"/>
                <w:kern w:val="0"/>
                <w:sz w:val="24"/>
                <w:szCs w:val="24"/>
                <w:lang w:bidi="ar"/>
              </w:rPr>
              <w:t xml:space="preserve">;                                     </w:t>
            </w:r>
          </w:p>
          <w:p w:rsidR="004325EC" w:rsidRDefault="00D14061">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4.</w:t>
            </w:r>
            <w:r>
              <w:rPr>
                <w:rFonts w:ascii="Times New Roman" w:eastAsia="仿宋" w:hAnsi="Times New Roman" w:cs="Times New Roman"/>
                <w:color w:val="000000"/>
                <w:kern w:val="0"/>
                <w:sz w:val="24"/>
                <w:szCs w:val="24"/>
                <w:lang w:bidi="ar"/>
              </w:rPr>
              <w:t>冷棚棚顶与地面平均高度小于</w:t>
            </w:r>
            <w:r>
              <w:rPr>
                <w:rFonts w:ascii="Times New Roman" w:eastAsia="仿宋" w:hAnsi="Times New Roman" w:cs="Times New Roman"/>
                <w:color w:val="000000"/>
                <w:kern w:val="0"/>
                <w:sz w:val="24"/>
                <w:szCs w:val="24"/>
                <w:lang w:bidi="ar"/>
              </w:rPr>
              <w:t>0.5</w:t>
            </w:r>
            <w:r>
              <w:rPr>
                <w:rFonts w:ascii="Times New Roman" w:eastAsia="仿宋" w:hAnsi="Times New Roman" w:cs="Times New Roman"/>
                <w:color w:val="000000"/>
                <w:kern w:val="0"/>
                <w:sz w:val="24"/>
                <w:szCs w:val="24"/>
                <w:lang w:bidi="ar"/>
              </w:rPr>
              <w:t>米的按照</w:t>
            </w:r>
            <w:r>
              <w:rPr>
                <w:rFonts w:ascii="Times New Roman" w:eastAsia="仿宋" w:hAnsi="Times New Roman" w:cs="Times New Roman"/>
                <w:color w:val="000000"/>
                <w:kern w:val="0"/>
                <w:sz w:val="24"/>
                <w:szCs w:val="24"/>
                <w:lang w:bidi="ar"/>
              </w:rPr>
              <w:t>900</w:t>
            </w: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亩补偿。</w:t>
            </w:r>
          </w:p>
        </w:tc>
      </w:tr>
      <w:tr w:rsidR="004325EC">
        <w:trPr>
          <w:trHeight w:val="1361"/>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二类冷棚（竹木骨架冷棚）</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500-13000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w:t>
            </w:r>
          </w:p>
        </w:tc>
        <w:tc>
          <w:tcPr>
            <w:tcW w:w="1402" w:type="pct"/>
            <w:vAlign w:val="center"/>
          </w:tcPr>
          <w:p w:rsidR="004325EC" w:rsidRDefault="00D14061">
            <w:pPr>
              <w:widowControl/>
              <w:jc w:val="left"/>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骨架、棚膜及其它设施完好，按照冷棚整体占地面积进行补偿</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含冷棚所有附属设施</w:t>
            </w:r>
            <w:r>
              <w:rPr>
                <w:rFonts w:ascii="Times New Roman" w:eastAsia="仿宋" w:hAnsi="Times New Roman" w:cs="Times New Roman"/>
                <w:color w:val="000000"/>
                <w:kern w:val="0"/>
                <w:sz w:val="24"/>
                <w:szCs w:val="24"/>
                <w:lang w:bidi="ar"/>
              </w:rPr>
              <w:t xml:space="preserve">):                 </w:t>
            </w:r>
          </w:p>
          <w:p w:rsidR="004325EC" w:rsidRDefault="00D14061">
            <w:pPr>
              <w:widowControl/>
              <w:jc w:val="left"/>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1.</w:t>
            </w:r>
            <w:r>
              <w:rPr>
                <w:rFonts w:ascii="Times New Roman" w:eastAsia="仿宋" w:hAnsi="Times New Roman" w:cs="Times New Roman"/>
                <w:color w:val="000000"/>
                <w:kern w:val="0"/>
                <w:sz w:val="24"/>
                <w:szCs w:val="24"/>
                <w:lang w:bidi="ar"/>
              </w:rPr>
              <w:t>冷棚棚顶与地面平均高度在</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米或</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米以上的，按照</w:t>
            </w:r>
            <w:r>
              <w:rPr>
                <w:rFonts w:ascii="Times New Roman" w:eastAsia="仿宋" w:hAnsi="Times New Roman" w:cs="Times New Roman"/>
                <w:color w:val="000000"/>
                <w:kern w:val="0"/>
                <w:sz w:val="24"/>
                <w:szCs w:val="24"/>
                <w:lang w:bidi="ar"/>
              </w:rPr>
              <w:t>13000</w:t>
            </w: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亩补偿</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br/>
              <w:t>2.</w:t>
            </w:r>
            <w:r>
              <w:rPr>
                <w:rFonts w:ascii="Times New Roman" w:eastAsia="仿宋" w:hAnsi="Times New Roman" w:cs="Times New Roman"/>
                <w:color w:val="000000"/>
                <w:kern w:val="0"/>
                <w:sz w:val="24"/>
                <w:szCs w:val="24"/>
                <w:lang w:bidi="ar"/>
              </w:rPr>
              <w:t>冷棚棚顶与地面平均高度大于</w:t>
            </w:r>
            <w:r>
              <w:rPr>
                <w:rFonts w:ascii="Times New Roman" w:eastAsia="仿宋" w:hAnsi="Times New Roman" w:cs="Times New Roman"/>
                <w:color w:val="000000"/>
                <w:kern w:val="0"/>
                <w:sz w:val="24"/>
                <w:szCs w:val="24"/>
                <w:lang w:bidi="ar"/>
              </w:rPr>
              <w:t>1</w:t>
            </w:r>
            <w:r>
              <w:rPr>
                <w:rFonts w:ascii="Times New Roman" w:eastAsia="仿宋" w:hAnsi="Times New Roman" w:cs="Times New Roman"/>
                <w:color w:val="000000"/>
                <w:kern w:val="0"/>
                <w:sz w:val="24"/>
                <w:szCs w:val="24"/>
                <w:lang w:bidi="ar"/>
              </w:rPr>
              <w:t>米而小于</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米的，按照</w:t>
            </w:r>
            <w:r>
              <w:rPr>
                <w:rFonts w:ascii="Times New Roman" w:eastAsia="仿宋" w:hAnsi="Times New Roman" w:cs="Times New Roman"/>
                <w:color w:val="000000"/>
                <w:kern w:val="0"/>
                <w:sz w:val="24"/>
                <w:szCs w:val="24"/>
                <w:lang w:bidi="ar"/>
              </w:rPr>
              <w:t>9000</w:t>
            </w: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亩补偿</w:t>
            </w:r>
            <w:r>
              <w:rPr>
                <w:rFonts w:ascii="Times New Roman" w:eastAsia="仿宋" w:hAnsi="Times New Roman" w:cs="Times New Roman"/>
                <w:color w:val="000000"/>
                <w:kern w:val="0"/>
                <w:sz w:val="24"/>
                <w:szCs w:val="24"/>
                <w:lang w:bidi="ar"/>
              </w:rPr>
              <w:t>;</w:t>
            </w:r>
          </w:p>
          <w:p w:rsidR="004325EC" w:rsidRDefault="00D14061">
            <w:pPr>
              <w:widowControl/>
              <w:jc w:val="left"/>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冷棚棚顶与地面平均高度大于</w:t>
            </w:r>
            <w:r>
              <w:rPr>
                <w:rFonts w:ascii="Times New Roman" w:eastAsia="仿宋" w:hAnsi="Times New Roman" w:cs="Times New Roman"/>
                <w:color w:val="000000"/>
                <w:kern w:val="0"/>
                <w:sz w:val="24"/>
                <w:szCs w:val="24"/>
                <w:lang w:bidi="ar"/>
              </w:rPr>
              <w:t>0.5</w:t>
            </w:r>
            <w:r>
              <w:rPr>
                <w:rFonts w:ascii="Times New Roman" w:eastAsia="仿宋" w:hAnsi="Times New Roman" w:cs="Times New Roman"/>
                <w:color w:val="000000"/>
                <w:kern w:val="0"/>
                <w:sz w:val="24"/>
                <w:szCs w:val="24"/>
                <w:lang w:bidi="ar"/>
              </w:rPr>
              <w:t>米而小于</w:t>
            </w:r>
            <w:r>
              <w:rPr>
                <w:rFonts w:ascii="Times New Roman" w:eastAsia="仿宋" w:hAnsi="Times New Roman" w:cs="Times New Roman"/>
                <w:color w:val="000000"/>
                <w:kern w:val="0"/>
                <w:sz w:val="24"/>
                <w:szCs w:val="24"/>
                <w:lang w:bidi="ar"/>
              </w:rPr>
              <w:t>1</w:t>
            </w:r>
            <w:r>
              <w:rPr>
                <w:rFonts w:ascii="Times New Roman" w:eastAsia="仿宋" w:hAnsi="Times New Roman" w:cs="Times New Roman"/>
                <w:color w:val="000000"/>
                <w:kern w:val="0"/>
                <w:sz w:val="24"/>
                <w:szCs w:val="24"/>
                <w:lang w:bidi="ar"/>
              </w:rPr>
              <w:t>米的，按照</w:t>
            </w:r>
            <w:r>
              <w:rPr>
                <w:rFonts w:ascii="Times New Roman" w:eastAsia="仿宋" w:hAnsi="Times New Roman" w:cs="Times New Roman"/>
                <w:color w:val="000000"/>
                <w:kern w:val="0"/>
                <w:sz w:val="24"/>
                <w:szCs w:val="24"/>
                <w:lang w:bidi="ar"/>
              </w:rPr>
              <w:t>3000</w:t>
            </w: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亩补偿</w:t>
            </w:r>
            <w:r>
              <w:rPr>
                <w:rFonts w:ascii="Times New Roman" w:eastAsia="仿宋" w:hAnsi="Times New Roman" w:cs="Times New Roman"/>
                <w:color w:val="000000"/>
                <w:kern w:val="0"/>
                <w:sz w:val="24"/>
                <w:szCs w:val="24"/>
                <w:lang w:bidi="ar"/>
              </w:rPr>
              <w:t xml:space="preserve">;                                     </w:t>
            </w:r>
          </w:p>
          <w:p w:rsidR="004325EC" w:rsidRDefault="00D14061">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4.</w:t>
            </w:r>
            <w:r>
              <w:rPr>
                <w:rFonts w:ascii="Times New Roman" w:eastAsia="仿宋" w:hAnsi="Times New Roman" w:cs="Times New Roman"/>
                <w:color w:val="000000"/>
                <w:kern w:val="0"/>
                <w:sz w:val="24"/>
                <w:szCs w:val="24"/>
                <w:lang w:bidi="ar"/>
              </w:rPr>
              <w:t>冷棚棚顶与地面平均高度小于</w:t>
            </w:r>
            <w:r>
              <w:rPr>
                <w:rFonts w:ascii="Times New Roman" w:eastAsia="仿宋" w:hAnsi="Times New Roman" w:cs="Times New Roman"/>
                <w:color w:val="000000"/>
                <w:kern w:val="0"/>
                <w:sz w:val="24"/>
                <w:szCs w:val="24"/>
                <w:lang w:bidi="ar"/>
              </w:rPr>
              <w:t>0.5</w:t>
            </w:r>
            <w:r>
              <w:rPr>
                <w:rFonts w:ascii="Times New Roman" w:eastAsia="仿宋" w:hAnsi="Times New Roman" w:cs="Times New Roman"/>
                <w:color w:val="000000"/>
                <w:kern w:val="0"/>
                <w:sz w:val="24"/>
                <w:szCs w:val="24"/>
                <w:lang w:bidi="ar"/>
              </w:rPr>
              <w:t>米的按照</w:t>
            </w:r>
            <w:r>
              <w:rPr>
                <w:rFonts w:ascii="Times New Roman" w:eastAsia="仿宋" w:hAnsi="Times New Roman" w:cs="Times New Roman"/>
                <w:color w:val="000000"/>
                <w:kern w:val="0"/>
                <w:sz w:val="24"/>
                <w:szCs w:val="24"/>
                <w:lang w:bidi="ar"/>
              </w:rPr>
              <w:t>500</w:t>
            </w: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亩补偿。</w:t>
            </w:r>
          </w:p>
        </w:tc>
      </w:tr>
      <w:tr w:rsidR="004325EC">
        <w:trPr>
          <w:trHeight w:val="315"/>
        </w:trPr>
        <w:tc>
          <w:tcPr>
            <w:tcW w:w="40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其他设施</w:t>
            </w:r>
          </w:p>
        </w:tc>
        <w:tc>
          <w:tcPr>
            <w:tcW w:w="348"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迁坟</w:t>
            </w: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坟墓</w:t>
            </w:r>
          </w:p>
        </w:tc>
        <w:tc>
          <w:tcPr>
            <w:tcW w:w="55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2000</w:t>
            </w:r>
          </w:p>
        </w:tc>
        <w:tc>
          <w:tcPr>
            <w:tcW w:w="867"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元</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座</w:t>
            </w:r>
          </w:p>
        </w:tc>
        <w:tc>
          <w:tcPr>
            <w:tcW w:w="1402" w:type="pct"/>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315"/>
        </w:trPr>
        <w:tc>
          <w:tcPr>
            <w:tcW w:w="400"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林木</w:t>
            </w:r>
          </w:p>
        </w:tc>
        <w:tc>
          <w:tcPr>
            <w:tcW w:w="348"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乔木</w:t>
            </w: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用材林和薪炭林林木</w:t>
            </w:r>
          </w:p>
        </w:tc>
        <w:tc>
          <w:tcPr>
            <w:tcW w:w="1417" w:type="pct"/>
            <w:gridSpan w:val="2"/>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补偿基数的</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倍</w:t>
            </w:r>
          </w:p>
        </w:tc>
        <w:tc>
          <w:tcPr>
            <w:tcW w:w="1402"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补偿基数：一般乔木树种按每亩</w:t>
            </w:r>
            <w:r>
              <w:rPr>
                <w:rFonts w:ascii="Times New Roman" w:eastAsia="仿宋" w:hAnsi="Times New Roman" w:cs="Times New Roman"/>
                <w:color w:val="000000"/>
                <w:kern w:val="0"/>
                <w:sz w:val="24"/>
                <w:szCs w:val="24"/>
                <w:lang w:bidi="ar"/>
              </w:rPr>
              <w:t>6</w:t>
            </w:r>
            <w:r>
              <w:rPr>
                <w:rFonts w:ascii="Times New Roman" w:eastAsia="仿宋" w:hAnsi="Times New Roman" w:cs="Times New Roman"/>
                <w:color w:val="000000"/>
                <w:kern w:val="0"/>
                <w:sz w:val="24"/>
                <w:szCs w:val="24"/>
                <w:lang w:bidi="ar"/>
              </w:rPr>
              <w:t>立方米出材量价值补偿；珍贵乔木树种按每亩</w:t>
            </w:r>
            <w:r>
              <w:rPr>
                <w:rFonts w:ascii="Times New Roman" w:eastAsia="仿宋" w:hAnsi="Times New Roman" w:cs="Times New Roman"/>
                <w:color w:val="000000"/>
                <w:kern w:val="0"/>
                <w:sz w:val="24"/>
                <w:szCs w:val="24"/>
                <w:lang w:bidi="ar"/>
              </w:rPr>
              <w:t>6</w:t>
            </w:r>
            <w:r>
              <w:rPr>
                <w:rFonts w:ascii="Times New Roman" w:eastAsia="仿宋" w:hAnsi="Times New Roman" w:cs="Times New Roman"/>
                <w:color w:val="000000"/>
                <w:kern w:val="0"/>
                <w:sz w:val="24"/>
                <w:szCs w:val="24"/>
                <w:lang w:bidi="ar"/>
              </w:rPr>
              <w:t>立方米出材量价值的</w:t>
            </w: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倍补偿；乔木树种出材量价值，是指当地同一树种或同类树种的木材按当地市场价格销售所得的收入。未列出种类，参照《内蒙古自治区人民政府办公厅关于印发建设项目使用林地补偿标准的通知》</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内政办发</w:t>
            </w:r>
            <w:r>
              <w:rPr>
                <w:rFonts w:ascii="Times New Roman" w:eastAsia="仿宋" w:hAnsi="Times New Roman" w:cs="Times New Roman"/>
                <w:color w:val="000000"/>
                <w:kern w:val="0"/>
                <w:sz w:val="24"/>
                <w:szCs w:val="24"/>
                <w:lang w:bidi="ar"/>
              </w:rPr>
              <w:t>[2015]138</w:t>
            </w:r>
            <w:r>
              <w:rPr>
                <w:rFonts w:ascii="Times New Roman" w:eastAsia="仿宋" w:hAnsi="Times New Roman" w:cs="Times New Roman"/>
                <w:color w:val="000000"/>
                <w:kern w:val="0"/>
                <w:sz w:val="24"/>
                <w:szCs w:val="24"/>
                <w:lang w:bidi="ar"/>
              </w:rPr>
              <w:t>号</w:t>
            </w:r>
            <w:r>
              <w:rPr>
                <w:rFonts w:ascii="Times New Roman" w:eastAsia="仿宋" w:hAnsi="Times New Roman" w:cs="Times New Roman"/>
                <w:color w:val="000000"/>
                <w:kern w:val="0"/>
                <w:sz w:val="24"/>
                <w:szCs w:val="24"/>
                <w:lang w:bidi="ar"/>
              </w:rPr>
              <w:t>)</w:t>
            </w:r>
            <w:r>
              <w:rPr>
                <w:rFonts w:ascii="Times New Roman" w:eastAsia="仿宋" w:hAnsi="Times New Roman" w:cs="Times New Roman"/>
                <w:color w:val="000000"/>
                <w:kern w:val="0"/>
                <w:sz w:val="24"/>
                <w:szCs w:val="24"/>
                <w:lang w:bidi="ar"/>
              </w:rPr>
              <w:t>文件，由评估机构评估确定。树种以所占林地主要树种为判定标准；林种以林权证或林业部门认定为准。因分类划分问题如与上一轮成果比较存在标准降低问题，按照不低于上一轮标准执行。</w:t>
            </w:r>
          </w:p>
        </w:tc>
      </w:tr>
      <w:tr w:rsidR="004325EC">
        <w:trPr>
          <w:trHeight w:val="315"/>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一般防护林林木</w:t>
            </w:r>
          </w:p>
        </w:tc>
        <w:tc>
          <w:tcPr>
            <w:tcW w:w="1417" w:type="pct"/>
            <w:gridSpan w:val="2"/>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补偿基数的</w:t>
            </w:r>
            <w:r>
              <w:rPr>
                <w:rFonts w:ascii="Times New Roman" w:eastAsia="仿宋" w:hAnsi="Times New Roman" w:cs="Times New Roman"/>
                <w:color w:val="000000"/>
                <w:kern w:val="0"/>
                <w:sz w:val="24"/>
                <w:szCs w:val="24"/>
                <w:lang w:bidi="ar"/>
              </w:rPr>
              <w:t>4</w:t>
            </w:r>
            <w:r>
              <w:rPr>
                <w:rFonts w:ascii="Times New Roman" w:eastAsia="仿宋" w:hAnsi="Times New Roman" w:cs="Times New Roman"/>
                <w:color w:val="000000"/>
                <w:kern w:val="0"/>
                <w:sz w:val="24"/>
                <w:szCs w:val="24"/>
                <w:lang w:bidi="ar"/>
              </w:rPr>
              <w:t>倍</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315"/>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国家级公益林防护林</w:t>
            </w:r>
          </w:p>
        </w:tc>
        <w:tc>
          <w:tcPr>
            <w:tcW w:w="1417" w:type="pct"/>
            <w:gridSpan w:val="2"/>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补偿基数的</w:t>
            </w:r>
            <w:r>
              <w:rPr>
                <w:rFonts w:ascii="Times New Roman" w:eastAsia="仿宋" w:hAnsi="Times New Roman" w:cs="Times New Roman"/>
                <w:color w:val="000000"/>
                <w:kern w:val="0"/>
                <w:sz w:val="24"/>
                <w:szCs w:val="24"/>
                <w:lang w:bidi="ar"/>
              </w:rPr>
              <w:t>5</w:t>
            </w:r>
            <w:r>
              <w:rPr>
                <w:rFonts w:ascii="Times New Roman" w:eastAsia="仿宋" w:hAnsi="Times New Roman" w:cs="Times New Roman"/>
                <w:color w:val="000000"/>
                <w:kern w:val="0"/>
                <w:sz w:val="24"/>
                <w:szCs w:val="24"/>
                <w:lang w:bidi="ar"/>
              </w:rPr>
              <w:t>倍</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315"/>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未成林造林地林木</w:t>
            </w:r>
          </w:p>
        </w:tc>
        <w:tc>
          <w:tcPr>
            <w:tcW w:w="1417" w:type="pct"/>
            <w:gridSpan w:val="2"/>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按补偿基数补偿</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1320"/>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restar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灌木</w:t>
            </w: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灌木林林木（除灌木经济林林木之外）</w:t>
            </w:r>
          </w:p>
        </w:tc>
        <w:tc>
          <w:tcPr>
            <w:tcW w:w="1417" w:type="pct"/>
            <w:gridSpan w:val="2"/>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按同一林种乔木林林木补偿标准的</w:t>
            </w:r>
            <w:r>
              <w:rPr>
                <w:rFonts w:ascii="Times New Roman" w:eastAsia="仿宋" w:hAnsi="Times New Roman" w:cs="Times New Roman"/>
                <w:color w:val="000000"/>
                <w:kern w:val="0"/>
                <w:sz w:val="24"/>
                <w:szCs w:val="24"/>
                <w:lang w:bidi="ar"/>
              </w:rPr>
              <w:t>0.5</w:t>
            </w:r>
            <w:r>
              <w:rPr>
                <w:rFonts w:ascii="Times New Roman" w:eastAsia="仿宋" w:hAnsi="Times New Roman" w:cs="Times New Roman"/>
                <w:color w:val="000000"/>
                <w:kern w:val="0"/>
                <w:sz w:val="24"/>
                <w:szCs w:val="24"/>
                <w:lang w:bidi="ar"/>
              </w:rPr>
              <w:t>倍补偿，其中灌木国家级公益林林木按乔木国家级公益林林木补偿标准的</w:t>
            </w:r>
            <w:r>
              <w:rPr>
                <w:rFonts w:ascii="Times New Roman" w:eastAsia="仿宋" w:hAnsi="Times New Roman" w:cs="Times New Roman"/>
                <w:color w:val="000000"/>
                <w:kern w:val="0"/>
                <w:sz w:val="24"/>
                <w:szCs w:val="24"/>
                <w:lang w:bidi="ar"/>
              </w:rPr>
              <w:t>0.5</w:t>
            </w:r>
            <w:r>
              <w:rPr>
                <w:rFonts w:ascii="Times New Roman" w:eastAsia="仿宋" w:hAnsi="Times New Roman" w:cs="Times New Roman"/>
                <w:color w:val="000000"/>
                <w:kern w:val="0"/>
                <w:sz w:val="24"/>
                <w:szCs w:val="24"/>
                <w:lang w:bidi="ar"/>
              </w:rPr>
              <w:t>倍补偿。</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500"/>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Merge/>
            <w:vAlign w:val="center"/>
          </w:tcPr>
          <w:p w:rsidR="004325EC" w:rsidRDefault="004325EC">
            <w:pPr>
              <w:jc w:val="center"/>
              <w:rPr>
                <w:rFonts w:ascii="Times New Roman" w:eastAsia="仿宋" w:hAnsi="Times New Roman" w:cs="Times New Roman"/>
                <w:color w:val="000000"/>
                <w:sz w:val="24"/>
                <w:szCs w:val="24"/>
              </w:rPr>
            </w:pPr>
          </w:p>
        </w:tc>
        <w:tc>
          <w:tcPr>
            <w:tcW w:w="1430"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未成林造林地林木</w:t>
            </w:r>
          </w:p>
        </w:tc>
        <w:tc>
          <w:tcPr>
            <w:tcW w:w="1417" w:type="pct"/>
            <w:gridSpan w:val="2"/>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补偿基数的</w:t>
            </w:r>
            <w:r>
              <w:rPr>
                <w:rFonts w:ascii="Times New Roman" w:eastAsia="仿宋" w:hAnsi="Times New Roman" w:cs="Times New Roman"/>
                <w:color w:val="000000"/>
                <w:kern w:val="0"/>
                <w:sz w:val="24"/>
                <w:szCs w:val="24"/>
                <w:lang w:bidi="ar"/>
              </w:rPr>
              <w:t>0.5</w:t>
            </w:r>
            <w:r>
              <w:rPr>
                <w:rFonts w:ascii="Times New Roman" w:eastAsia="仿宋" w:hAnsi="Times New Roman" w:cs="Times New Roman"/>
                <w:color w:val="000000"/>
                <w:kern w:val="0"/>
                <w:sz w:val="24"/>
                <w:szCs w:val="24"/>
                <w:lang w:bidi="ar"/>
              </w:rPr>
              <w:t>倍</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1620"/>
        </w:trPr>
        <w:tc>
          <w:tcPr>
            <w:tcW w:w="400" w:type="pct"/>
            <w:vMerge/>
            <w:vAlign w:val="center"/>
          </w:tcPr>
          <w:p w:rsidR="004325EC" w:rsidRDefault="004325EC">
            <w:pPr>
              <w:jc w:val="center"/>
              <w:rPr>
                <w:rFonts w:ascii="Times New Roman" w:eastAsia="仿宋" w:hAnsi="Times New Roman" w:cs="Times New Roman"/>
                <w:color w:val="000000"/>
                <w:sz w:val="24"/>
                <w:szCs w:val="24"/>
              </w:rPr>
            </w:pPr>
          </w:p>
        </w:tc>
        <w:tc>
          <w:tcPr>
            <w:tcW w:w="348" w:type="pct"/>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零星林木</w:t>
            </w:r>
          </w:p>
        </w:tc>
        <w:tc>
          <w:tcPr>
            <w:tcW w:w="1430" w:type="pct"/>
            <w:vAlign w:val="center"/>
          </w:tcPr>
          <w:p w:rsidR="004325EC" w:rsidRDefault="004325EC">
            <w:pPr>
              <w:jc w:val="center"/>
              <w:rPr>
                <w:rFonts w:ascii="Times New Roman" w:eastAsia="仿宋" w:hAnsi="Times New Roman" w:cs="Times New Roman"/>
                <w:color w:val="000000"/>
                <w:sz w:val="24"/>
                <w:szCs w:val="24"/>
              </w:rPr>
            </w:pPr>
          </w:p>
        </w:tc>
        <w:tc>
          <w:tcPr>
            <w:tcW w:w="1417" w:type="pct"/>
            <w:gridSpan w:val="2"/>
            <w:vAlign w:val="center"/>
          </w:tcPr>
          <w:p w:rsidR="004325EC" w:rsidRDefault="00D14061">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一般树种依据测得树木的材积，按当地同树种同径级原木每立方米销售价格</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倍的补偿标准予以补偿。珍贵树种林木按一般树种林木补偿标准的</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倍予以补偿。</w:t>
            </w:r>
          </w:p>
        </w:tc>
        <w:tc>
          <w:tcPr>
            <w:tcW w:w="1402" w:type="pct"/>
            <w:vMerge/>
            <w:vAlign w:val="center"/>
          </w:tcPr>
          <w:p w:rsidR="004325EC" w:rsidRDefault="004325EC">
            <w:pPr>
              <w:jc w:val="center"/>
              <w:rPr>
                <w:rFonts w:ascii="Times New Roman" w:eastAsia="仿宋" w:hAnsi="Times New Roman" w:cs="Times New Roman"/>
                <w:color w:val="000000"/>
                <w:sz w:val="24"/>
                <w:szCs w:val="24"/>
              </w:rPr>
            </w:pPr>
          </w:p>
        </w:tc>
      </w:tr>
      <w:tr w:rsidR="004325EC">
        <w:trPr>
          <w:trHeight w:val="400"/>
        </w:trPr>
        <w:tc>
          <w:tcPr>
            <w:tcW w:w="5000" w:type="pct"/>
            <w:gridSpan w:val="6"/>
          </w:tcPr>
          <w:p w:rsidR="004325EC" w:rsidRDefault="00D14061">
            <w:pPr>
              <w:widowControl/>
              <w:jc w:val="left"/>
              <w:textAlignment w:val="top"/>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备注：补偿标准为最低标准，具体价格和未涉及的地上附着物以第三方评估机构评估价格为准。</w:t>
            </w:r>
          </w:p>
        </w:tc>
      </w:tr>
    </w:tbl>
    <w:p w:rsidR="004325EC" w:rsidRDefault="004325EC" w:rsidP="00730F7D">
      <w:pPr>
        <w:tabs>
          <w:tab w:val="left" w:pos="3780"/>
          <w:tab w:val="center" w:pos="4156"/>
        </w:tabs>
        <w:spacing w:line="360" w:lineRule="auto"/>
        <w:jc w:val="center"/>
      </w:pPr>
    </w:p>
    <w:sectPr w:rsidR="004325EC" w:rsidSect="00730F7D">
      <w:headerReference w:type="default" r:id="rId8"/>
      <w:footerReference w:type="default" r:id="rId9"/>
      <w:pgSz w:w="16840" w:h="11905" w:orient="landscape"/>
      <w:pgMar w:top="180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252" w:rsidRDefault="00711252">
      <w:r>
        <w:separator/>
      </w:r>
    </w:p>
  </w:endnote>
  <w:endnote w:type="continuationSeparator" w:id="0">
    <w:p w:rsidR="00711252" w:rsidRDefault="0071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EC" w:rsidRDefault="00D14061">
    <w:pPr>
      <w:pStyle w:val="a3"/>
      <w:ind w:right="360"/>
    </w:pPr>
    <w:r>
      <w:rPr>
        <w:noProof/>
      </w:rPr>
      <mc:AlternateContent>
        <mc:Choice Requires="wps">
          <w:drawing>
            <wp:anchor distT="0" distB="0" distL="114300" distR="114300" simplePos="0" relativeHeight="251659264" behindDoc="0" locked="0" layoutInCell="1" allowOverlap="1" wp14:anchorId="625F3997" wp14:editId="7A3132E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25EC" w:rsidRDefault="00D14061">
                          <w:pPr>
                            <w:pStyle w:val="a3"/>
                            <w:rPr>
                              <w:rStyle w:val="a6"/>
                            </w:rPr>
                          </w:pPr>
                          <w:r>
                            <w:rPr>
                              <w:rStyle w:val="a6"/>
                            </w:rPr>
                            <w:fldChar w:fldCharType="begin"/>
                          </w:r>
                          <w:r>
                            <w:rPr>
                              <w:rStyle w:val="a6"/>
                            </w:rPr>
                            <w:instrText xml:space="preserve">PAGE  </w:instrText>
                          </w:r>
                          <w:r>
                            <w:rPr>
                              <w:rStyle w:val="a6"/>
                            </w:rPr>
                            <w:fldChar w:fldCharType="separate"/>
                          </w:r>
                          <w:r w:rsidR="00711252">
                            <w:rPr>
                              <w:rStyle w:val="a6"/>
                              <w:noProof/>
                            </w:rPr>
                            <w:t>1</w:t>
                          </w:r>
                          <w:r>
                            <w:rPr>
                              <w:rStyle w:val="a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4325EC" w:rsidRDefault="00D14061">
                    <w:pPr>
                      <w:pStyle w:val="a3"/>
                      <w:rPr>
                        <w:rStyle w:val="a6"/>
                      </w:rPr>
                    </w:pPr>
                    <w:r>
                      <w:rPr>
                        <w:rStyle w:val="a6"/>
                      </w:rPr>
                      <w:fldChar w:fldCharType="begin"/>
                    </w:r>
                    <w:r>
                      <w:rPr>
                        <w:rStyle w:val="a6"/>
                      </w:rPr>
                      <w:instrText xml:space="preserve">PAGE  </w:instrText>
                    </w:r>
                    <w:r>
                      <w:rPr>
                        <w:rStyle w:val="a6"/>
                      </w:rPr>
                      <w:fldChar w:fldCharType="separate"/>
                    </w:r>
                    <w:r w:rsidR="00711252">
                      <w:rPr>
                        <w:rStyle w:val="a6"/>
                        <w:noProof/>
                      </w:rPr>
                      <w:t>1</w:t>
                    </w:r>
                    <w:r>
                      <w:rPr>
                        <w:rStyle w:val="a6"/>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252" w:rsidRDefault="00711252">
      <w:r>
        <w:separator/>
      </w:r>
    </w:p>
  </w:footnote>
  <w:footnote w:type="continuationSeparator" w:id="0">
    <w:p w:rsidR="00711252" w:rsidRDefault="00711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EC" w:rsidRDefault="004325EC">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EC"/>
    <w:rsid w:val="004325EC"/>
    <w:rsid w:val="00711252"/>
    <w:rsid w:val="00730F7D"/>
    <w:rsid w:val="00C10EFC"/>
    <w:rsid w:val="00D14061"/>
    <w:rsid w:val="00E51EDA"/>
    <w:rsid w:val="00F02178"/>
    <w:rsid w:val="0A231720"/>
    <w:rsid w:val="0DD046A2"/>
    <w:rsid w:val="44C3308A"/>
    <w:rsid w:val="48CC5E40"/>
    <w:rsid w:val="5436060F"/>
    <w:rsid w:val="5A1B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style>
  <w:style w:type="character" w:customStyle="1" w:styleId="font61">
    <w:name w:val="font6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仿宋_GB2312" w:eastAsia="仿宋_GB2312" w:cs="仿宋_GB2312" w:hint="eastAsia"/>
      <w:b/>
      <w:bCs/>
      <w:color w:val="000000"/>
      <w:sz w:val="24"/>
      <w:szCs w:val="24"/>
      <w:u w:val="none"/>
    </w:rPr>
  </w:style>
  <w:style w:type="character" w:customStyle="1" w:styleId="font11">
    <w:name w:val="font11"/>
    <w:basedOn w:val="a0"/>
    <w:qFormat/>
    <w:rPr>
      <w:rFonts w:ascii="仿宋_GB2312" w:eastAsia="仿宋_GB2312" w:cs="仿宋_GB2312" w:hint="eastAsia"/>
      <w:b/>
      <w:bCs/>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style>
  <w:style w:type="character" w:customStyle="1" w:styleId="font61">
    <w:name w:val="font6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仿宋_GB2312" w:eastAsia="仿宋_GB2312" w:cs="仿宋_GB2312" w:hint="eastAsia"/>
      <w:b/>
      <w:bCs/>
      <w:color w:val="000000"/>
      <w:sz w:val="24"/>
      <w:szCs w:val="24"/>
      <w:u w:val="none"/>
    </w:rPr>
  </w:style>
  <w:style w:type="character" w:customStyle="1" w:styleId="font11">
    <w:name w:val="font11"/>
    <w:basedOn w:val="a0"/>
    <w:qFormat/>
    <w:rPr>
      <w:rFonts w:ascii="仿宋_GB2312" w:eastAsia="仿宋_GB2312" w:cs="仿宋_GB2312"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GT-ZZL</cp:lastModifiedBy>
  <cp:revision>4</cp:revision>
  <dcterms:created xsi:type="dcterms:W3CDTF">2026-06-02T07:13:00Z</dcterms:created>
  <dcterms:modified xsi:type="dcterms:W3CDTF">2026-06-02T07:23:00Z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eyJoZGlkIjoiN2U5ZWZjOWNlMjM0ZjU2YzEwZGI0NTE0NTYzMTk0N2QiLCJ1c2VySWQiOiIxNjkyMTQxNzQ1In0=</vt:lpwstr>
  </property>
  <property fmtid="{D5CDD505-2E9C-101B-9397-08002B2CF9AE}" pid="4" name="ICV">
    <vt:lpwstr>E6F60C56F28F43F79CD7F9BDEE55ABF0_12</vt:lpwstr>
  </property>
</Properties>
</file>