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D2" w:rsidRDefault="00F80ED2">
      <w:pPr>
        <w:ind w:firstLineChars="0" w:firstLine="0"/>
        <w:jc w:val="center"/>
        <w:rPr>
          <w:b/>
          <w:bCs/>
          <w:sz w:val="52"/>
          <w:szCs w:val="52"/>
        </w:rPr>
      </w:pPr>
    </w:p>
    <w:p w:rsidR="00F80ED2" w:rsidRDefault="00F80ED2">
      <w:pPr>
        <w:ind w:firstLineChars="0" w:firstLine="0"/>
        <w:jc w:val="center"/>
        <w:rPr>
          <w:b/>
          <w:bCs/>
          <w:sz w:val="52"/>
          <w:szCs w:val="52"/>
        </w:rPr>
      </w:pPr>
    </w:p>
    <w:p w:rsidR="00F80ED2" w:rsidRDefault="00C8354C">
      <w:pPr>
        <w:ind w:firstLineChars="0" w:firstLine="0"/>
        <w:jc w:val="center"/>
        <w:rPr>
          <w:b/>
          <w:bCs/>
          <w:sz w:val="52"/>
          <w:szCs w:val="52"/>
        </w:rPr>
      </w:pPr>
      <w:r>
        <w:rPr>
          <w:rFonts w:hint="eastAsia"/>
          <w:b/>
          <w:bCs/>
          <w:sz w:val="52"/>
          <w:szCs w:val="52"/>
        </w:rPr>
        <w:t>赤峰市宁城县国土空间总体规划</w:t>
      </w:r>
    </w:p>
    <w:p w:rsidR="00F80ED2" w:rsidRDefault="00C8354C">
      <w:pPr>
        <w:ind w:firstLineChars="0" w:firstLine="0"/>
        <w:jc w:val="center"/>
        <w:rPr>
          <w:b/>
          <w:bCs/>
          <w:sz w:val="52"/>
          <w:szCs w:val="52"/>
        </w:rPr>
      </w:pPr>
      <w:r>
        <w:rPr>
          <w:rFonts w:hint="eastAsia"/>
          <w:b/>
          <w:bCs/>
          <w:sz w:val="52"/>
          <w:szCs w:val="52"/>
        </w:rPr>
        <w:t>（</w:t>
      </w:r>
      <w:r>
        <w:rPr>
          <w:rFonts w:ascii="Times New Roman" w:hAnsi="Times New Roman" w:cs="Times New Roman"/>
          <w:b/>
          <w:bCs/>
          <w:sz w:val="52"/>
          <w:szCs w:val="52"/>
        </w:rPr>
        <w:t>2021-2035</w:t>
      </w:r>
      <w:r>
        <w:rPr>
          <w:rFonts w:hint="eastAsia"/>
          <w:b/>
          <w:bCs/>
          <w:sz w:val="52"/>
          <w:szCs w:val="52"/>
        </w:rPr>
        <w:t>年）</w:t>
      </w:r>
    </w:p>
    <w:p w:rsidR="00F80ED2" w:rsidRDefault="00C8354C">
      <w:pPr>
        <w:ind w:firstLineChars="0" w:firstLine="0"/>
        <w:jc w:val="center"/>
        <w:rPr>
          <w:b/>
          <w:bCs/>
          <w:sz w:val="52"/>
          <w:szCs w:val="52"/>
        </w:rPr>
      </w:pPr>
      <w:r>
        <w:rPr>
          <w:rFonts w:hint="eastAsia"/>
          <w:b/>
          <w:bCs/>
          <w:sz w:val="52"/>
          <w:szCs w:val="52"/>
        </w:rPr>
        <w:t>动态维护方案</w:t>
      </w:r>
    </w:p>
    <w:p w:rsidR="00F80ED2" w:rsidRDefault="00F80ED2">
      <w:pPr>
        <w:ind w:firstLineChars="0" w:firstLine="0"/>
        <w:jc w:val="center"/>
        <w:rPr>
          <w:b/>
          <w:bCs/>
          <w:sz w:val="52"/>
          <w:szCs w:val="52"/>
        </w:rPr>
      </w:pPr>
    </w:p>
    <w:p w:rsidR="00F80ED2" w:rsidRDefault="00F80ED2">
      <w:pPr>
        <w:ind w:firstLineChars="0" w:firstLine="0"/>
        <w:jc w:val="center"/>
        <w:rPr>
          <w:b/>
          <w:bCs/>
          <w:sz w:val="52"/>
          <w:szCs w:val="52"/>
        </w:rPr>
      </w:pPr>
    </w:p>
    <w:p w:rsidR="00F80ED2" w:rsidRDefault="00F80ED2">
      <w:pPr>
        <w:ind w:firstLineChars="0" w:firstLine="0"/>
        <w:jc w:val="center"/>
        <w:rPr>
          <w:b/>
          <w:bCs/>
          <w:sz w:val="52"/>
          <w:szCs w:val="52"/>
        </w:rPr>
      </w:pPr>
    </w:p>
    <w:p w:rsidR="00F80ED2" w:rsidRDefault="00F80ED2">
      <w:pPr>
        <w:ind w:firstLineChars="0" w:firstLine="0"/>
        <w:jc w:val="center"/>
        <w:rPr>
          <w:b/>
          <w:bCs/>
          <w:sz w:val="52"/>
          <w:szCs w:val="52"/>
        </w:rPr>
      </w:pPr>
    </w:p>
    <w:p w:rsidR="00F80ED2" w:rsidRDefault="00F80ED2">
      <w:pPr>
        <w:ind w:firstLineChars="0" w:firstLine="0"/>
        <w:jc w:val="center"/>
        <w:rPr>
          <w:b/>
          <w:bCs/>
          <w:sz w:val="52"/>
          <w:szCs w:val="52"/>
        </w:rPr>
      </w:pPr>
    </w:p>
    <w:p w:rsidR="00F80ED2" w:rsidRDefault="00F80ED2">
      <w:pPr>
        <w:ind w:firstLineChars="0" w:firstLine="0"/>
        <w:jc w:val="center"/>
        <w:rPr>
          <w:b/>
          <w:bCs/>
          <w:sz w:val="52"/>
          <w:szCs w:val="52"/>
        </w:rPr>
      </w:pPr>
    </w:p>
    <w:p w:rsidR="00F80ED2" w:rsidRDefault="00F80ED2">
      <w:pPr>
        <w:ind w:firstLineChars="0" w:firstLine="0"/>
        <w:jc w:val="center"/>
        <w:rPr>
          <w:b/>
          <w:bCs/>
          <w:sz w:val="52"/>
          <w:szCs w:val="52"/>
        </w:rPr>
      </w:pPr>
    </w:p>
    <w:p w:rsidR="00F80ED2" w:rsidRDefault="00C8354C">
      <w:pPr>
        <w:widowControl/>
        <w:ind w:firstLineChars="0" w:firstLine="0"/>
        <w:jc w:val="center"/>
      </w:pPr>
      <w:r>
        <w:rPr>
          <w:rFonts w:hint="eastAsia"/>
          <w:b/>
          <w:bCs/>
          <w:sz w:val="28"/>
          <w:szCs w:val="28"/>
        </w:rPr>
        <w:t>宁城县人民政府</w:t>
      </w:r>
    </w:p>
    <w:p w:rsidR="00F80ED2" w:rsidRDefault="00C8354C">
      <w:pPr>
        <w:widowControl/>
        <w:ind w:firstLineChars="0" w:firstLine="0"/>
        <w:jc w:val="center"/>
        <w:rPr>
          <w:b/>
          <w:bCs/>
          <w:sz w:val="28"/>
          <w:szCs w:val="28"/>
        </w:rPr>
      </w:pPr>
      <w:r>
        <w:rPr>
          <w:rFonts w:ascii="Times New Roman" w:hAnsi="Times New Roman" w:cs="Times New Roman"/>
          <w:b/>
          <w:bCs/>
          <w:sz w:val="28"/>
          <w:szCs w:val="28"/>
        </w:rPr>
        <w:t>2026</w:t>
      </w:r>
      <w:r>
        <w:rPr>
          <w:rFonts w:hint="eastAsia"/>
          <w:b/>
          <w:bCs/>
          <w:sz w:val="28"/>
          <w:szCs w:val="28"/>
        </w:rPr>
        <w:t>年</w:t>
      </w:r>
      <w:r>
        <w:rPr>
          <w:rFonts w:ascii="Times New Roman" w:hAnsi="Times New Roman" w:cs="Times New Roman"/>
          <w:b/>
          <w:bCs/>
          <w:sz w:val="28"/>
          <w:szCs w:val="28"/>
        </w:rPr>
        <w:t>3</w:t>
      </w:r>
      <w:r>
        <w:rPr>
          <w:rFonts w:hint="eastAsia"/>
          <w:b/>
          <w:bCs/>
          <w:sz w:val="28"/>
          <w:szCs w:val="28"/>
        </w:rPr>
        <w:t>月</w:t>
      </w:r>
    </w:p>
    <w:p w:rsidR="00F80ED2" w:rsidRDefault="00F80ED2">
      <w:pPr>
        <w:ind w:firstLineChars="0" w:firstLine="0"/>
        <w:jc w:val="center"/>
        <w:rPr>
          <w:b/>
          <w:bCs/>
          <w:sz w:val="52"/>
          <w:szCs w:val="52"/>
        </w:rPr>
      </w:pPr>
    </w:p>
    <w:sdt>
      <w:sdtPr>
        <w:rPr>
          <w:rFonts w:ascii="宋体" w:eastAsia="宋体" w:hAnsi="宋体"/>
          <w:b/>
          <w:bCs/>
          <w:sz w:val="44"/>
          <w:szCs w:val="44"/>
        </w:rPr>
        <w:id w:val="147457812"/>
        <w:docPartObj>
          <w:docPartGallery w:val="Table of Contents"/>
          <w:docPartUnique/>
        </w:docPartObj>
      </w:sdtPr>
      <w:sdtEndPr>
        <w:rPr>
          <w:rFonts w:asciiTheme="minorHAnsi" w:eastAsiaTheme="minorEastAsia" w:hAnsiTheme="minorHAnsi" w:hint="eastAsia"/>
          <w:sz w:val="30"/>
          <w:szCs w:val="52"/>
        </w:rPr>
      </w:sdtEndPr>
      <w:sdtContent>
        <w:p w:rsidR="00F80ED2" w:rsidRDefault="00C8354C">
          <w:pPr>
            <w:ind w:firstLineChars="0" w:firstLine="0"/>
            <w:jc w:val="center"/>
            <w:rPr>
              <w:b/>
              <w:bCs/>
              <w:sz w:val="44"/>
              <w:szCs w:val="44"/>
            </w:rPr>
          </w:pPr>
          <w:r>
            <w:rPr>
              <w:rFonts w:ascii="宋体" w:eastAsia="宋体" w:hAnsi="宋体"/>
              <w:b/>
              <w:bCs/>
              <w:sz w:val="44"/>
              <w:szCs w:val="44"/>
            </w:rPr>
            <w:t>目录</w:t>
          </w:r>
        </w:p>
        <w:p w:rsidR="00F80ED2" w:rsidRDefault="00F80ED2">
          <w:pPr>
            <w:pStyle w:val="10"/>
            <w:tabs>
              <w:tab w:val="right" w:leader="dot" w:pos="8306"/>
            </w:tabs>
          </w:pPr>
          <w:r w:rsidRPr="00F80ED2">
            <w:rPr>
              <w:rFonts w:cs="Times New Roman" w:hint="eastAsia"/>
              <w:b/>
              <w:sz w:val="52"/>
            </w:rPr>
            <w:fldChar w:fldCharType="begin"/>
          </w:r>
          <w:r w:rsidR="00C8354C">
            <w:rPr>
              <w:rFonts w:cs="Times New Roman" w:hint="eastAsia"/>
              <w:b/>
              <w:sz w:val="52"/>
            </w:rPr>
            <w:instrText xml:space="preserve">TOC \o "1-2" \h \u </w:instrText>
          </w:r>
          <w:r w:rsidRPr="00F80ED2">
            <w:rPr>
              <w:rFonts w:cs="Times New Roman" w:hint="eastAsia"/>
              <w:b/>
              <w:sz w:val="52"/>
            </w:rPr>
            <w:fldChar w:fldCharType="separate"/>
          </w:r>
          <w:hyperlink w:anchor="_Toc6438" w:history="1">
            <w:r w:rsidR="00C8354C">
              <w:rPr>
                <w:rFonts w:hint="eastAsia"/>
                <w:bCs/>
                <w:szCs w:val="36"/>
              </w:rPr>
              <w:t>前言</w:t>
            </w:r>
            <w:r w:rsidR="00C8354C">
              <w:tab/>
            </w:r>
            <w:r>
              <w:fldChar w:fldCharType="begin"/>
            </w:r>
            <w:r w:rsidR="00C8354C">
              <w:instrText xml:space="preserve"> PAGEREF _Toc6438 \h </w:instrText>
            </w:r>
            <w:r>
              <w:fldChar w:fldCharType="separate"/>
            </w:r>
            <w:r w:rsidR="00C8354C">
              <w:rPr>
                <w:noProof/>
              </w:rPr>
              <w:t>1</w:t>
            </w:r>
            <w:r>
              <w:fldChar w:fldCharType="end"/>
            </w:r>
          </w:hyperlink>
        </w:p>
        <w:p w:rsidR="00F80ED2" w:rsidRDefault="00F80ED2" w:rsidP="00C8354C">
          <w:pPr>
            <w:pStyle w:val="10"/>
            <w:tabs>
              <w:tab w:val="right" w:leader="dot" w:pos="8306"/>
            </w:tabs>
            <w:ind w:firstLine="600"/>
          </w:pPr>
          <w:hyperlink w:anchor="_Toc8891" w:history="1">
            <w:r w:rsidR="00C8354C">
              <w:rPr>
                <w:rFonts w:hint="eastAsia"/>
              </w:rPr>
              <w:t>第一章</w:t>
            </w:r>
            <w:r w:rsidR="00C8354C">
              <w:rPr>
                <w:rFonts w:hint="eastAsia"/>
              </w:rPr>
              <w:t xml:space="preserve"> </w:t>
            </w:r>
            <w:r w:rsidR="00C8354C">
              <w:rPr>
                <w:rFonts w:hint="eastAsia"/>
              </w:rPr>
              <w:t>目的意义</w:t>
            </w:r>
            <w:r w:rsidR="00C8354C">
              <w:tab/>
            </w:r>
            <w:r>
              <w:fldChar w:fldCharType="begin"/>
            </w:r>
            <w:r w:rsidR="00C8354C">
              <w:instrText xml:space="preserve"> PAGEREF _Toc8891 \h </w:instrText>
            </w:r>
            <w:r>
              <w:fldChar w:fldCharType="separate"/>
            </w:r>
            <w:r w:rsidR="00C8354C">
              <w:rPr>
                <w:noProof/>
              </w:rPr>
              <w:t>2</w:t>
            </w:r>
            <w:r>
              <w:fldChar w:fldCharType="end"/>
            </w:r>
          </w:hyperlink>
        </w:p>
        <w:p w:rsidR="00F80ED2" w:rsidRDefault="00F80ED2" w:rsidP="00C8354C">
          <w:pPr>
            <w:pStyle w:val="10"/>
            <w:tabs>
              <w:tab w:val="right" w:leader="dot" w:pos="8306"/>
            </w:tabs>
            <w:ind w:firstLine="600"/>
          </w:pPr>
          <w:hyperlink w:anchor="_Toc466" w:history="1">
            <w:r w:rsidR="00C8354C">
              <w:rPr>
                <w:rFonts w:hint="eastAsia"/>
              </w:rPr>
              <w:t>第二章</w:t>
            </w:r>
            <w:r w:rsidR="00C8354C">
              <w:rPr>
                <w:rFonts w:hint="eastAsia"/>
              </w:rPr>
              <w:t xml:space="preserve"> </w:t>
            </w:r>
            <w:r w:rsidR="00C8354C">
              <w:rPr>
                <w:rFonts w:hint="eastAsia"/>
              </w:rPr>
              <w:t>主要依据</w:t>
            </w:r>
            <w:r w:rsidR="00C8354C">
              <w:tab/>
            </w:r>
            <w:r>
              <w:fldChar w:fldCharType="begin"/>
            </w:r>
            <w:r w:rsidR="00C8354C">
              <w:instrText xml:space="preserve"> PAGEREF _Toc466 \h </w:instrText>
            </w:r>
            <w:r>
              <w:fldChar w:fldCharType="separate"/>
            </w:r>
            <w:r w:rsidR="00C8354C">
              <w:rPr>
                <w:noProof/>
              </w:rPr>
              <w:t>2</w:t>
            </w:r>
            <w:r>
              <w:fldChar w:fldCharType="end"/>
            </w:r>
          </w:hyperlink>
        </w:p>
        <w:p w:rsidR="00F80ED2" w:rsidRDefault="00F80ED2" w:rsidP="00C8354C">
          <w:pPr>
            <w:pStyle w:val="10"/>
            <w:tabs>
              <w:tab w:val="right" w:leader="dot" w:pos="8306"/>
            </w:tabs>
            <w:ind w:firstLine="600"/>
          </w:pPr>
          <w:hyperlink w:anchor="_Toc1336" w:history="1">
            <w:r w:rsidR="00C8354C">
              <w:rPr>
                <w:rFonts w:hint="eastAsia"/>
              </w:rPr>
              <w:t>第三章</w:t>
            </w:r>
            <w:r w:rsidR="00C8354C">
              <w:rPr>
                <w:rFonts w:hint="eastAsia"/>
              </w:rPr>
              <w:t xml:space="preserve"> </w:t>
            </w:r>
            <w:r w:rsidR="00C8354C">
              <w:rPr>
                <w:rFonts w:hint="eastAsia"/>
              </w:rPr>
              <w:t>维护原则</w:t>
            </w:r>
            <w:r w:rsidR="00C8354C">
              <w:tab/>
            </w:r>
            <w:r>
              <w:fldChar w:fldCharType="begin"/>
            </w:r>
            <w:r w:rsidR="00C8354C">
              <w:instrText xml:space="preserve"> PAGEREF _Toc1336 \h </w:instrText>
            </w:r>
            <w:r>
              <w:fldChar w:fldCharType="separate"/>
            </w:r>
            <w:r w:rsidR="00C8354C">
              <w:rPr>
                <w:noProof/>
              </w:rPr>
              <w:t>4</w:t>
            </w:r>
            <w:r>
              <w:fldChar w:fldCharType="end"/>
            </w:r>
          </w:hyperlink>
        </w:p>
        <w:p w:rsidR="00F80ED2" w:rsidRDefault="00F80ED2" w:rsidP="00C8354C">
          <w:pPr>
            <w:pStyle w:val="20"/>
            <w:tabs>
              <w:tab w:val="right" w:leader="dot" w:pos="8306"/>
            </w:tabs>
            <w:ind w:left="600" w:firstLine="600"/>
          </w:pPr>
          <w:hyperlink w:anchor="_Toc7286" w:history="1">
            <w:r w:rsidR="00C8354C">
              <w:rPr>
                <w:rFonts w:hint="eastAsia"/>
              </w:rPr>
              <w:t>（一）</w:t>
            </w:r>
            <w:r w:rsidR="00C8354C">
              <w:rPr>
                <w:rFonts w:hint="eastAsia"/>
              </w:rPr>
              <w:t xml:space="preserve"> </w:t>
            </w:r>
            <w:r w:rsidR="00C8354C">
              <w:rPr>
                <w:rFonts w:hint="eastAsia"/>
              </w:rPr>
              <w:t>耕地和永久基本农田保护红线动态维护原则</w:t>
            </w:r>
            <w:r w:rsidR="00C8354C">
              <w:tab/>
            </w:r>
            <w:r>
              <w:fldChar w:fldCharType="begin"/>
            </w:r>
            <w:r w:rsidR="00C8354C">
              <w:instrText xml:space="preserve"> PAGEREF _Toc7286 \h </w:instrText>
            </w:r>
            <w:r>
              <w:fldChar w:fldCharType="separate"/>
            </w:r>
            <w:r w:rsidR="00C8354C">
              <w:rPr>
                <w:noProof/>
              </w:rPr>
              <w:t>4</w:t>
            </w:r>
            <w:r>
              <w:fldChar w:fldCharType="end"/>
            </w:r>
          </w:hyperlink>
        </w:p>
        <w:p w:rsidR="00F80ED2" w:rsidRDefault="00F80ED2" w:rsidP="00C8354C">
          <w:pPr>
            <w:pStyle w:val="20"/>
            <w:tabs>
              <w:tab w:val="right" w:leader="dot" w:pos="8306"/>
            </w:tabs>
            <w:ind w:left="600" w:firstLine="600"/>
          </w:pPr>
          <w:hyperlink w:anchor="_Toc10263" w:history="1">
            <w:r w:rsidR="00C8354C">
              <w:rPr>
                <w:rFonts w:hint="eastAsia"/>
              </w:rPr>
              <w:t>（二）</w:t>
            </w:r>
            <w:r w:rsidR="00C8354C">
              <w:rPr>
                <w:rFonts w:hint="eastAsia"/>
              </w:rPr>
              <w:t xml:space="preserve"> </w:t>
            </w:r>
            <w:r w:rsidR="00C8354C">
              <w:rPr>
                <w:rFonts w:hint="eastAsia"/>
              </w:rPr>
              <w:t>生态保护红线动态维护原则</w:t>
            </w:r>
            <w:r w:rsidR="00C8354C">
              <w:tab/>
            </w:r>
            <w:r>
              <w:fldChar w:fldCharType="begin"/>
            </w:r>
            <w:r w:rsidR="00C8354C">
              <w:instrText xml:space="preserve"> PAGEREF _Toc10263 \h </w:instrText>
            </w:r>
            <w:r>
              <w:fldChar w:fldCharType="separate"/>
            </w:r>
            <w:r w:rsidR="00C8354C">
              <w:rPr>
                <w:noProof/>
              </w:rPr>
              <w:t>4</w:t>
            </w:r>
            <w:r>
              <w:fldChar w:fldCharType="end"/>
            </w:r>
          </w:hyperlink>
        </w:p>
        <w:p w:rsidR="00F80ED2" w:rsidRDefault="00F80ED2" w:rsidP="00C8354C">
          <w:pPr>
            <w:pStyle w:val="20"/>
            <w:tabs>
              <w:tab w:val="right" w:leader="dot" w:pos="8306"/>
            </w:tabs>
            <w:ind w:left="600" w:firstLine="600"/>
          </w:pPr>
          <w:hyperlink w:anchor="_Toc12309" w:history="1">
            <w:r w:rsidR="00C8354C">
              <w:rPr>
                <w:rFonts w:hint="eastAsia"/>
              </w:rPr>
              <w:t>（三）</w:t>
            </w:r>
            <w:r w:rsidR="00C8354C">
              <w:rPr>
                <w:rFonts w:hint="eastAsia"/>
              </w:rPr>
              <w:t xml:space="preserve"> </w:t>
            </w:r>
            <w:r w:rsidR="00C8354C">
              <w:rPr>
                <w:rFonts w:hint="eastAsia"/>
              </w:rPr>
              <w:t>城镇开发边界动态维护原则</w:t>
            </w:r>
            <w:r w:rsidR="00C8354C">
              <w:tab/>
            </w:r>
            <w:r>
              <w:fldChar w:fldCharType="begin"/>
            </w:r>
            <w:r w:rsidR="00C8354C">
              <w:instrText xml:space="preserve"> PAGEREF _Toc12309 \h </w:instrText>
            </w:r>
            <w:r>
              <w:fldChar w:fldCharType="separate"/>
            </w:r>
            <w:r w:rsidR="00C8354C">
              <w:rPr>
                <w:noProof/>
              </w:rPr>
              <w:t>5</w:t>
            </w:r>
            <w:r>
              <w:fldChar w:fldCharType="end"/>
            </w:r>
          </w:hyperlink>
        </w:p>
        <w:p w:rsidR="00F80ED2" w:rsidRDefault="00F80ED2" w:rsidP="00C8354C">
          <w:pPr>
            <w:pStyle w:val="20"/>
            <w:tabs>
              <w:tab w:val="right" w:leader="dot" w:pos="8306"/>
            </w:tabs>
            <w:ind w:left="600" w:firstLine="600"/>
          </w:pPr>
          <w:hyperlink w:anchor="_Toc31405" w:history="1">
            <w:r w:rsidR="00C8354C">
              <w:rPr>
                <w:rFonts w:hint="eastAsia"/>
              </w:rPr>
              <w:t>（四）</w:t>
            </w:r>
            <w:r w:rsidR="00C8354C">
              <w:rPr>
                <w:rFonts w:hint="eastAsia"/>
              </w:rPr>
              <w:t xml:space="preserve"> </w:t>
            </w:r>
            <w:r w:rsidR="00C8354C">
              <w:rPr>
                <w:rFonts w:hint="eastAsia"/>
              </w:rPr>
              <w:t>城市重要控制线具体用地布局动态维护原则</w:t>
            </w:r>
            <w:r w:rsidR="00C8354C">
              <w:tab/>
            </w:r>
            <w:r>
              <w:fldChar w:fldCharType="begin"/>
            </w:r>
            <w:r w:rsidR="00C8354C">
              <w:instrText xml:space="preserve"> PAGEREF _Toc31405 \h </w:instrText>
            </w:r>
            <w:r>
              <w:fldChar w:fldCharType="separate"/>
            </w:r>
            <w:r w:rsidR="00C8354C">
              <w:rPr>
                <w:noProof/>
              </w:rPr>
              <w:t>5</w:t>
            </w:r>
            <w:r>
              <w:fldChar w:fldCharType="end"/>
            </w:r>
          </w:hyperlink>
        </w:p>
        <w:p w:rsidR="00F80ED2" w:rsidRDefault="00F80ED2" w:rsidP="00C8354C">
          <w:pPr>
            <w:pStyle w:val="20"/>
            <w:tabs>
              <w:tab w:val="right" w:leader="dot" w:pos="8306"/>
            </w:tabs>
            <w:ind w:left="600" w:firstLine="600"/>
          </w:pPr>
          <w:hyperlink w:anchor="_Toc2461" w:history="1">
            <w:r w:rsidR="00C8354C">
              <w:rPr>
                <w:rFonts w:hint="eastAsia"/>
              </w:rPr>
              <w:t>（五）</w:t>
            </w:r>
            <w:r w:rsidR="00C8354C">
              <w:rPr>
                <w:rFonts w:hint="eastAsia"/>
              </w:rPr>
              <w:t xml:space="preserve"> </w:t>
            </w:r>
            <w:r w:rsidR="00C8354C">
              <w:rPr>
                <w:rFonts w:hint="eastAsia"/>
              </w:rPr>
              <w:t>中心城区用地规划布局动态维护原则</w:t>
            </w:r>
            <w:r w:rsidR="00C8354C">
              <w:tab/>
            </w:r>
            <w:r>
              <w:fldChar w:fldCharType="begin"/>
            </w:r>
            <w:r w:rsidR="00C8354C">
              <w:instrText xml:space="preserve"> PAGEREF _Toc2461 \h </w:instrText>
            </w:r>
            <w:r>
              <w:fldChar w:fldCharType="separate"/>
            </w:r>
            <w:r w:rsidR="00C8354C">
              <w:rPr>
                <w:noProof/>
              </w:rPr>
              <w:t>6</w:t>
            </w:r>
            <w:r>
              <w:fldChar w:fldCharType="end"/>
            </w:r>
          </w:hyperlink>
        </w:p>
        <w:p w:rsidR="00F80ED2" w:rsidRDefault="00F80ED2" w:rsidP="00C8354C">
          <w:pPr>
            <w:pStyle w:val="20"/>
            <w:tabs>
              <w:tab w:val="right" w:leader="dot" w:pos="8306"/>
            </w:tabs>
            <w:ind w:left="600" w:firstLine="600"/>
          </w:pPr>
          <w:hyperlink w:anchor="_Toc3413" w:history="1">
            <w:r w:rsidR="00C8354C">
              <w:rPr>
                <w:rFonts w:hint="eastAsia"/>
              </w:rPr>
              <w:t>（六）</w:t>
            </w:r>
            <w:r w:rsidR="00C8354C">
              <w:rPr>
                <w:rFonts w:hint="eastAsia"/>
              </w:rPr>
              <w:t xml:space="preserve"> </w:t>
            </w:r>
            <w:r w:rsidR="00C8354C">
              <w:rPr>
                <w:rFonts w:hint="eastAsia"/>
              </w:rPr>
              <w:t>规划用途分区动态维护原则</w:t>
            </w:r>
            <w:r w:rsidR="00C8354C">
              <w:tab/>
            </w:r>
            <w:r>
              <w:fldChar w:fldCharType="begin"/>
            </w:r>
            <w:r w:rsidR="00C8354C">
              <w:instrText xml:space="preserve"> PAGEREF _Toc3413 \h </w:instrText>
            </w:r>
            <w:r>
              <w:fldChar w:fldCharType="separate"/>
            </w:r>
            <w:r w:rsidR="00C8354C">
              <w:rPr>
                <w:noProof/>
              </w:rPr>
              <w:t>8</w:t>
            </w:r>
            <w:r>
              <w:fldChar w:fldCharType="end"/>
            </w:r>
          </w:hyperlink>
        </w:p>
        <w:p w:rsidR="00F80ED2" w:rsidRDefault="00F80ED2" w:rsidP="00C8354C">
          <w:pPr>
            <w:pStyle w:val="20"/>
            <w:tabs>
              <w:tab w:val="right" w:leader="dot" w:pos="8306"/>
            </w:tabs>
            <w:ind w:left="600" w:firstLine="600"/>
          </w:pPr>
          <w:hyperlink w:anchor="_Toc14977" w:history="1">
            <w:r w:rsidR="00C8354C">
              <w:rPr>
                <w:rFonts w:hint="eastAsia"/>
              </w:rPr>
              <w:t>（七）</w:t>
            </w:r>
            <w:r w:rsidR="00C8354C">
              <w:rPr>
                <w:rFonts w:hint="eastAsia"/>
              </w:rPr>
              <w:t xml:space="preserve"> </w:t>
            </w:r>
            <w:r w:rsidR="00C8354C">
              <w:rPr>
                <w:rFonts w:hint="eastAsia"/>
              </w:rPr>
              <w:t>详细规划编制单元划定动态维护原则</w:t>
            </w:r>
            <w:r w:rsidR="00C8354C">
              <w:tab/>
            </w:r>
            <w:r>
              <w:fldChar w:fldCharType="begin"/>
            </w:r>
            <w:r w:rsidR="00C8354C">
              <w:instrText xml:space="preserve"> PAGEREF _Toc14977 \h </w:instrText>
            </w:r>
            <w:r>
              <w:fldChar w:fldCharType="separate"/>
            </w:r>
            <w:r w:rsidR="00C8354C">
              <w:rPr>
                <w:noProof/>
              </w:rPr>
              <w:t>8</w:t>
            </w:r>
            <w:r>
              <w:fldChar w:fldCharType="end"/>
            </w:r>
          </w:hyperlink>
        </w:p>
        <w:p w:rsidR="00F80ED2" w:rsidRDefault="00F80ED2" w:rsidP="00C8354C">
          <w:pPr>
            <w:pStyle w:val="20"/>
            <w:tabs>
              <w:tab w:val="right" w:leader="dot" w:pos="8306"/>
            </w:tabs>
            <w:ind w:left="600" w:firstLine="600"/>
          </w:pPr>
          <w:hyperlink w:anchor="_Toc27700" w:history="1">
            <w:r w:rsidR="00C8354C">
              <w:rPr>
                <w:rFonts w:hint="eastAsia"/>
              </w:rPr>
              <w:t>（八）</w:t>
            </w:r>
            <w:r w:rsidR="00C8354C">
              <w:rPr>
                <w:rFonts w:hint="eastAsia"/>
              </w:rPr>
              <w:t xml:space="preserve"> </w:t>
            </w:r>
            <w:r w:rsidR="00C8354C">
              <w:rPr>
                <w:rFonts w:hint="eastAsia"/>
              </w:rPr>
              <w:t>重点建设项目清单动态维护原则</w:t>
            </w:r>
            <w:r w:rsidR="00C8354C">
              <w:tab/>
            </w:r>
            <w:r>
              <w:fldChar w:fldCharType="begin"/>
            </w:r>
            <w:r w:rsidR="00C8354C">
              <w:instrText xml:space="preserve"> PAGEREF _Toc27700 \h </w:instrText>
            </w:r>
            <w:r>
              <w:fldChar w:fldCharType="separate"/>
            </w:r>
            <w:r w:rsidR="00C8354C">
              <w:rPr>
                <w:noProof/>
              </w:rPr>
              <w:t>9</w:t>
            </w:r>
            <w:r>
              <w:fldChar w:fldCharType="end"/>
            </w:r>
          </w:hyperlink>
        </w:p>
        <w:p w:rsidR="00F80ED2" w:rsidRDefault="00F80ED2" w:rsidP="00C8354C">
          <w:pPr>
            <w:pStyle w:val="20"/>
            <w:tabs>
              <w:tab w:val="right" w:leader="dot" w:pos="8306"/>
            </w:tabs>
            <w:ind w:left="600" w:firstLine="600"/>
          </w:pPr>
          <w:hyperlink w:anchor="_Toc17637" w:history="1">
            <w:r w:rsidR="00C8354C">
              <w:rPr>
                <w:rFonts w:hint="eastAsia"/>
              </w:rPr>
              <w:t>（九）</w:t>
            </w:r>
            <w:r w:rsidR="00C8354C">
              <w:rPr>
                <w:rFonts w:hint="eastAsia"/>
              </w:rPr>
              <w:t xml:space="preserve"> </w:t>
            </w:r>
            <w:r w:rsidR="00C8354C">
              <w:rPr>
                <w:rFonts w:hint="eastAsia"/>
              </w:rPr>
              <w:t>其他动态维护原则</w:t>
            </w:r>
            <w:r w:rsidR="00C8354C">
              <w:tab/>
            </w:r>
            <w:r>
              <w:fldChar w:fldCharType="begin"/>
            </w:r>
            <w:r w:rsidR="00C8354C">
              <w:instrText xml:space="preserve"> PAGEREF _Toc17637 \h </w:instrText>
            </w:r>
            <w:r>
              <w:fldChar w:fldCharType="separate"/>
            </w:r>
            <w:r w:rsidR="00C8354C">
              <w:rPr>
                <w:noProof/>
              </w:rPr>
              <w:t>10</w:t>
            </w:r>
            <w:r>
              <w:fldChar w:fldCharType="end"/>
            </w:r>
          </w:hyperlink>
        </w:p>
        <w:p w:rsidR="00F80ED2" w:rsidRDefault="00F80ED2" w:rsidP="00C8354C">
          <w:pPr>
            <w:pStyle w:val="10"/>
            <w:tabs>
              <w:tab w:val="right" w:leader="dot" w:pos="8306"/>
            </w:tabs>
            <w:ind w:firstLine="600"/>
          </w:pPr>
          <w:hyperlink w:anchor="_Toc25894" w:history="1">
            <w:r w:rsidR="00C8354C">
              <w:rPr>
                <w:rFonts w:hint="eastAsia"/>
              </w:rPr>
              <w:t>第四章</w:t>
            </w:r>
            <w:r w:rsidR="00C8354C">
              <w:rPr>
                <w:rFonts w:hint="eastAsia"/>
              </w:rPr>
              <w:t xml:space="preserve"> </w:t>
            </w:r>
            <w:r w:rsidR="00C8354C">
              <w:rPr>
                <w:rFonts w:hint="eastAsia"/>
              </w:rPr>
              <w:t>规划实施评估结论</w:t>
            </w:r>
            <w:r w:rsidR="00C8354C">
              <w:tab/>
            </w:r>
            <w:r>
              <w:fldChar w:fldCharType="begin"/>
            </w:r>
            <w:r w:rsidR="00C8354C">
              <w:instrText xml:space="preserve"> PAGEREF _Toc25894 \h </w:instrText>
            </w:r>
            <w:r>
              <w:fldChar w:fldCharType="separate"/>
            </w:r>
            <w:r w:rsidR="00C8354C">
              <w:rPr>
                <w:noProof/>
              </w:rPr>
              <w:t>11</w:t>
            </w:r>
            <w:r>
              <w:fldChar w:fldCharType="end"/>
            </w:r>
          </w:hyperlink>
        </w:p>
        <w:p w:rsidR="00F80ED2" w:rsidRDefault="00F80ED2" w:rsidP="00C8354C">
          <w:pPr>
            <w:pStyle w:val="20"/>
            <w:tabs>
              <w:tab w:val="right" w:leader="dot" w:pos="8306"/>
            </w:tabs>
            <w:ind w:left="600" w:firstLine="600"/>
          </w:pPr>
          <w:hyperlink w:anchor="_Toc27222" w:history="1">
            <w:r w:rsidR="00C8354C">
              <w:rPr>
                <w:rFonts w:hint="eastAsia"/>
              </w:rPr>
              <w:t>（一）</w:t>
            </w:r>
            <w:r w:rsidR="00C8354C">
              <w:rPr>
                <w:rFonts w:hint="eastAsia"/>
              </w:rPr>
              <w:t xml:space="preserve"> </w:t>
            </w:r>
            <w:r w:rsidR="00C8354C">
              <w:rPr>
                <w:rFonts w:hint="eastAsia"/>
              </w:rPr>
              <w:t>阶段性成效</w:t>
            </w:r>
            <w:r w:rsidR="00C8354C">
              <w:tab/>
            </w:r>
            <w:r>
              <w:fldChar w:fldCharType="begin"/>
            </w:r>
            <w:r w:rsidR="00C8354C">
              <w:instrText xml:space="preserve"> PAGEREF _Toc27222 \h </w:instrText>
            </w:r>
            <w:r>
              <w:fldChar w:fldCharType="separate"/>
            </w:r>
            <w:r w:rsidR="00C8354C">
              <w:rPr>
                <w:noProof/>
              </w:rPr>
              <w:t>11</w:t>
            </w:r>
            <w:r>
              <w:fldChar w:fldCharType="end"/>
            </w:r>
          </w:hyperlink>
        </w:p>
        <w:p w:rsidR="00F80ED2" w:rsidRDefault="00F80ED2" w:rsidP="00C8354C">
          <w:pPr>
            <w:pStyle w:val="20"/>
            <w:tabs>
              <w:tab w:val="right" w:leader="dot" w:pos="8306"/>
            </w:tabs>
            <w:ind w:left="600" w:firstLine="600"/>
          </w:pPr>
          <w:hyperlink w:anchor="_Toc14879" w:history="1">
            <w:r w:rsidR="00C8354C">
              <w:rPr>
                <w:rFonts w:hint="eastAsia"/>
              </w:rPr>
              <w:t>（二）</w:t>
            </w:r>
            <w:r w:rsidR="00C8354C">
              <w:rPr>
                <w:rFonts w:hint="eastAsia"/>
              </w:rPr>
              <w:t xml:space="preserve"> </w:t>
            </w:r>
            <w:r w:rsidR="00C8354C">
              <w:rPr>
                <w:rFonts w:hint="eastAsia"/>
              </w:rPr>
              <w:t>问题和风险</w:t>
            </w:r>
            <w:r w:rsidR="00C8354C">
              <w:tab/>
            </w:r>
            <w:r>
              <w:fldChar w:fldCharType="begin"/>
            </w:r>
            <w:r w:rsidR="00C8354C">
              <w:instrText xml:space="preserve"> PAGEREF _Toc14879 \h </w:instrText>
            </w:r>
            <w:r>
              <w:fldChar w:fldCharType="separate"/>
            </w:r>
            <w:r w:rsidR="00C8354C">
              <w:rPr>
                <w:noProof/>
              </w:rPr>
              <w:t>13</w:t>
            </w:r>
            <w:r>
              <w:fldChar w:fldCharType="end"/>
            </w:r>
          </w:hyperlink>
        </w:p>
        <w:p w:rsidR="00F80ED2" w:rsidRDefault="00F80ED2" w:rsidP="00C8354C">
          <w:pPr>
            <w:pStyle w:val="20"/>
            <w:tabs>
              <w:tab w:val="right" w:leader="dot" w:pos="8306"/>
            </w:tabs>
            <w:ind w:left="600" w:firstLine="600"/>
          </w:pPr>
          <w:hyperlink w:anchor="_Toc14635" w:history="1">
            <w:r w:rsidR="00C8354C">
              <w:rPr>
                <w:rFonts w:hint="eastAsia"/>
              </w:rPr>
              <w:t>（三）</w:t>
            </w:r>
            <w:r w:rsidR="00C8354C">
              <w:rPr>
                <w:rFonts w:hint="eastAsia"/>
              </w:rPr>
              <w:t xml:space="preserve"> </w:t>
            </w:r>
            <w:r w:rsidR="00C8354C">
              <w:rPr>
                <w:rFonts w:hint="eastAsia"/>
              </w:rPr>
              <w:t>动态维护需求和建议</w:t>
            </w:r>
            <w:r w:rsidR="00C8354C">
              <w:tab/>
            </w:r>
            <w:r>
              <w:fldChar w:fldCharType="begin"/>
            </w:r>
            <w:r w:rsidR="00C8354C">
              <w:instrText xml:space="preserve"> PAGEREF _Toc14635 \h </w:instrText>
            </w:r>
            <w:r>
              <w:fldChar w:fldCharType="separate"/>
            </w:r>
            <w:r w:rsidR="00C8354C">
              <w:rPr>
                <w:noProof/>
              </w:rPr>
              <w:t>19</w:t>
            </w:r>
            <w:r>
              <w:fldChar w:fldCharType="end"/>
            </w:r>
          </w:hyperlink>
        </w:p>
        <w:p w:rsidR="00F80ED2" w:rsidRDefault="00F80ED2" w:rsidP="00C8354C">
          <w:pPr>
            <w:pStyle w:val="10"/>
            <w:tabs>
              <w:tab w:val="right" w:leader="dot" w:pos="8306"/>
            </w:tabs>
            <w:ind w:firstLine="600"/>
          </w:pPr>
          <w:hyperlink w:anchor="_Toc2944" w:history="1">
            <w:r w:rsidR="00C8354C">
              <w:rPr>
                <w:rFonts w:hint="eastAsia"/>
              </w:rPr>
              <w:t>第五章</w:t>
            </w:r>
            <w:r w:rsidR="00C8354C">
              <w:rPr>
                <w:rFonts w:hint="eastAsia"/>
              </w:rPr>
              <w:t xml:space="preserve"> </w:t>
            </w:r>
            <w:r w:rsidR="00C8354C">
              <w:rPr>
                <w:rFonts w:hint="eastAsia"/>
              </w:rPr>
              <w:t>动态维护方案</w:t>
            </w:r>
            <w:r w:rsidR="00C8354C">
              <w:tab/>
            </w:r>
            <w:r>
              <w:fldChar w:fldCharType="begin"/>
            </w:r>
            <w:r w:rsidR="00C8354C">
              <w:instrText xml:space="preserve"> PAGEREF _Toc2944 \h </w:instrText>
            </w:r>
            <w:r>
              <w:fldChar w:fldCharType="separate"/>
            </w:r>
            <w:r w:rsidR="00C8354C">
              <w:rPr>
                <w:noProof/>
              </w:rPr>
              <w:t>21</w:t>
            </w:r>
            <w:r>
              <w:fldChar w:fldCharType="end"/>
            </w:r>
          </w:hyperlink>
        </w:p>
        <w:p w:rsidR="00F80ED2" w:rsidRDefault="00F80ED2" w:rsidP="00C8354C">
          <w:pPr>
            <w:pStyle w:val="20"/>
            <w:tabs>
              <w:tab w:val="right" w:leader="dot" w:pos="8306"/>
            </w:tabs>
            <w:ind w:left="600" w:firstLine="600"/>
          </w:pPr>
          <w:hyperlink w:anchor="_Toc5632" w:history="1">
            <w:r w:rsidR="00C8354C">
              <w:rPr>
                <w:rFonts w:hint="eastAsia"/>
              </w:rPr>
              <w:t>（一）</w:t>
            </w:r>
            <w:r w:rsidR="00C8354C">
              <w:rPr>
                <w:rFonts w:hint="eastAsia"/>
              </w:rPr>
              <w:t xml:space="preserve"> </w:t>
            </w:r>
            <w:r w:rsidR="00C8354C">
              <w:rPr>
                <w:rFonts w:hint="eastAsia"/>
              </w:rPr>
              <w:t>空间管控边界维护</w:t>
            </w:r>
            <w:r w:rsidR="00C8354C">
              <w:tab/>
            </w:r>
            <w:r>
              <w:fldChar w:fldCharType="begin"/>
            </w:r>
            <w:r w:rsidR="00C8354C">
              <w:instrText xml:space="preserve"> PAGEREF _Toc5632 \h </w:instrText>
            </w:r>
            <w:r>
              <w:fldChar w:fldCharType="separate"/>
            </w:r>
            <w:r w:rsidR="00C8354C">
              <w:rPr>
                <w:noProof/>
              </w:rPr>
              <w:t>21</w:t>
            </w:r>
            <w:r>
              <w:fldChar w:fldCharType="end"/>
            </w:r>
          </w:hyperlink>
        </w:p>
        <w:p w:rsidR="00F80ED2" w:rsidRDefault="00F80ED2" w:rsidP="00C8354C">
          <w:pPr>
            <w:pStyle w:val="20"/>
            <w:tabs>
              <w:tab w:val="right" w:leader="dot" w:pos="8306"/>
            </w:tabs>
            <w:ind w:left="600" w:firstLine="600"/>
          </w:pPr>
          <w:hyperlink w:anchor="_Toc25142" w:history="1">
            <w:r w:rsidR="00C8354C">
              <w:rPr>
                <w:rFonts w:hint="eastAsia"/>
              </w:rPr>
              <w:t>（二）</w:t>
            </w:r>
            <w:r w:rsidR="00C8354C">
              <w:rPr>
                <w:rFonts w:hint="eastAsia"/>
              </w:rPr>
              <w:t xml:space="preserve"> </w:t>
            </w:r>
            <w:r w:rsidR="00C8354C">
              <w:rPr>
                <w:rFonts w:hint="eastAsia"/>
              </w:rPr>
              <w:t>规划分区维护</w:t>
            </w:r>
            <w:r w:rsidR="00C8354C">
              <w:tab/>
            </w:r>
            <w:r>
              <w:fldChar w:fldCharType="begin"/>
            </w:r>
            <w:r w:rsidR="00C8354C">
              <w:instrText xml:space="preserve"> PAGEREF _Toc25142 \h </w:instrText>
            </w:r>
            <w:r>
              <w:fldChar w:fldCharType="separate"/>
            </w:r>
            <w:r w:rsidR="00C8354C">
              <w:rPr>
                <w:noProof/>
              </w:rPr>
              <w:t>29</w:t>
            </w:r>
            <w:r>
              <w:fldChar w:fldCharType="end"/>
            </w:r>
          </w:hyperlink>
        </w:p>
        <w:p w:rsidR="00F80ED2" w:rsidRDefault="00F80ED2" w:rsidP="00C8354C">
          <w:pPr>
            <w:pStyle w:val="20"/>
            <w:tabs>
              <w:tab w:val="right" w:leader="dot" w:pos="8306"/>
            </w:tabs>
            <w:ind w:left="600" w:firstLine="600"/>
          </w:pPr>
          <w:hyperlink w:anchor="_Toc10725" w:history="1">
            <w:r w:rsidR="00C8354C">
              <w:rPr>
                <w:rFonts w:hint="eastAsia"/>
              </w:rPr>
              <w:t>（三）</w:t>
            </w:r>
            <w:r w:rsidR="00C8354C">
              <w:rPr>
                <w:rFonts w:hint="eastAsia"/>
              </w:rPr>
              <w:t xml:space="preserve"> </w:t>
            </w:r>
            <w:r w:rsidR="00C8354C">
              <w:rPr>
                <w:rFonts w:hint="eastAsia"/>
              </w:rPr>
              <w:t>中心城区用地规划布局维护</w:t>
            </w:r>
            <w:r w:rsidR="00C8354C">
              <w:tab/>
            </w:r>
            <w:r>
              <w:fldChar w:fldCharType="begin"/>
            </w:r>
            <w:r w:rsidR="00C8354C">
              <w:instrText xml:space="preserve"> PAGEREF _Toc10725 \h </w:instrText>
            </w:r>
            <w:r>
              <w:fldChar w:fldCharType="separate"/>
            </w:r>
            <w:r w:rsidR="00C8354C">
              <w:rPr>
                <w:noProof/>
              </w:rPr>
              <w:t>29</w:t>
            </w:r>
            <w:r>
              <w:fldChar w:fldCharType="end"/>
            </w:r>
          </w:hyperlink>
        </w:p>
        <w:p w:rsidR="00F80ED2" w:rsidRDefault="00F80ED2" w:rsidP="00C8354C">
          <w:pPr>
            <w:pStyle w:val="20"/>
            <w:tabs>
              <w:tab w:val="right" w:leader="dot" w:pos="8306"/>
            </w:tabs>
            <w:ind w:left="600" w:firstLine="600"/>
          </w:pPr>
          <w:hyperlink w:anchor="_Toc16276" w:history="1">
            <w:r w:rsidR="00C8354C">
              <w:rPr>
                <w:rFonts w:hint="eastAsia"/>
              </w:rPr>
              <w:t>（四）</w:t>
            </w:r>
            <w:r w:rsidR="00C8354C">
              <w:rPr>
                <w:rFonts w:hint="eastAsia"/>
              </w:rPr>
              <w:t xml:space="preserve"> </w:t>
            </w:r>
            <w:r w:rsidR="00C8354C">
              <w:t>城市重要控制线具体用地布局动态维护</w:t>
            </w:r>
            <w:r w:rsidR="00C8354C">
              <w:tab/>
            </w:r>
            <w:r>
              <w:fldChar w:fldCharType="begin"/>
            </w:r>
            <w:r w:rsidR="00C8354C">
              <w:instrText xml:space="preserve"> PAGEREF _Toc16276 \h </w:instrText>
            </w:r>
            <w:r>
              <w:fldChar w:fldCharType="separate"/>
            </w:r>
            <w:r w:rsidR="00C8354C">
              <w:rPr>
                <w:noProof/>
              </w:rPr>
              <w:t>31</w:t>
            </w:r>
            <w:r>
              <w:fldChar w:fldCharType="end"/>
            </w:r>
          </w:hyperlink>
        </w:p>
        <w:p w:rsidR="00F80ED2" w:rsidRDefault="00F80ED2" w:rsidP="00C8354C">
          <w:pPr>
            <w:pStyle w:val="20"/>
            <w:tabs>
              <w:tab w:val="right" w:leader="dot" w:pos="8306"/>
            </w:tabs>
            <w:ind w:left="600" w:firstLine="600"/>
          </w:pPr>
          <w:hyperlink w:anchor="_Toc9022" w:history="1">
            <w:r w:rsidR="00C8354C">
              <w:rPr>
                <w:rFonts w:hint="eastAsia"/>
              </w:rPr>
              <w:t>（五）</w:t>
            </w:r>
            <w:r w:rsidR="00C8354C">
              <w:rPr>
                <w:rFonts w:hint="eastAsia"/>
              </w:rPr>
              <w:t xml:space="preserve"> </w:t>
            </w:r>
            <w:r w:rsidR="00C8354C">
              <w:rPr>
                <w:rFonts w:hint="eastAsia"/>
              </w:rPr>
              <w:t>详细规划编制单元划定动态维护</w:t>
            </w:r>
            <w:r w:rsidR="00C8354C">
              <w:tab/>
            </w:r>
            <w:r>
              <w:fldChar w:fldCharType="begin"/>
            </w:r>
            <w:r w:rsidR="00C8354C">
              <w:instrText xml:space="preserve"> PAGEREF _Toc9022 \h </w:instrText>
            </w:r>
            <w:r>
              <w:fldChar w:fldCharType="separate"/>
            </w:r>
            <w:r w:rsidR="00C8354C">
              <w:rPr>
                <w:noProof/>
              </w:rPr>
              <w:t>31</w:t>
            </w:r>
            <w:r>
              <w:fldChar w:fldCharType="end"/>
            </w:r>
          </w:hyperlink>
        </w:p>
        <w:p w:rsidR="00F80ED2" w:rsidRDefault="00F80ED2" w:rsidP="00C8354C">
          <w:pPr>
            <w:pStyle w:val="20"/>
            <w:tabs>
              <w:tab w:val="right" w:leader="dot" w:pos="8306"/>
            </w:tabs>
            <w:ind w:left="600" w:firstLine="600"/>
          </w:pPr>
          <w:hyperlink w:anchor="_Toc2382" w:history="1">
            <w:r w:rsidR="00C8354C">
              <w:rPr>
                <w:rFonts w:hint="eastAsia"/>
              </w:rPr>
              <w:t>（六）</w:t>
            </w:r>
            <w:r w:rsidR="00C8354C">
              <w:rPr>
                <w:rFonts w:hint="eastAsia"/>
              </w:rPr>
              <w:t xml:space="preserve"> </w:t>
            </w:r>
            <w:r w:rsidR="00C8354C">
              <w:rPr>
                <w:rFonts w:hint="eastAsia"/>
              </w:rPr>
              <w:t>重点建设项目清单维护</w:t>
            </w:r>
            <w:r w:rsidR="00C8354C">
              <w:tab/>
            </w:r>
            <w:r>
              <w:fldChar w:fldCharType="begin"/>
            </w:r>
            <w:r w:rsidR="00C8354C">
              <w:instrText xml:space="preserve"> PAGEREF _Toc2382 \h </w:instrText>
            </w:r>
            <w:r>
              <w:fldChar w:fldCharType="separate"/>
            </w:r>
            <w:r w:rsidR="00C8354C">
              <w:rPr>
                <w:noProof/>
              </w:rPr>
              <w:t>31</w:t>
            </w:r>
            <w:r>
              <w:fldChar w:fldCharType="end"/>
            </w:r>
          </w:hyperlink>
        </w:p>
        <w:p w:rsidR="00F80ED2" w:rsidRDefault="00F80ED2" w:rsidP="00C8354C">
          <w:pPr>
            <w:pStyle w:val="20"/>
            <w:tabs>
              <w:tab w:val="right" w:leader="dot" w:pos="8306"/>
            </w:tabs>
            <w:ind w:left="600" w:firstLine="600"/>
          </w:pPr>
          <w:hyperlink w:anchor="_Toc26212" w:history="1">
            <w:r w:rsidR="00C8354C">
              <w:rPr>
                <w:rFonts w:hint="eastAsia"/>
              </w:rPr>
              <w:t>（七）</w:t>
            </w:r>
            <w:r w:rsidR="00C8354C">
              <w:rPr>
                <w:rFonts w:hint="eastAsia"/>
              </w:rPr>
              <w:t xml:space="preserve"> </w:t>
            </w:r>
            <w:r w:rsidR="00C8354C">
              <w:rPr>
                <w:rFonts w:hint="eastAsia"/>
              </w:rPr>
              <w:t>规划其他内容维护</w:t>
            </w:r>
            <w:r w:rsidR="00C8354C">
              <w:tab/>
            </w:r>
            <w:r>
              <w:fldChar w:fldCharType="begin"/>
            </w:r>
            <w:r w:rsidR="00C8354C">
              <w:instrText xml:space="preserve"> PAGEREF _Toc26212 \h </w:instrText>
            </w:r>
            <w:r>
              <w:fldChar w:fldCharType="separate"/>
            </w:r>
            <w:r w:rsidR="00C8354C">
              <w:rPr>
                <w:noProof/>
              </w:rPr>
              <w:t>31</w:t>
            </w:r>
            <w:r>
              <w:fldChar w:fldCharType="end"/>
            </w:r>
          </w:hyperlink>
        </w:p>
        <w:p w:rsidR="00F80ED2" w:rsidRDefault="00F80ED2" w:rsidP="00C8354C">
          <w:pPr>
            <w:pStyle w:val="10"/>
            <w:tabs>
              <w:tab w:val="right" w:leader="dot" w:pos="8306"/>
            </w:tabs>
            <w:ind w:firstLine="600"/>
          </w:pPr>
          <w:hyperlink w:anchor="_Toc6657" w:history="1">
            <w:r w:rsidR="00C8354C">
              <w:rPr>
                <w:rFonts w:hint="eastAsia"/>
              </w:rPr>
              <w:t>第六章</w:t>
            </w:r>
            <w:r w:rsidR="00C8354C">
              <w:rPr>
                <w:rFonts w:hint="eastAsia"/>
              </w:rPr>
              <w:t xml:space="preserve"> </w:t>
            </w:r>
            <w:r w:rsidR="00C8354C">
              <w:rPr>
                <w:rFonts w:hint="eastAsia"/>
              </w:rPr>
              <w:t>规划动态维护可行性分析</w:t>
            </w:r>
            <w:r w:rsidR="00C8354C">
              <w:tab/>
            </w:r>
            <w:r>
              <w:fldChar w:fldCharType="begin"/>
            </w:r>
            <w:r w:rsidR="00C8354C">
              <w:instrText xml:space="preserve"> PAGEREF _Toc6657 \h </w:instrText>
            </w:r>
            <w:r>
              <w:fldChar w:fldCharType="separate"/>
            </w:r>
            <w:r w:rsidR="00C8354C">
              <w:rPr>
                <w:noProof/>
              </w:rPr>
              <w:t>32</w:t>
            </w:r>
            <w:r>
              <w:fldChar w:fldCharType="end"/>
            </w:r>
          </w:hyperlink>
        </w:p>
        <w:p w:rsidR="00F80ED2" w:rsidRDefault="00F80ED2" w:rsidP="00C8354C">
          <w:pPr>
            <w:pStyle w:val="10"/>
            <w:tabs>
              <w:tab w:val="right" w:leader="dot" w:pos="8306"/>
            </w:tabs>
            <w:ind w:firstLine="600"/>
          </w:pPr>
          <w:hyperlink w:anchor="_Toc29827" w:history="1">
            <w:r w:rsidR="00C8354C">
              <w:rPr>
                <w:rFonts w:hint="eastAsia"/>
              </w:rPr>
              <w:t>第七章</w:t>
            </w:r>
            <w:r w:rsidR="00C8354C">
              <w:rPr>
                <w:rFonts w:hint="eastAsia"/>
              </w:rPr>
              <w:t xml:space="preserve"> </w:t>
            </w:r>
            <w:r w:rsidR="00C8354C">
              <w:rPr>
                <w:rFonts w:hint="eastAsia"/>
              </w:rPr>
              <w:t>保障措施</w:t>
            </w:r>
            <w:r w:rsidR="00C8354C">
              <w:tab/>
            </w:r>
            <w:r>
              <w:fldChar w:fldCharType="begin"/>
            </w:r>
            <w:r w:rsidR="00C8354C">
              <w:instrText xml:space="preserve"> PAGEREF _Toc29827 \h </w:instrText>
            </w:r>
            <w:r>
              <w:fldChar w:fldCharType="separate"/>
            </w:r>
            <w:r w:rsidR="00C8354C">
              <w:rPr>
                <w:noProof/>
              </w:rPr>
              <w:t>32</w:t>
            </w:r>
            <w:r>
              <w:fldChar w:fldCharType="end"/>
            </w:r>
          </w:hyperlink>
        </w:p>
        <w:p w:rsidR="00F80ED2" w:rsidRDefault="00F80ED2">
          <w:pPr>
            <w:ind w:firstLineChars="0" w:firstLine="0"/>
            <w:jc w:val="center"/>
            <w:rPr>
              <w:bCs/>
              <w:szCs w:val="52"/>
            </w:rPr>
          </w:pPr>
          <w:r>
            <w:rPr>
              <w:rFonts w:ascii="Times New Roman" w:hAnsi="Times New Roman" w:cs="Times New Roman" w:hint="eastAsia"/>
            </w:rPr>
            <w:fldChar w:fldCharType="end"/>
          </w:r>
        </w:p>
      </w:sdtContent>
    </w:sdt>
    <w:p w:rsidR="00F80ED2" w:rsidRDefault="00F80ED2">
      <w:pPr>
        <w:ind w:firstLineChars="0" w:firstLine="0"/>
        <w:jc w:val="center"/>
        <w:rPr>
          <w:bCs/>
          <w:szCs w:val="52"/>
        </w:rPr>
        <w:sectPr w:rsidR="00F80ED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F80ED2" w:rsidRDefault="00C8354C">
      <w:pPr>
        <w:ind w:firstLineChars="0" w:firstLine="0"/>
        <w:jc w:val="center"/>
        <w:outlineLvl w:val="0"/>
        <w:rPr>
          <w:b/>
          <w:bCs/>
          <w:sz w:val="36"/>
          <w:szCs w:val="36"/>
        </w:rPr>
      </w:pPr>
      <w:bookmarkStart w:id="0" w:name="_Toc6438"/>
      <w:r>
        <w:rPr>
          <w:rFonts w:hint="eastAsia"/>
          <w:b/>
          <w:bCs/>
          <w:sz w:val="36"/>
          <w:szCs w:val="36"/>
        </w:rPr>
        <w:lastRenderedPageBreak/>
        <w:t>前言</w:t>
      </w:r>
      <w:bookmarkEnd w:id="0"/>
    </w:p>
    <w:p w:rsidR="00F80ED2" w:rsidRDefault="00C8354C" w:rsidP="00C8354C">
      <w:pPr>
        <w:ind w:firstLine="600"/>
      </w:pPr>
      <w:r>
        <w:rPr>
          <w:rFonts w:hint="eastAsia"/>
        </w:rPr>
        <w:t>为深入贯彻党的二十届四中全会精神，落实《中共中央关于制定国民经济和社会发展第十五个五年规划的建议》《内蒙古自治区党委关于制定国民经济和社会发展第十五个五年规划的建议》，依据《关于开展国土空间总体规划动态调整完善工作的通知》（内自然资发〔</w:t>
      </w:r>
      <w:r>
        <w:rPr>
          <w:rFonts w:ascii="Times New Roman" w:hAnsi="Times New Roman" w:cs="Times New Roman"/>
        </w:rPr>
        <w:t>2026</w:t>
      </w:r>
      <w:r>
        <w:rPr>
          <w:rFonts w:hint="eastAsia"/>
        </w:rPr>
        <w:t>〕</w:t>
      </w:r>
      <w:r>
        <w:rPr>
          <w:rFonts w:ascii="Times New Roman" w:hAnsi="Times New Roman" w:cs="Times New Roman" w:hint="eastAsia"/>
        </w:rPr>
        <w:t>4</w:t>
      </w:r>
      <w:r>
        <w:rPr>
          <w:rFonts w:hint="eastAsia"/>
        </w:rPr>
        <w:t>号）、《自然资源部国土空间规划局关于国土空间总体规划动态调整完善工作有关问题的答复》（自然资空间规划函〔</w:t>
      </w:r>
      <w:r>
        <w:rPr>
          <w:rFonts w:ascii="Times New Roman" w:hAnsi="Times New Roman" w:cs="Times New Roman" w:hint="eastAsia"/>
        </w:rPr>
        <w:t>2025</w:t>
      </w:r>
      <w:r>
        <w:rPr>
          <w:rFonts w:hint="eastAsia"/>
        </w:rPr>
        <w:t>〕</w:t>
      </w:r>
      <w:r>
        <w:rPr>
          <w:rFonts w:ascii="Times New Roman" w:hAnsi="Times New Roman" w:cs="Times New Roman" w:hint="eastAsia"/>
        </w:rPr>
        <w:t>411</w:t>
      </w:r>
      <w:r>
        <w:rPr>
          <w:rFonts w:hint="eastAsia"/>
        </w:rPr>
        <w:t>号）以及《自然资源部国土空间规划局关于国土空间总体规划动态调整完善工作有关问题的答复（第二版）》（自然资空间规划函〔</w:t>
      </w:r>
      <w:r>
        <w:rPr>
          <w:rFonts w:ascii="Times New Roman" w:hAnsi="Times New Roman" w:cs="Times New Roman" w:hint="eastAsia"/>
        </w:rPr>
        <w:t>2026</w:t>
      </w:r>
      <w:r>
        <w:rPr>
          <w:rFonts w:hint="eastAsia"/>
        </w:rPr>
        <w:t>〕</w:t>
      </w:r>
      <w:r>
        <w:rPr>
          <w:rFonts w:ascii="Times New Roman" w:hAnsi="Times New Roman" w:cs="Times New Roman" w:hint="eastAsia"/>
        </w:rPr>
        <w:t>37</w:t>
      </w:r>
      <w:r>
        <w:rPr>
          <w:rFonts w:hint="eastAsia"/>
        </w:rPr>
        <w:t>号）等有关要求，在严守空间安全底线，不突破本级国土空间总体规划确定的保护目标任务，不改变总体规划确定的空间结构和格局的前提下，重点对国土空间总体规划的三条控制线（耕地和永久基本农田、生态保护红线、城镇开发边界）、规划分区、中心城区用地规划布局、城市重要控制线具体用地局、重点建设项目清单等开展动态维护，并编制规划动态维护方案。</w:t>
      </w:r>
    </w:p>
    <w:p w:rsidR="00F80ED2" w:rsidRDefault="00F80ED2" w:rsidP="00C8354C">
      <w:pPr>
        <w:ind w:firstLine="600"/>
        <w:sectPr w:rsidR="00F80ED2">
          <w:footerReference w:type="default" r:id="rId14"/>
          <w:pgSz w:w="11906" w:h="16838"/>
          <w:pgMar w:top="1440" w:right="1800" w:bottom="1440" w:left="1800" w:header="851" w:footer="992" w:gutter="0"/>
          <w:pgNumType w:start="1"/>
          <w:cols w:space="425"/>
          <w:docGrid w:type="lines" w:linePitch="312"/>
        </w:sectPr>
      </w:pPr>
    </w:p>
    <w:p w:rsidR="00F80ED2" w:rsidRDefault="00C8354C" w:rsidP="00C8354C">
      <w:pPr>
        <w:pStyle w:val="1"/>
        <w:ind w:firstLine="723"/>
      </w:pPr>
      <w:bookmarkStart w:id="1" w:name="_Toc8891"/>
      <w:r>
        <w:rPr>
          <w:rFonts w:hint="eastAsia"/>
        </w:rPr>
        <w:lastRenderedPageBreak/>
        <w:t>目的意义</w:t>
      </w:r>
      <w:bookmarkEnd w:id="1"/>
    </w:p>
    <w:p w:rsidR="00F80ED2" w:rsidRDefault="00C8354C" w:rsidP="00C8354C">
      <w:pPr>
        <w:ind w:firstLine="600"/>
      </w:pPr>
      <w:r>
        <w:rPr>
          <w:rFonts w:hint="eastAsia"/>
        </w:rPr>
        <w:t>本次国土空间总体规划动态调整完善是基于国土空间总体规划</w:t>
      </w:r>
      <w:r>
        <w:rPr>
          <w:rFonts w:ascii="Times New Roman" w:hAnsi="Times New Roman" w:cs="Times New Roman"/>
        </w:rPr>
        <w:t>2024</w:t>
      </w:r>
      <w:r>
        <w:rPr>
          <w:rFonts w:hint="eastAsia"/>
        </w:rPr>
        <w:t>年度实施体检及补充评估结果，在现行规划基础上按需开展，为重大政策，重大改革，重大项目落地实施提供有力支撑，统筹解决近期规划实施中的矛盾冲突问题。推进专项规划落地、重大项目谋划、选址选线方案比选、规划管控要求比对分析等，在国土空间规划“一张图”上协调解决空间矛盾冲突，推动“十五五”建设项目分类型分阶段落图落地。</w:t>
      </w:r>
    </w:p>
    <w:p w:rsidR="00F80ED2" w:rsidRDefault="00C8354C" w:rsidP="00C8354C">
      <w:pPr>
        <w:pStyle w:val="1"/>
        <w:ind w:firstLine="723"/>
      </w:pPr>
      <w:bookmarkStart w:id="2" w:name="_Toc466"/>
      <w:r>
        <w:rPr>
          <w:rFonts w:hint="eastAsia"/>
        </w:rPr>
        <w:t>主要依据</w:t>
      </w:r>
      <w:bookmarkEnd w:id="2"/>
    </w:p>
    <w:p w:rsidR="00F80ED2" w:rsidRDefault="00C8354C">
      <w:pPr>
        <w:numPr>
          <w:ilvl w:val="0"/>
          <w:numId w:val="4"/>
        </w:numPr>
        <w:ind w:left="0" w:firstLine="600"/>
      </w:pPr>
      <w:r>
        <w:rPr>
          <w:rFonts w:hint="eastAsia"/>
        </w:rPr>
        <w:t>《中共中央关于制定国民经济和社会发展第十五个五年规划的建议》（</w:t>
      </w:r>
      <w:r>
        <w:rPr>
          <w:rFonts w:ascii="Times New Roman" w:hAnsi="Times New Roman" w:cs="Times New Roman" w:hint="eastAsia"/>
        </w:rPr>
        <w:t>2025</w:t>
      </w:r>
      <w:r>
        <w:rPr>
          <w:rFonts w:hint="eastAsia"/>
        </w:rPr>
        <w:t>年</w:t>
      </w:r>
      <w:r>
        <w:rPr>
          <w:rFonts w:ascii="Times New Roman" w:hAnsi="Times New Roman" w:cs="Times New Roman" w:hint="eastAsia"/>
        </w:rPr>
        <w:t>10</w:t>
      </w:r>
      <w:r>
        <w:rPr>
          <w:rFonts w:hint="eastAsia"/>
        </w:rPr>
        <w:t>月</w:t>
      </w:r>
      <w:r>
        <w:rPr>
          <w:rFonts w:ascii="Times New Roman" w:hAnsi="Times New Roman" w:cs="Times New Roman" w:hint="eastAsia"/>
        </w:rPr>
        <w:t>23</w:t>
      </w:r>
      <w:r>
        <w:rPr>
          <w:rFonts w:hint="eastAsia"/>
        </w:rPr>
        <w:t>日中国共产党第二十届中央委员会第四次全体会议通过）</w:t>
      </w:r>
    </w:p>
    <w:p w:rsidR="00F80ED2" w:rsidRDefault="00C8354C">
      <w:pPr>
        <w:numPr>
          <w:ilvl w:val="0"/>
          <w:numId w:val="4"/>
        </w:numPr>
        <w:ind w:left="0" w:firstLine="600"/>
      </w:pPr>
      <w:r>
        <w:rPr>
          <w:rFonts w:hint="eastAsia"/>
        </w:rPr>
        <w:t>《内蒙古自治区党委关于制定国民经济和社会发展第十五个五年规划的建议》（</w:t>
      </w:r>
      <w:r>
        <w:rPr>
          <w:rFonts w:ascii="Times New Roman" w:hAnsi="Times New Roman" w:cs="Times New Roman" w:hint="eastAsia"/>
        </w:rPr>
        <w:t>2025</w:t>
      </w:r>
      <w:r>
        <w:rPr>
          <w:rFonts w:hint="eastAsia"/>
        </w:rPr>
        <w:t>年</w:t>
      </w:r>
      <w:r>
        <w:rPr>
          <w:rFonts w:ascii="Times New Roman" w:hAnsi="Times New Roman" w:cs="Times New Roman" w:hint="eastAsia"/>
        </w:rPr>
        <w:t>11</w:t>
      </w:r>
      <w:r>
        <w:rPr>
          <w:rFonts w:hint="eastAsia"/>
        </w:rPr>
        <w:t>月</w:t>
      </w:r>
      <w:r>
        <w:rPr>
          <w:rFonts w:ascii="Times New Roman" w:hAnsi="Times New Roman" w:cs="Times New Roman" w:hint="eastAsia"/>
        </w:rPr>
        <w:t>14</w:t>
      </w:r>
      <w:r>
        <w:rPr>
          <w:rFonts w:hint="eastAsia"/>
        </w:rPr>
        <w:t>日中国共产党内蒙古自治区第十一届委员会第十次全体会议通过）</w:t>
      </w:r>
    </w:p>
    <w:p w:rsidR="00F80ED2" w:rsidRDefault="00C8354C">
      <w:pPr>
        <w:numPr>
          <w:ilvl w:val="0"/>
          <w:numId w:val="4"/>
        </w:numPr>
        <w:ind w:left="0" w:firstLine="600"/>
      </w:pPr>
      <w:r>
        <w:rPr>
          <w:rFonts w:hint="eastAsia"/>
        </w:rPr>
        <w:t>《关于开展国土空间总体规划动态调整完善工作的通知》（内自然资发〔</w:t>
      </w:r>
      <w:r>
        <w:rPr>
          <w:rFonts w:ascii="Times New Roman" w:hAnsi="Times New Roman" w:cs="Times New Roman"/>
        </w:rPr>
        <w:t>2026</w:t>
      </w:r>
      <w:r>
        <w:rPr>
          <w:rFonts w:hint="eastAsia"/>
        </w:rPr>
        <w:t>〕</w:t>
      </w:r>
      <w:r>
        <w:rPr>
          <w:rFonts w:ascii="Times New Roman" w:hAnsi="Times New Roman" w:cs="Times New Roman" w:hint="eastAsia"/>
        </w:rPr>
        <w:t>4</w:t>
      </w:r>
      <w:r>
        <w:rPr>
          <w:rFonts w:hint="eastAsia"/>
        </w:rPr>
        <w:t>号）</w:t>
      </w:r>
    </w:p>
    <w:p w:rsidR="00F80ED2" w:rsidRDefault="00C8354C">
      <w:pPr>
        <w:numPr>
          <w:ilvl w:val="0"/>
          <w:numId w:val="4"/>
        </w:numPr>
        <w:ind w:left="0" w:firstLine="600"/>
      </w:pPr>
      <w:r>
        <w:rPr>
          <w:rFonts w:hint="eastAsia"/>
        </w:rPr>
        <w:t>《自然资源部国土空间规划局关于国土空间总体规划动态调整完善工作有关问题的答复》（自然资空间规划函〔</w:t>
      </w:r>
      <w:r>
        <w:rPr>
          <w:rFonts w:ascii="Times New Roman" w:hAnsi="Times New Roman" w:cs="Times New Roman" w:hint="eastAsia"/>
        </w:rPr>
        <w:t>2025</w:t>
      </w:r>
      <w:r>
        <w:rPr>
          <w:rFonts w:hint="eastAsia"/>
        </w:rPr>
        <w:t>〕</w:t>
      </w:r>
      <w:r>
        <w:rPr>
          <w:rFonts w:ascii="Times New Roman" w:hAnsi="Times New Roman" w:cs="Times New Roman" w:hint="eastAsia"/>
        </w:rPr>
        <w:t>411</w:t>
      </w:r>
      <w:r>
        <w:rPr>
          <w:rFonts w:hint="eastAsia"/>
        </w:rPr>
        <w:t>号）</w:t>
      </w:r>
    </w:p>
    <w:p w:rsidR="00F80ED2" w:rsidRDefault="00C8354C">
      <w:pPr>
        <w:numPr>
          <w:ilvl w:val="0"/>
          <w:numId w:val="4"/>
        </w:numPr>
        <w:ind w:left="0" w:firstLine="600"/>
      </w:pPr>
      <w:r>
        <w:rPr>
          <w:rFonts w:hint="eastAsia"/>
        </w:rPr>
        <w:t>《自然资源部国土空间规划局关于国土空间总体规划动态调整完善工作有关问题的答复（第二版）》（自然资空间规划</w:t>
      </w:r>
      <w:r>
        <w:rPr>
          <w:rFonts w:hint="eastAsia"/>
        </w:rPr>
        <w:lastRenderedPageBreak/>
        <w:t>函〔</w:t>
      </w:r>
      <w:r>
        <w:rPr>
          <w:rFonts w:ascii="Times New Roman" w:hAnsi="Times New Roman" w:cs="Times New Roman" w:hint="eastAsia"/>
        </w:rPr>
        <w:t>2026</w:t>
      </w:r>
      <w:r>
        <w:rPr>
          <w:rFonts w:hint="eastAsia"/>
        </w:rPr>
        <w:t>〕</w:t>
      </w:r>
      <w:r>
        <w:rPr>
          <w:rFonts w:ascii="Times New Roman" w:hAnsi="Times New Roman" w:cs="Times New Roman" w:hint="eastAsia"/>
        </w:rPr>
        <w:t>37</w:t>
      </w:r>
      <w:r>
        <w:rPr>
          <w:rFonts w:hint="eastAsia"/>
        </w:rPr>
        <w:t>号）</w:t>
      </w:r>
    </w:p>
    <w:p w:rsidR="00F80ED2" w:rsidRDefault="00C8354C">
      <w:pPr>
        <w:numPr>
          <w:ilvl w:val="0"/>
          <w:numId w:val="4"/>
        </w:numPr>
        <w:ind w:left="0" w:firstLine="600"/>
      </w:pPr>
      <w:r>
        <w:rPr>
          <w:rFonts w:hint="eastAsia"/>
        </w:rPr>
        <w:t>《内蒙古自治区自然资源厅关于印发＜内蒙古自治区国土空间总体规划动态调整完善工作方案＞的通知》（内自然资〔</w:t>
      </w:r>
      <w:r>
        <w:rPr>
          <w:rFonts w:ascii="Times New Roman" w:hAnsi="Times New Roman" w:cs="Times New Roman" w:hint="eastAsia"/>
        </w:rPr>
        <w:t>2026</w:t>
      </w:r>
      <w:r>
        <w:rPr>
          <w:rFonts w:hint="eastAsia"/>
        </w:rPr>
        <w:t>〕</w:t>
      </w:r>
      <w:r>
        <w:rPr>
          <w:rFonts w:ascii="Times New Roman" w:hAnsi="Times New Roman" w:cs="Times New Roman" w:hint="eastAsia"/>
        </w:rPr>
        <w:t>43</w:t>
      </w:r>
      <w:r>
        <w:rPr>
          <w:rFonts w:hint="eastAsia"/>
        </w:rPr>
        <w:t>号）</w:t>
      </w:r>
    </w:p>
    <w:p w:rsidR="00F80ED2" w:rsidRDefault="00C8354C">
      <w:pPr>
        <w:numPr>
          <w:ilvl w:val="0"/>
          <w:numId w:val="4"/>
        </w:numPr>
        <w:ind w:left="0" w:firstLine="600"/>
      </w:pPr>
      <w:r>
        <w:rPr>
          <w:rFonts w:hint="eastAsia"/>
        </w:rPr>
        <w:t>《宁城县国民经济和社会发展第十五个五年规划纲要》</w:t>
      </w:r>
    </w:p>
    <w:p w:rsidR="00F80ED2" w:rsidRDefault="00C8354C" w:rsidP="00C8354C">
      <w:pPr>
        <w:pStyle w:val="1"/>
        <w:ind w:firstLine="723"/>
      </w:pPr>
      <w:bookmarkStart w:id="3" w:name="_Toc1336"/>
      <w:r>
        <w:rPr>
          <w:rFonts w:hint="eastAsia"/>
        </w:rPr>
        <w:lastRenderedPageBreak/>
        <w:t>维护原则</w:t>
      </w:r>
      <w:bookmarkEnd w:id="3"/>
    </w:p>
    <w:p w:rsidR="00F80ED2" w:rsidRDefault="00C8354C" w:rsidP="00C8354C">
      <w:pPr>
        <w:pStyle w:val="2"/>
        <w:ind w:firstLine="640"/>
      </w:pPr>
      <w:bookmarkStart w:id="4" w:name="_Toc7286"/>
      <w:r>
        <w:rPr>
          <w:rFonts w:hint="eastAsia"/>
        </w:rPr>
        <w:t>耕地和永久基本农田保护红线动态维护原则</w:t>
      </w:r>
      <w:bookmarkEnd w:id="4"/>
    </w:p>
    <w:p w:rsidR="00F80ED2" w:rsidRDefault="00C8354C" w:rsidP="00C8354C">
      <w:pPr>
        <w:pStyle w:val="3"/>
        <w:ind w:firstLine="600"/>
      </w:pPr>
      <w:r>
        <w:rPr>
          <w:rFonts w:hint="eastAsia"/>
        </w:rPr>
        <w:t>以质量生态有提升、布局更优化作为优化导向，确保规划确定的耕地保有量、永久基本农田不低于规划明确的保护任务；</w:t>
      </w:r>
    </w:p>
    <w:p w:rsidR="00F80ED2" w:rsidRDefault="00C8354C" w:rsidP="00C8354C">
      <w:pPr>
        <w:pStyle w:val="3"/>
        <w:ind w:firstLine="600"/>
      </w:pPr>
      <w:r>
        <w:rPr>
          <w:rFonts w:hint="eastAsia"/>
        </w:rPr>
        <w:t>林地保有量、森林覆盖率不低于《耕地保护和国土绿化专项规划》中确定的目标任务；</w:t>
      </w:r>
    </w:p>
    <w:p w:rsidR="00F80ED2" w:rsidRDefault="00C8354C" w:rsidP="00C8354C">
      <w:pPr>
        <w:pStyle w:val="3"/>
        <w:ind w:firstLine="600"/>
      </w:pPr>
      <w:r>
        <w:rPr>
          <w:rFonts w:hint="eastAsia"/>
        </w:rPr>
        <w:t>永久基本农田中的水田水浇地所占比例不减少、永久基本农田内坡度</w:t>
      </w:r>
      <w:r>
        <w:rPr>
          <w:rFonts w:ascii="Times New Roman" w:hAnsi="Times New Roman" w:cs="Times New Roman"/>
        </w:rPr>
        <w:t>15</w:t>
      </w:r>
      <w:r>
        <w:rPr>
          <w:rFonts w:hint="eastAsia"/>
        </w:rPr>
        <w:t>度以上的耕地面积有减少；</w:t>
      </w:r>
    </w:p>
    <w:p w:rsidR="00F80ED2" w:rsidRDefault="00C8354C" w:rsidP="00C8354C">
      <w:pPr>
        <w:pStyle w:val="3"/>
        <w:ind w:firstLine="600"/>
      </w:pPr>
      <w:r>
        <w:rPr>
          <w:rFonts w:hint="eastAsia"/>
        </w:rPr>
        <w:t>永久基本农田中高标准农田建设面积占永久基本农田比例有增加；</w:t>
      </w:r>
    </w:p>
    <w:p w:rsidR="00F80ED2" w:rsidRDefault="00C8354C" w:rsidP="00C8354C">
      <w:pPr>
        <w:pStyle w:val="3"/>
        <w:ind w:firstLine="600"/>
      </w:pPr>
      <w:r>
        <w:rPr>
          <w:rFonts w:hint="eastAsia"/>
        </w:rPr>
        <w:t>永久基本农田连片度有提升；</w:t>
      </w:r>
    </w:p>
    <w:p w:rsidR="00F80ED2" w:rsidRDefault="00C8354C" w:rsidP="00C8354C">
      <w:pPr>
        <w:pStyle w:val="3"/>
        <w:ind w:firstLine="600"/>
      </w:pPr>
      <w:r>
        <w:rPr>
          <w:rFonts w:hint="eastAsia"/>
        </w:rPr>
        <w:t>平原地区</w:t>
      </w:r>
      <w:r>
        <w:rPr>
          <w:rFonts w:ascii="Times New Roman" w:hAnsi="Times New Roman" w:cs="Times New Roman"/>
        </w:rPr>
        <w:t>5</w:t>
      </w:r>
      <w:r>
        <w:rPr>
          <w:rFonts w:hint="eastAsia"/>
        </w:rPr>
        <w:t>亩以下，山地丘陵地区</w:t>
      </w:r>
      <w:r>
        <w:rPr>
          <w:rFonts w:ascii="Times New Roman" w:hAnsi="Times New Roman" w:cs="Times New Roman"/>
        </w:rPr>
        <w:t>3</w:t>
      </w:r>
      <w:r>
        <w:rPr>
          <w:rFonts w:hint="eastAsia"/>
        </w:rPr>
        <w:t>亩以下永久基本农田碎图斑个数有减少；</w:t>
      </w:r>
    </w:p>
    <w:p w:rsidR="00F80ED2" w:rsidRDefault="00C8354C" w:rsidP="00C8354C">
      <w:pPr>
        <w:pStyle w:val="3"/>
        <w:ind w:firstLine="600"/>
      </w:pPr>
      <w:r>
        <w:rPr>
          <w:rFonts w:hint="eastAsia"/>
        </w:rPr>
        <w:t>动态维护涉及布局变化情况及计算过程应在动态维护说明中详细说明。</w:t>
      </w:r>
    </w:p>
    <w:p w:rsidR="00F80ED2" w:rsidRDefault="00C8354C" w:rsidP="00C8354C">
      <w:pPr>
        <w:pStyle w:val="2"/>
        <w:ind w:firstLine="640"/>
      </w:pPr>
      <w:bookmarkStart w:id="5" w:name="_Toc10263"/>
      <w:r>
        <w:rPr>
          <w:rFonts w:hint="eastAsia"/>
        </w:rPr>
        <w:t>生态保护红线动态维护原则</w:t>
      </w:r>
      <w:bookmarkEnd w:id="5"/>
    </w:p>
    <w:p w:rsidR="00F80ED2" w:rsidRDefault="00C8354C" w:rsidP="00C8354C">
      <w:pPr>
        <w:pStyle w:val="3"/>
        <w:numPr>
          <w:ilvl w:val="0"/>
          <w:numId w:val="5"/>
        </w:numPr>
        <w:ind w:firstLine="600"/>
      </w:pPr>
      <w:r>
        <w:rPr>
          <w:rFonts w:hint="eastAsia"/>
        </w:rPr>
        <w:t>以功能有提升、布局更完善作为优化导向，确保县域生态保护红线面积不减少；</w:t>
      </w:r>
    </w:p>
    <w:p w:rsidR="00F80ED2" w:rsidRDefault="00C8354C" w:rsidP="00C8354C">
      <w:pPr>
        <w:pStyle w:val="3"/>
        <w:numPr>
          <w:ilvl w:val="0"/>
          <w:numId w:val="5"/>
        </w:numPr>
        <w:ind w:firstLine="600"/>
      </w:pPr>
      <w:r>
        <w:rPr>
          <w:rFonts w:hint="eastAsia"/>
        </w:rPr>
        <w:t>生态保护红线范围内生态功能用地面积有增加；</w:t>
      </w:r>
    </w:p>
    <w:p w:rsidR="00F80ED2" w:rsidRDefault="00C8354C" w:rsidP="00C8354C">
      <w:pPr>
        <w:pStyle w:val="3"/>
        <w:ind w:firstLine="600"/>
      </w:pPr>
      <w:r>
        <w:rPr>
          <w:rFonts w:hint="eastAsia"/>
        </w:rPr>
        <w:t>生态保护红线内耕地面积不增加；</w:t>
      </w:r>
    </w:p>
    <w:p w:rsidR="00F80ED2" w:rsidRDefault="00C8354C" w:rsidP="00C8354C">
      <w:pPr>
        <w:pStyle w:val="3"/>
        <w:ind w:firstLine="600"/>
      </w:pPr>
      <w:r>
        <w:rPr>
          <w:rFonts w:hint="eastAsia"/>
        </w:rPr>
        <w:t>面积小于</w:t>
      </w:r>
      <w:r>
        <w:rPr>
          <w:rFonts w:ascii="Times New Roman" w:hAnsi="Times New Roman" w:cs="Times New Roman"/>
        </w:rPr>
        <w:t>1</w:t>
      </w:r>
      <w:r>
        <w:rPr>
          <w:rFonts w:hint="eastAsia"/>
        </w:rPr>
        <w:t>平方公里的生态保护图斑数量不增加；</w:t>
      </w:r>
    </w:p>
    <w:p w:rsidR="00F80ED2" w:rsidRDefault="00C8354C" w:rsidP="00C8354C">
      <w:pPr>
        <w:pStyle w:val="3"/>
        <w:ind w:firstLine="600"/>
      </w:pPr>
      <w:r>
        <w:rPr>
          <w:rFonts w:hint="eastAsia"/>
        </w:rPr>
        <w:lastRenderedPageBreak/>
        <w:t>动态维护涉及布局变化情况及计算过程应在动态维护说明中详细说明。</w:t>
      </w:r>
    </w:p>
    <w:p w:rsidR="00F80ED2" w:rsidRDefault="00C8354C" w:rsidP="00C8354C">
      <w:pPr>
        <w:pStyle w:val="2"/>
        <w:ind w:firstLine="640"/>
      </w:pPr>
      <w:bookmarkStart w:id="6" w:name="_Toc12309"/>
      <w:r>
        <w:rPr>
          <w:rFonts w:hint="eastAsia"/>
        </w:rPr>
        <w:t>城镇开发边界动态维护原则</w:t>
      </w:r>
      <w:bookmarkEnd w:id="6"/>
    </w:p>
    <w:p w:rsidR="00F80ED2" w:rsidRDefault="00C8354C" w:rsidP="00C8354C">
      <w:pPr>
        <w:pStyle w:val="3"/>
        <w:numPr>
          <w:ilvl w:val="0"/>
          <w:numId w:val="6"/>
        </w:numPr>
        <w:ind w:firstLine="600"/>
      </w:pPr>
      <w:r>
        <w:rPr>
          <w:rFonts w:hint="eastAsia"/>
        </w:rPr>
        <w:t>以布局更聚集、城镇功能品质有提升作为优化导向，确保城镇开发边界总面积、规划新增城镇建设用地规模及城镇开发边界扩展系数不突破原规模。其中，对各盟市和旗县（市、区）城镇开发边界内增量空间进行统筹的，按统筹后规模和扩展系数执行；</w:t>
      </w:r>
    </w:p>
    <w:p w:rsidR="00F80ED2" w:rsidRDefault="00C8354C" w:rsidP="00C8354C">
      <w:pPr>
        <w:pStyle w:val="3"/>
        <w:ind w:firstLine="600"/>
      </w:pPr>
      <w:r>
        <w:rPr>
          <w:rFonts w:ascii="Times New Roman" w:hAnsi="Times New Roman" w:cs="Times New Roman"/>
        </w:rPr>
        <w:t>15</w:t>
      </w:r>
      <w:r>
        <w:rPr>
          <w:rFonts w:hint="eastAsia"/>
        </w:rPr>
        <w:t>亩以下零星破碎的城镇开发边界图斑数量、城镇开发边界围合范围内永久基本农田“天窗”个数有减少；</w:t>
      </w:r>
    </w:p>
    <w:p w:rsidR="00F80ED2" w:rsidRDefault="00C8354C" w:rsidP="00C8354C">
      <w:pPr>
        <w:pStyle w:val="3"/>
        <w:ind w:firstLine="600"/>
      </w:pPr>
      <w:r>
        <w:rPr>
          <w:rFonts w:hint="eastAsia"/>
        </w:rPr>
        <w:t>已批开发区和非农产业园区面积划入率有提升；</w:t>
      </w:r>
    </w:p>
    <w:p w:rsidR="00F80ED2" w:rsidRDefault="00C8354C" w:rsidP="00C8354C">
      <w:pPr>
        <w:pStyle w:val="3"/>
        <w:ind w:firstLine="600"/>
      </w:pPr>
      <w:r>
        <w:rPr>
          <w:rFonts w:hint="eastAsia"/>
        </w:rPr>
        <w:t>优化后的城镇开发边界与总体规划明确的主要发展方向符合程度有提高；</w:t>
      </w:r>
    </w:p>
    <w:p w:rsidR="00F80ED2" w:rsidRDefault="00C8354C" w:rsidP="00C8354C">
      <w:pPr>
        <w:pStyle w:val="3"/>
        <w:ind w:firstLine="600"/>
      </w:pPr>
      <w:r>
        <w:rPr>
          <w:rFonts w:hint="eastAsia"/>
        </w:rPr>
        <w:t>城镇开发边界内不适宜城镇建设区域面积（包括</w:t>
      </w:r>
      <w:r>
        <w:rPr>
          <w:rFonts w:hint="eastAsia"/>
        </w:rPr>
        <w:t>:</w:t>
      </w:r>
      <w:r>
        <w:rPr>
          <w:rFonts w:hint="eastAsia"/>
        </w:rPr>
        <w:t>地质灾害极高和高风险区、蓄滞洪区、重要矿产资源压覆区、大遗址保护区等）不增加；</w:t>
      </w:r>
    </w:p>
    <w:p w:rsidR="00F80ED2" w:rsidRDefault="00C8354C" w:rsidP="00C8354C">
      <w:pPr>
        <w:pStyle w:val="3"/>
        <w:ind w:firstLine="600"/>
      </w:pPr>
      <w:r>
        <w:rPr>
          <w:rFonts w:hint="eastAsia"/>
        </w:rPr>
        <w:t>中心城区道路网络密度，公园绿地、广场步行</w:t>
      </w:r>
      <w:r>
        <w:rPr>
          <w:rFonts w:ascii="Times New Roman" w:hAnsi="Times New Roman" w:cs="Times New Roman"/>
        </w:rPr>
        <w:t>5</w:t>
      </w:r>
      <w:r>
        <w:rPr>
          <w:rFonts w:hint="eastAsia"/>
        </w:rPr>
        <w:t>分钟覆盖率有提高；</w:t>
      </w:r>
    </w:p>
    <w:p w:rsidR="00F80ED2" w:rsidRDefault="00C8354C" w:rsidP="00C8354C">
      <w:pPr>
        <w:pStyle w:val="3"/>
        <w:ind w:firstLine="600"/>
      </w:pPr>
      <w:r>
        <w:rPr>
          <w:rFonts w:hint="eastAsia"/>
        </w:rPr>
        <w:t>动态维护涉及指标变化情况及计算过程应在动态维护说明中详细说明。</w:t>
      </w:r>
    </w:p>
    <w:p w:rsidR="00F80ED2" w:rsidRDefault="00C8354C" w:rsidP="00C8354C">
      <w:pPr>
        <w:pStyle w:val="2"/>
        <w:ind w:firstLine="640"/>
      </w:pPr>
      <w:bookmarkStart w:id="7" w:name="_Toc31405"/>
      <w:r>
        <w:rPr>
          <w:rFonts w:hint="eastAsia"/>
        </w:rPr>
        <w:t>城市重要控制线具体用地布局动态维护原则</w:t>
      </w:r>
      <w:bookmarkEnd w:id="7"/>
    </w:p>
    <w:p w:rsidR="00F80ED2" w:rsidRDefault="00C8354C" w:rsidP="00C8354C">
      <w:pPr>
        <w:pStyle w:val="3"/>
        <w:numPr>
          <w:ilvl w:val="0"/>
          <w:numId w:val="7"/>
        </w:numPr>
        <w:ind w:firstLine="600"/>
      </w:pPr>
      <w:r>
        <w:rPr>
          <w:rFonts w:hint="eastAsia"/>
        </w:rPr>
        <w:lastRenderedPageBreak/>
        <w:t>城市黄线</w:t>
      </w:r>
      <w:r>
        <w:rPr>
          <w:rFonts w:hint="eastAsia"/>
        </w:rPr>
        <w:t>:</w:t>
      </w:r>
      <w:r>
        <w:rPr>
          <w:rFonts w:hint="eastAsia"/>
        </w:rPr>
        <w:t>在满足各类设施布局原则和配置标准前提下，依据经批准的有关专项规划、或有关“十五五”规划、或工程设计方案等，经主管部门同意后进行动态维护；</w:t>
      </w:r>
    </w:p>
    <w:p w:rsidR="00F80ED2" w:rsidRDefault="00C8354C" w:rsidP="00C8354C">
      <w:pPr>
        <w:pStyle w:val="3"/>
        <w:numPr>
          <w:ilvl w:val="0"/>
          <w:numId w:val="7"/>
        </w:numPr>
        <w:ind w:firstLine="600"/>
      </w:pPr>
      <w:r>
        <w:rPr>
          <w:rFonts w:hint="eastAsia"/>
        </w:rPr>
        <w:t>城市蓝线和洪涝风险控制线</w:t>
      </w:r>
      <w:r>
        <w:rPr>
          <w:rFonts w:hint="eastAsia"/>
        </w:rPr>
        <w:t>:</w:t>
      </w:r>
      <w:r>
        <w:rPr>
          <w:rFonts w:hint="eastAsia"/>
        </w:rPr>
        <w:t>在满足防洪泄洪等安全需求前提下，依据经批准的水资源保护、水利基础设施等专项规划、或有关“十五五”规划以及生态环境、水利等部门新划定的各类水体保护线，经主管部门同意后进行动态维护；</w:t>
      </w:r>
    </w:p>
    <w:p w:rsidR="00F80ED2" w:rsidRDefault="00C8354C" w:rsidP="00C8354C">
      <w:pPr>
        <w:pStyle w:val="3"/>
        <w:numPr>
          <w:ilvl w:val="0"/>
          <w:numId w:val="7"/>
        </w:numPr>
        <w:ind w:firstLine="600"/>
      </w:pPr>
      <w:r>
        <w:rPr>
          <w:rFonts w:hint="eastAsia"/>
        </w:rPr>
        <w:t>城市紫线和历史文化保护线</w:t>
      </w:r>
      <w:r>
        <w:rPr>
          <w:rFonts w:hint="eastAsia"/>
        </w:rPr>
        <w:t>:</w:t>
      </w:r>
      <w:r>
        <w:rPr>
          <w:rFonts w:hint="eastAsia"/>
        </w:rPr>
        <w:t>依据经批准的有关专项规划、或文物主管部门组织最新划定的文物资源保护范围、建设控制地带范围等、或住建部门组织最新划定的历史文化街区、历史建筑范围等，经相关主管部门同意后进行动态维护；</w:t>
      </w:r>
    </w:p>
    <w:p w:rsidR="00F80ED2" w:rsidRDefault="00C8354C" w:rsidP="00C8354C">
      <w:pPr>
        <w:pStyle w:val="3"/>
        <w:numPr>
          <w:ilvl w:val="0"/>
          <w:numId w:val="7"/>
        </w:numPr>
        <w:ind w:firstLine="600"/>
      </w:pPr>
      <w:r>
        <w:rPr>
          <w:rFonts w:hint="eastAsia"/>
        </w:rPr>
        <w:t>城市绿线</w:t>
      </w:r>
      <w:r>
        <w:rPr>
          <w:rFonts w:hint="eastAsia"/>
        </w:rPr>
        <w:t>:</w:t>
      </w:r>
      <w:r>
        <w:rPr>
          <w:rFonts w:hint="eastAsia"/>
        </w:rPr>
        <w:t>在满足中心城区范围内结构性绿地的控制范围和均衡分布要求，城市绿地功能有提升，公园绿地、广场步行</w:t>
      </w:r>
      <w:r>
        <w:t>5</w:t>
      </w:r>
      <w:r>
        <w:rPr>
          <w:rFonts w:hint="eastAsia"/>
        </w:rPr>
        <w:t>分钟覆盖率有提高的前提下，依据经批准的绿地、道路市政等有关专项规划、或有关“十五五”规划、或工程设计方案等进行动态维护；</w:t>
      </w:r>
    </w:p>
    <w:p w:rsidR="00F80ED2" w:rsidRDefault="00C8354C" w:rsidP="00C8354C">
      <w:pPr>
        <w:pStyle w:val="3"/>
        <w:numPr>
          <w:ilvl w:val="0"/>
          <w:numId w:val="7"/>
        </w:numPr>
        <w:ind w:firstLine="600"/>
      </w:pPr>
      <w:r>
        <w:rPr>
          <w:rFonts w:hint="eastAsia"/>
        </w:rPr>
        <w:t>动态维护涉及指标变化情况及计算过程应在动态维护说明中详细说明。</w:t>
      </w:r>
    </w:p>
    <w:p w:rsidR="00F80ED2" w:rsidRDefault="00C8354C" w:rsidP="00C8354C">
      <w:pPr>
        <w:pStyle w:val="2"/>
        <w:ind w:firstLine="640"/>
      </w:pPr>
      <w:bookmarkStart w:id="8" w:name="_Toc2461"/>
      <w:r>
        <w:rPr>
          <w:rFonts w:hint="eastAsia"/>
        </w:rPr>
        <w:t>中心城区用地规划布局动态维护原则</w:t>
      </w:r>
      <w:bookmarkEnd w:id="8"/>
    </w:p>
    <w:p w:rsidR="00F80ED2" w:rsidRDefault="00C8354C" w:rsidP="00C8354C">
      <w:pPr>
        <w:pStyle w:val="3"/>
        <w:numPr>
          <w:ilvl w:val="0"/>
          <w:numId w:val="8"/>
        </w:numPr>
        <w:ind w:firstLine="600"/>
      </w:pPr>
      <w:r>
        <w:rPr>
          <w:rFonts w:hint="eastAsia"/>
        </w:rPr>
        <w:lastRenderedPageBreak/>
        <w:t>满足中心城区范围内结构性绿地、水体等开敞空间的控制范围和均衡分布要求，城市绿地功能有提升，公园绿地、广场步行</w:t>
      </w:r>
      <w:r>
        <w:rPr>
          <w:rFonts w:ascii="Times New Roman" w:hAnsi="Times New Roman" w:cs="Times New Roman"/>
        </w:rPr>
        <w:t>5</w:t>
      </w:r>
      <w:r>
        <w:rPr>
          <w:rFonts w:hint="eastAsia"/>
        </w:rPr>
        <w:t>分钟覆盖率有提高的前提下可对规划绿地与开敞空间用地进行动态维护；</w:t>
      </w:r>
    </w:p>
    <w:p w:rsidR="00F80ED2" w:rsidRDefault="00C8354C" w:rsidP="00C8354C">
      <w:pPr>
        <w:pStyle w:val="3"/>
        <w:numPr>
          <w:ilvl w:val="0"/>
          <w:numId w:val="8"/>
        </w:numPr>
        <w:ind w:firstLine="600"/>
      </w:pPr>
      <w:r>
        <w:rPr>
          <w:rFonts w:hint="eastAsia"/>
        </w:rPr>
        <w:t>满足城乡公共服务设施配置标准，教育、卫生、养老、文化、体育、殡葬等城乡公共服务设施布局原则和标准不降低的前提下，依据经批准的有关设施专项规划、或有关“十五五’规划、或工程设计方案等，经主管部门同意后可对规划公共管理与公共服务用地进行动态维护；</w:t>
      </w:r>
    </w:p>
    <w:p w:rsidR="00F80ED2" w:rsidRDefault="00C8354C" w:rsidP="00C8354C">
      <w:pPr>
        <w:pStyle w:val="3"/>
        <w:numPr>
          <w:ilvl w:val="0"/>
          <w:numId w:val="8"/>
        </w:numPr>
        <w:ind w:firstLine="600"/>
      </w:pPr>
      <w:r>
        <w:rPr>
          <w:rFonts w:hint="eastAsia"/>
        </w:rPr>
        <w:t>在满足中心城区道路网密度有提高、结构有优化的前提下，依据经批准的综合交通、道路体系等专项规划、或有关“十五五”规划、或工程设计方案，经主管部门同意后可对规划的快速路、主干路的线型、线位以优化调整方式进行动态维护，对除快速路、主干路以外的其他道路进行动态维护（如调整红线宽度、改线、取消、增设等）；</w:t>
      </w:r>
    </w:p>
    <w:p w:rsidR="00F80ED2" w:rsidRDefault="00C8354C" w:rsidP="00C8354C">
      <w:pPr>
        <w:pStyle w:val="3"/>
        <w:numPr>
          <w:ilvl w:val="0"/>
          <w:numId w:val="8"/>
        </w:numPr>
        <w:ind w:firstLine="600"/>
      </w:pPr>
      <w:r>
        <w:rPr>
          <w:rFonts w:hint="eastAsia"/>
        </w:rPr>
        <w:t>因城镇开发边界动态维护涉及规划用地布局调整的可进行相应动态维护；</w:t>
      </w:r>
    </w:p>
    <w:p w:rsidR="00F80ED2" w:rsidRDefault="00C8354C" w:rsidP="00C8354C">
      <w:pPr>
        <w:pStyle w:val="3"/>
        <w:numPr>
          <w:ilvl w:val="0"/>
          <w:numId w:val="8"/>
        </w:numPr>
        <w:ind w:firstLine="600"/>
      </w:pPr>
      <w:r>
        <w:rPr>
          <w:rFonts w:hint="eastAsia"/>
        </w:rPr>
        <w:t>上述要求外，在满足生产生活需求、安全卫生等布局要求前提下，可对其他规划用地类型开展动态维护；</w:t>
      </w:r>
    </w:p>
    <w:p w:rsidR="00F80ED2" w:rsidRDefault="00C8354C" w:rsidP="00C8354C">
      <w:pPr>
        <w:pStyle w:val="3"/>
        <w:numPr>
          <w:ilvl w:val="0"/>
          <w:numId w:val="8"/>
        </w:numPr>
        <w:ind w:firstLine="600"/>
      </w:pPr>
      <w:r>
        <w:rPr>
          <w:rFonts w:hint="eastAsia"/>
        </w:rPr>
        <w:t>因三条控制线动态维护、中心城区用地布局动态维护、重大项目选址选线优化调整或上图落位的，可对县域用地规划布局进行动态维护；</w:t>
      </w:r>
    </w:p>
    <w:p w:rsidR="00F80ED2" w:rsidRDefault="00C8354C" w:rsidP="00C8354C">
      <w:pPr>
        <w:pStyle w:val="3"/>
        <w:numPr>
          <w:ilvl w:val="0"/>
          <w:numId w:val="8"/>
        </w:numPr>
        <w:ind w:firstLine="600"/>
      </w:pPr>
      <w:r>
        <w:rPr>
          <w:rFonts w:hint="eastAsia"/>
        </w:rPr>
        <w:lastRenderedPageBreak/>
        <w:t>动态维护涉及规模和布局变化等情况及计算过程应在动态维护说明中详细说明。</w:t>
      </w:r>
    </w:p>
    <w:p w:rsidR="00F80ED2" w:rsidRDefault="00C8354C" w:rsidP="00C8354C">
      <w:pPr>
        <w:pStyle w:val="2"/>
        <w:ind w:firstLine="640"/>
      </w:pPr>
      <w:bookmarkStart w:id="9" w:name="_Toc3413"/>
      <w:r>
        <w:rPr>
          <w:rFonts w:hint="eastAsia"/>
        </w:rPr>
        <w:t>规划用途分区动态维护原则</w:t>
      </w:r>
      <w:bookmarkEnd w:id="9"/>
    </w:p>
    <w:p w:rsidR="00F80ED2" w:rsidRDefault="00C8354C" w:rsidP="00C8354C">
      <w:pPr>
        <w:pStyle w:val="3"/>
        <w:numPr>
          <w:ilvl w:val="0"/>
          <w:numId w:val="9"/>
        </w:numPr>
        <w:ind w:firstLine="600"/>
      </w:pPr>
      <w:r>
        <w:rPr>
          <w:rFonts w:hint="eastAsia"/>
        </w:rPr>
        <w:t>根据三条控制线等动态维护成果进行规划用途分区动态维护；</w:t>
      </w:r>
    </w:p>
    <w:p w:rsidR="00F80ED2" w:rsidRDefault="00C8354C" w:rsidP="00C8354C">
      <w:pPr>
        <w:pStyle w:val="3"/>
        <w:ind w:firstLine="600"/>
      </w:pPr>
      <w:r>
        <w:rPr>
          <w:rFonts w:hint="eastAsia"/>
        </w:rPr>
        <w:t>鼓励与相关部门各类空间管理分区相衔接，因地制宜探索空间复合利用，细化规划分区相关空间管控规则；</w:t>
      </w:r>
    </w:p>
    <w:p w:rsidR="00F80ED2" w:rsidRDefault="00C8354C" w:rsidP="00C8354C">
      <w:pPr>
        <w:pStyle w:val="3"/>
        <w:ind w:firstLine="600"/>
      </w:pPr>
      <w:r>
        <w:rPr>
          <w:rFonts w:hint="eastAsia"/>
        </w:rPr>
        <w:t>工业发展区内不允许增设居住生活区；</w:t>
      </w:r>
    </w:p>
    <w:p w:rsidR="00F80ED2" w:rsidRDefault="00C8354C" w:rsidP="00C8354C">
      <w:pPr>
        <w:pStyle w:val="3"/>
        <w:ind w:firstLine="600"/>
      </w:pPr>
      <w:r>
        <w:rPr>
          <w:rFonts w:hint="eastAsia"/>
        </w:rPr>
        <w:t>动态维护涉及规模和布局变化等情况及计算过程应在动态维护说明中详细说明。</w:t>
      </w:r>
    </w:p>
    <w:p w:rsidR="00F80ED2" w:rsidRDefault="00C8354C" w:rsidP="00C8354C">
      <w:pPr>
        <w:pStyle w:val="2"/>
        <w:ind w:firstLine="640"/>
      </w:pPr>
      <w:bookmarkStart w:id="10" w:name="_Toc14977"/>
      <w:r>
        <w:rPr>
          <w:rFonts w:hint="eastAsia"/>
        </w:rPr>
        <w:t>详细规划编制单元划定动态维护原则</w:t>
      </w:r>
      <w:bookmarkEnd w:id="10"/>
    </w:p>
    <w:p w:rsidR="00F80ED2" w:rsidRDefault="00C8354C" w:rsidP="00C8354C">
      <w:pPr>
        <w:ind w:firstLine="600"/>
      </w:pPr>
      <w:r>
        <w:rPr>
          <w:rFonts w:hint="eastAsia"/>
        </w:rPr>
        <w:t>应符合《城镇开发边界内详细规划编制单元划定技术导则（试行）》及《详细规划编制单元划定成果修改说明》，具体要求：</w:t>
      </w:r>
    </w:p>
    <w:p w:rsidR="00F80ED2" w:rsidRDefault="00C8354C" w:rsidP="00C8354C">
      <w:pPr>
        <w:pStyle w:val="3"/>
        <w:numPr>
          <w:ilvl w:val="0"/>
          <w:numId w:val="10"/>
        </w:numPr>
        <w:ind w:firstLine="600"/>
      </w:pPr>
      <w:r>
        <w:rPr>
          <w:rFonts w:hint="eastAsia"/>
        </w:rPr>
        <w:lastRenderedPageBreak/>
        <w:t>城镇开发边界优化调整或动态维护的，单元划定应与最新城镇开发边界保持一致。</w:t>
      </w:r>
    </w:p>
    <w:p w:rsidR="00F80ED2" w:rsidRDefault="00C8354C" w:rsidP="00C8354C">
      <w:pPr>
        <w:pStyle w:val="3"/>
        <w:ind w:firstLine="600"/>
      </w:pPr>
      <w:r>
        <w:rPr>
          <w:rFonts w:hint="eastAsia"/>
        </w:rPr>
        <w:t>涉及公共服务设施、市政公用设施、交通设施、防灾减灾设施等的配建要求，控制线落实要求，应与“城市重要控制线动态维护”、“中心城区用地规划布局动态维护”保持一致。</w:t>
      </w:r>
    </w:p>
    <w:p w:rsidR="00F80ED2" w:rsidRDefault="00C8354C" w:rsidP="00C8354C">
      <w:pPr>
        <w:pStyle w:val="3"/>
        <w:ind w:firstLine="600"/>
      </w:pPr>
      <w:r>
        <w:rPr>
          <w:rFonts w:hint="eastAsia"/>
        </w:rPr>
        <w:t>动态维护涉及指标分解变化情况及计算过程应在动态维护说明中详细说明。</w:t>
      </w:r>
    </w:p>
    <w:p w:rsidR="00F80ED2" w:rsidRDefault="00C8354C" w:rsidP="00C8354C">
      <w:pPr>
        <w:pStyle w:val="3"/>
        <w:ind w:firstLine="600"/>
      </w:pPr>
      <w:r>
        <w:rPr>
          <w:rFonts w:hint="eastAsia"/>
        </w:rPr>
        <w:t>涉及“保护单元（包括生态单元、历史文化保护单元、其他）”类型和范围修改的，为保证单元划定的科学性和合理性，动态维护工作建议征求相关部门意见。</w:t>
      </w:r>
    </w:p>
    <w:p w:rsidR="00F80ED2" w:rsidRDefault="00C8354C" w:rsidP="00C8354C">
      <w:pPr>
        <w:pStyle w:val="2"/>
        <w:ind w:firstLine="640"/>
      </w:pPr>
      <w:bookmarkStart w:id="11" w:name="_Toc27700"/>
      <w:r>
        <w:rPr>
          <w:rFonts w:hint="eastAsia"/>
        </w:rPr>
        <w:t>重点建设项目清单动态维护原则</w:t>
      </w:r>
      <w:bookmarkEnd w:id="11"/>
    </w:p>
    <w:p w:rsidR="00F80ED2" w:rsidRDefault="00C8354C" w:rsidP="00C8354C">
      <w:pPr>
        <w:pStyle w:val="3"/>
        <w:numPr>
          <w:ilvl w:val="0"/>
          <w:numId w:val="11"/>
        </w:numPr>
        <w:ind w:firstLine="600"/>
      </w:pPr>
      <w:r>
        <w:rPr>
          <w:rFonts w:hint="eastAsia"/>
        </w:rPr>
        <w:t>符合国家和自治区关于落实国家战略以及民生和基础设施建设等相关政策要求的项目；</w:t>
      </w:r>
    </w:p>
    <w:p w:rsidR="00F80ED2" w:rsidRDefault="00C8354C" w:rsidP="00C8354C">
      <w:pPr>
        <w:pStyle w:val="3"/>
        <w:numPr>
          <w:ilvl w:val="0"/>
          <w:numId w:val="11"/>
        </w:numPr>
        <w:ind w:firstLine="600"/>
      </w:pPr>
      <w:r>
        <w:rPr>
          <w:rFonts w:hint="eastAsia"/>
        </w:rPr>
        <w:t>符合旗县级以上国民经济与社会发展规划等相关规划的项目；</w:t>
      </w:r>
    </w:p>
    <w:p w:rsidR="00F80ED2" w:rsidRDefault="00C8354C" w:rsidP="00C8354C">
      <w:pPr>
        <w:pStyle w:val="3"/>
        <w:ind w:firstLine="600"/>
      </w:pPr>
      <w:r>
        <w:rPr>
          <w:rFonts w:hint="eastAsia"/>
        </w:rPr>
        <w:t>旗县级以上投资主管部门确认的项目；</w:t>
      </w:r>
    </w:p>
    <w:p w:rsidR="00F80ED2" w:rsidRDefault="00C8354C" w:rsidP="00C8354C">
      <w:pPr>
        <w:pStyle w:val="3"/>
        <w:ind w:firstLine="600"/>
      </w:pPr>
      <w:r>
        <w:rPr>
          <w:rFonts w:hint="eastAsia"/>
        </w:rPr>
        <w:t>符合经批准的相关专项规划的项目；</w:t>
      </w:r>
    </w:p>
    <w:p w:rsidR="00F80ED2" w:rsidRDefault="00C8354C" w:rsidP="00C8354C">
      <w:pPr>
        <w:pStyle w:val="3"/>
        <w:ind w:firstLine="600"/>
      </w:pPr>
      <w:r>
        <w:rPr>
          <w:rFonts w:hint="eastAsia"/>
        </w:rPr>
        <w:lastRenderedPageBreak/>
        <w:t>符合以上要求的项目需提供佐证材料，包括但不限于落实国家和自治区相关政策的重点建设项目（提供政策文件等支撑性材料）、有权限机关出具的批复文件或印发的相关规划（提供批复规划）或政府工作报告明确的具体项目（提供报告</w:t>
      </w:r>
      <w:r>
        <w:rPr>
          <w:rFonts w:hint="eastAsia"/>
        </w:rPr>
        <w:t>+</w:t>
      </w:r>
      <w:r>
        <w:rPr>
          <w:rFonts w:hint="eastAsia"/>
        </w:rPr>
        <w:t>正式文件）、投资主管部门确认的项目清单（提供正式文件</w:t>
      </w:r>
      <w:r>
        <w:rPr>
          <w:rFonts w:hint="eastAsia"/>
        </w:rPr>
        <w:t>+</w:t>
      </w:r>
      <w:r>
        <w:rPr>
          <w:rFonts w:hint="eastAsia"/>
        </w:rPr>
        <w:t>清单）等项目举证材料；</w:t>
      </w:r>
    </w:p>
    <w:p w:rsidR="00F80ED2" w:rsidRDefault="00C8354C" w:rsidP="00C8354C">
      <w:pPr>
        <w:pStyle w:val="3"/>
        <w:ind w:firstLine="600"/>
      </w:pPr>
      <w:r>
        <w:rPr>
          <w:rFonts w:hint="eastAsia"/>
        </w:rPr>
        <w:t>动态维护涉及项目变化情况和依据等应在动态维护说明中详细说明，分别形成新增重点建设项目安排表、原规划重点建设项目安排表（含</w:t>
      </w:r>
      <w:r>
        <w:rPr>
          <w:rFonts w:hint="eastAsia"/>
        </w:rPr>
        <w:t>2025</w:t>
      </w:r>
      <w:r>
        <w:rPr>
          <w:rFonts w:hint="eastAsia"/>
        </w:rPr>
        <w:t>年新增审批重点建设项目安排表）不再实施项目清单、原规划重点建设项目安排表（含</w:t>
      </w:r>
      <w:r>
        <w:rPr>
          <w:rFonts w:hint="eastAsia"/>
        </w:rPr>
        <w:t>2025</w:t>
      </w:r>
      <w:r>
        <w:rPr>
          <w:rFonts w:hint="eastAsia"/>
        </w:rPr>
        <w:t>年新增审批重点建设项目安排表）名称调整变更后重点建设项目安排表。</w:t>
      </w:r>
    </w:p>
    <w:p w:rsidR="00F80ED2" w:rsidRDefault="00C8354C" w:rsidP="00C8354C">
      <w:pPr>
        <w:pStyle w:val="2"/>
        <w:ind w:firstLine="640"/>
      </w:pPr>
      <w:bookmarkStart w:id="12" w:name="_Toc17637"/>
      <w:r>
        <w:rPr>
          <w:rFonts w:hint="eastAsia"/>
        </w:rPr>
        <w:t>其他动态维护原则</w:t>
      </w:r>
      <w:bookmarkEnd w:id="12"/>
    </w:p>
    <w:p w:rsidR="00F80ED2" w:rsidRDefault="00C8354C" w:rsidP="00C8354C">
      <w:pPr>
        <w:pStyle w:val="3"/>
        <w:numPr>
          <w:ilvl w:val="0"/>
          <w:numId w:val="12"/>
        </w:numPr>
        <w:ind w:firstLine="600"/>
      </w:pPr>
      <w:r>
        <w:rPr>
          <w:rFonts w:hint="eastAsia"/>
        </w:rPr>
        <w:t>各地要严格落实《内蒙古自治区人民政府办公厅关于在盟市、旗县（市、区）、苏木乡镇国土空间规划中严格落实基本草原划定成果的通知》（内政办字〔</w:t>
      </w:r>
      <w:r>
        <w:rPr>
          <w:rFonts w:ascii="Times New Roman" w:hAnsi="Times New Roman" w:cs="Times New Roman" w:hint="eastAsia"/>
        </w:rPr>
        <w:t>2026</w:t>
      </w:r>
      <w:r>
        <w:rPr>
          <w:rFonts w:hint="eastAsia"/>
        </w:rPr>
        <w:t>〕</w:t>
      </w:r>
      <w:r>
        <w:rPr>
          <w:rFonts w:ascii="Times New Roman" w:hAnsi="Times New Roman" w:cs="Times New Roman"/>
        </w:rPr>
        <w:t>10</w:t>
      </w:r>
      <w:r>
        <w:rPr>
          <w:rFonts w:hint="eastAsia"/>
        </w:rPr>
        <w:t>号）要求，将自治区基本草原划定成果纳入规划动态维护或规划修改成果中，对基本草原面积和相关图件等进行增补，做好基本草原保护与国土空间规划有效衔接。</w:t>
      </w:r>
    </w:p>
    <w:p w:rsidR="00F80ED2" w:rsidRDefault="00C8354C" w:rsidP="00C8354C">
      <w:pPr>
        <w:pStyle w:val="3"/>
        <w:ind w:firstLine="600"/>
      </w:pPr>
      <w:r>
        <w:rPr>
          <w:rFonts w:hint="eastAsia"/>
        </w:rPr>
        <w:t>动态维护等规划动态调整完善应与全域土地综合整治工作做好衔接；</w:t>
      </w:r>
    </w:p>
    <w:p w:rsidR="00F80ED2" w:rsidRDefault="00C8354C" w:rsidP="00C8354C">
      <w:pPr>
        <w:pStyle w:val="3"/>
        <w:ind w:firstLine="600"/>
      </w:pPr>
      <w:r>
        <w:rPr>
          <w:rFonts w:hint="eastAsia"/>
        </w:rPr>
        <w:lastRenderedPageBreak/>
        <w:t>根据相关部门最新确定的各类管控范围线，进一步更新历史文化保护线、洪涝风险控制线、矿产资源控制线等各类重点控制线；</w:t>
      </w:r>
    </w:p>
    <w:p w:rsidR="00F80ED2" w:rsidRDefault="00C8354C" w:rsidP="00C8354C">
      <w:pPr>
        <w:pStyle w:val="3"/>
        <w:ind w:firstLine="600"/>
      </w:pPr>
      <w:r>
        <w:rPr>
          <w:rFonts w:hint="eastAsia"/>
        </w:rPr>
        <w:t>总体规划中包含的编制专项规划清单，经评估需要修订的，可作为规划动态维护的内容；</w:t>
      </w:r>
    </w:p>
    <w:p w:rsidR="00F80ED2" w:rsidRDefault="00C8354C" w:rsidP="00C8354C">
      <w:pPr>
        <w:pStyle w:val="3"/>
        <w:ind w:firstLine="600"/>
      </w:pPr>
      <w:r>
        <w:rPr>
          <w:rFonts w:hint="eastAsia"/>
        </w:rPr>
        <w:t>苏木乡镇主体功能定位的细化和完善，可纳入旗县级国土空间总体规划动态维护；</w:t>
      </w:r>
    </w:p>
    <w:p w:rsidR="00F80ED2" w:rsidRDefault="00C8354C" w:rsidP="00C8354C">
      <w:pPr>
        <w:pStyle w:val="3"/>
        <w:ind w:firstLine="600"/>
      </w:pPr>
      <w:r>
        <w:rPr>
          <w:rFonts w:hint="eastAsia"/>
        </w:rPr>
        <w:t>对于无法满足以上要求，因工艺改造升级等原因，造成在原址改扩建选址的自治区级及以上产业项目，可局部优化城镇开发边界和永久基本农田保护红线，但需充分论证其原址改扩建选址唯一性；</w:t>
      </w:r>
    </w:p>
    <w:p w:rsidR="00F80ED2" w:rsidRDefault="00C8354C" w:rsidP="00C8354C">
      <w:pPr>
        <w:pStyle w:val="3"/>
        <w:ind w:firstLine="600"/>
      </w:pPr>
      <w:r>
        <w:rPr>
          <w:rFonts w:hint="eastAsia"/>
        </w:rPr>
        <w:t>城镇开发边界内未明确规划用地属性和留白用地等可据实明确规划用地属性和管控规则；</w:t>
      </w:r>
    </w:p>
    <w:p w:rsidR="00F80ED2" w:rsidRDefault="00C8354C" w:rsidP="00C8354C">
      <w:pPr>
        <w:pStyle w:val="3"/>
        <w:ind w:firstLine="600"/>
      </w:pPr>
      <w:r>
        <w:rPr>
          <w:rFonts w:hint="eastAsia"/>
        </w:rPr>
        <w:t>因地形差异、勘界定桩、权属范围街接、比例尺精度、遥感影像解译误差等技术原因，可对三条控制线、城市重要控制线、规划分区等进行技术修正；</w:t>
      </w:r>
    </w:p>
    <w:p w:rsidR="00F80ED2" w:rsidRDefault="00C8354C" w:rsidP="00C8354C">
      <w:pPr>
        <w:pStyle w:val="3"/>
        <w:ind w:firstLine="600"/>
      </w:pPr>
      <w:r>
        <w:rPr>
          <w:rFonts w:hint="eastAsia"/>
        </w:rPr>
        <w:t>《耕地保护和国土绿化专项规划》确定的耕地补充空间和国土绿化空间，原则上不得与城镇开发边界重叠；</w:t>
      </w:r>
    </w:p>
    <w:p w:rsidR="00F80ED2" w:rsidRDefault="00C8354C" w:rsidP="00C8354C">
      <w:pPr>
        <w:pStyle w:val="3"/>
        <w:ind w:firstLine="600"/>
      </w:pPr>
      <w:r>
        <w:rPr>
          <w:rFonts w:hint="eastAsia"/>
        </w:rPr>
        <w:t>以上动态维护涉及规划变化情况及计算过程等应在动态维护说明中详细说明。</w:t>
      </w:r>
    </w:p>
    <w:p w:rsidR="00F80ED2" w:rsidRDefault="00C8354C" w:rsidP="00C8354C">
      <w:pPr>
        <w:pStyle w:val="1"/>
        <w:ind w:firstLine="723"/>
      </w:pPr>
      <w:bookmarkStart w:id="13" w:name="_Toc25894"/>
      <w:r>
        <w:rPr>
          <w:rFonts w:hint="eastAsia"/>
        </w:rPr>
        <w:t>规划实施评估结论</w:t>
      </w:r>
      <w:bookmarkEnd w:id="13"/>
    </w:p>
    <w:p w:rsidR="00F80ED2" w:rsidRDefault="00C8354C" w:rsidP="00C8354C">
      <w:pPr>
        <w:pStyle w:val="2"/>
        <w:numPr>
          <w:ilvl w:val="0"/>
          <w:numId w:val="13"/>
        </w:numPr>
        <w:ind w:firstLine="640"/>
      </w:pPr>
      <w:bookmarkStart w:id="14" w:name="_Toc27222"/>
      <w:r>
        <w:rPr>
          <w:rFonts w:hint="eastAsia"/>
        </w:rPr>
        <w:t>阶段性成效</w:t>
      </w:r>
      <w:bookmarkEnd w:id="14"/>
    </w:p>
    <w:p w:rsidR="00F80ED2" w:rsidRDefault="00C8354C" w:rsidP="00C8354C">
      <w:pPr>
        <w:widowControl/>
        <w:ind w:firstLine="600"/>
        <w:jc w:val="left"/>
      </w:pPr>
      <w:r>
        <w:lastRenderedPageBreak/>
        <w:t>战略定位，节点功能初显。</w:t>
      </w:r>
      <w:r>
        <w:t>2024</w:t>
      </w:r>
      <w:r>
        <w:t>年，宁城县以</w:t>
      </w:r>
      <w:r>
        <w:t>“</w:t>
      </w:r>
      <w:r>
        <w:t>五大任务</w:t>
      </w:r>
      <w:r>
        <w:t>”</w:t>
      </w:r>
      <w:r>
        <w:t>和</w:t>
      </w:r>
      <w:r>
        <w:t>“</w:t>
      </w:r>
      <w:r>
        <w:t>模范自治区</w:t>
      </w:r>
      <w:r>
        <w:t>”</w:t>
      </w:r>
      <w:r>
        <w:t>建设为统领，升级战略定位为</w:t>
      </w:r>
      <w:r>
        <w:t>“</w:t>
      </w:r>
      <w:r>
        <w:t>京津冀协同发展重要节点、绿色工业强县、特色农业示范区和全域旅游目的地</w:t>
      </w:r>
      <w:r>
        <w:t>”</w:t>
      </w:r>
      <w:r>
        <w:t>，战略重心聚焦工业集群提速，打造钢铁冶金等三个百亿级集群，力争工业产值增长</w:t>
      </w:r>
      <w:r>
        <w:t>33%</w:t>
      </w:r>
      <w:r>
        <w:t>、新能源融合、区域协同拓展；产业路径同步优化，农业推进</w:t>
      </w:r>
      <w:r>
        <w:t>“</w:t>
      </w:r>
      <w:r>
        <w:t>全国现代设施农业创新引领区</w:t>
      </w:r>
      <w:r>
        <w:t>”</w:t>
      </w:r>
      <w:r>
        <w:t>建设，旅游业以</w:t>
      </w:r>
      <w:r>
        <w:t>“</w:t>
      </w:r>
      <w:r>
        <w:t>燕山北麓・百里画廊</w:t>
      </w:r>
      <w:r>
        <w:t>”</w:t>
      </w:r>
      <w:r>
        <w:t>推进道须沟</w:t>
      </w:r>
      <w:r>
        <w:t>5A</w:t>
      </w:r>
      <w:r>
        <w:t>创建，同时京津冀协同中达成农畜产品合作，工业增加值增长，新能源百万千瓦级光伏基地投</w:t>
      </w:r>
      <w:r>
        <w:t>3.5</w:t>
      </w:r>
      <w:r>
        <w:t>亿元，旅游业收入增</w:t>
      </w:r>
      <w:r>
        <w:t>30%</w:t>
      </w:r>
      <w:r>
        <w:t>，初步形成</w:t>
      </w:r>
      <w:r>
        <w:t>“</w:t>
      </w:r>
      <w:r>
        <w:t>工业强基、农业固本、文旅赋能</w:t>
      </w:r>
      <w:r>
        <w:t>”</w:t>
      </w:r>
      <w:r>
        <w:t>格局；</w:t>
      </w:r>
    </w:p>
    <w:p w:rsidR="00F80ED2" w:rsidRDefault="00C8354C" w:rsidP="00C8354C">
      <w:pPr>
        <w:widowControl/>
        <w:ind w:firstLine="600"/>
        <w:jc w:val="left"/>
      </w:pPr>
      <w:r>
        <w:t>底线管控，红线</w:t>
      </w:r>
      <w:r>
        <w:t>“</w:t>
      </w:r>
      <w:r>
        <w:t>零突破，有效保障国土空间安全底线。生态保护红线面积保持稳定，重要生态空间得到有效保护。</w:t>
      </w:r>
      <w:r>
        <w:t>2024</w:t>
      </w:r>
      <w:r>
        <w:t>年持续推进生态环境治理，深入实施面源污染防治，畜禽粪污综合利用率稳定在</w:t>
      </w:r>
      <w:r>
        <w:t>87%</w:t>
      </w:r>
      <w:r>
        <w:t>以上，秸秆综合利用率达到</w:t>
      </w:r>
      <w:r>
        <w:t>93%</w:t>
      </w:r>
      <w:r>
        <w:t>，残膜捡拾率达到</w:t>
      </w:r>
      <w:r>
        <w:t>93%</w:t>
      </w:r>
      <w:r>
        <w:t>。森林覆盖率维持稳定，生态系统服务功能有所提升。严格执行耕地占补平衡制度，</w:t>
      </w:r>
      <w:r>
        <w:t>2024</w:t>
      </w:r>
      <w:r>
        <w:t>年粮食播种面积比上年增加；粮食产量增长</w:t>
      </w:r>
      <w:r>
        <w:t>3.7%</w:t>
      </w:r>
      <w:r>
        <w:t>。高标准农田建设稳步推进，耕地质量逐步提升。城镇开发边界执行情况良好，建设用地总规模控制在规划目标范围内。</w:t>
      </w:r>
      <w:r>
        <w:t>2024</w:t>
      </w:r>
      <w:r>
        <w:t>年建设用地规模扩张得到有效控制，城乡建设用地结构更趋合理。</w:t>
      </w:r>
    </w:p>
    <w:p w:rsidR="00F80ED2" w:rsidRDefault="00C8354C" w:rsidP="00C8354C">
      <w:pPr>
        <w:widowControl/>
        <w:ind w:firstLine="600"/>
        <w:jc w:val="left"/>
      </w:pPr>
      <w:r>
        <w:t>空间布局，中心集聚增强，区域协调发展和城乡统筹发展格局基本形成。</w:t>
      </w:r>
      <w:r>
        <w:t>2024</w:t>
      </w:r>
      <w:r>
        <w:t>年宁城县中心城区辐射带动能力增强，教育</w:t>
      </w:r>
      <w:r>
        <w:lastRenderedPageBreak/>
        <w:t>基础设施提升项目、城区绿地公园建设项目顺利实施。积极参与区域分工合作，与周边地区的交通连接、产业协作和生态共治进一步加强。交通基础设施互联互通水平提升，物流通道建设加快。区域产业协作深化，区域产业链供应链协同效率提高。形成</w:t>
      </w:r>
      <w:r>
        <w:t>“</w:t>
      </w:r>
      <w:r>
        <w:t>一核三带多节点</w:t>
      </w:r>
      <w:r>
        <w:t>”</w:t>
      </w:r>
      <w:r>
        <w:t>产业布局（一核为中心城区，三带含钢铁冶金、新型化工、特色农产加工），猫砂产业年产量破</w:t>
      </w:r>
      <w:r>
        <w:t>200</w:t>
      </w:r>
      <w:r>
        <w:t>万吨成全国重要基地，产业链后端与京东物流、中农联等合作建物流项目，与</w:t>
      </w:r>
      <w:r>
        <w:t>20</w:t>
      </w:r>
      <w:r>
        <w:t>余家企业达成合作，实现产业集群化发展。</w:t>
      </w:r>
    </w:p>
    <w:p w:rsidR="00F80ED2" w:rsidRDefault="00C8354C" w:rsidP="00C8354C">
      <w:pPr>
        <w:pStyle w:val="2"/>
        <w:numPr>
          <w:ilvl w:val="0"/>
          <w:numId w:val="13"/>
        </w:numPr>
        <w:ind w:firstLine="640"/>
      </w:pPr>
      <w:bookmarkStart w:id="15" w:name="_Toc14879"/>
      <w:r>
        <w:rPr>
          <w:rFonts w:hint="eastAsia"/>
        </w:rPr>
        <w:t>问题和风险</w:t>
      </w:r>
      <w:bookmarkEnd w:id="15"/>
    </w:p>
    <w:p w:rsidR="00F80ED2" w:rsidRDefault="00C8354C" w:rsidP="00C8354C">
      <w:pPr>
        <w:pStyle w:val="3"/>
        <w:numPr>
          <w:ilvl w:val="0"/>
          <w:numId w:val="14"/>
        </w:numPr>
        <w:ind w:firstLine="600"/>
      </w:pPr>
      <w:r>
        <w:rPr>
          <w:rFonts w:hint="eastAsia"/>
        </w:rPr>
        <w:t>生态环境防控不足</w:t>
      </w:r>
    </w:p>
    <w:p w:rsidR="00F80ED2" w:rsidRDefault="00C8354C" w:rsidP="00C8354C">
      <w:pPr>
        <w:ind w:firstLine="600"/>
      </w:pPr>
      <w:r>
        <w:t>生态环境领域仍存在明显短板，人工造林及退化林修复区域存在管护断层，部分新植苗木存活率未达预期，蚂蚁山等治理区植被单一导致生态系统抗干扰能力较弱；虽违规用火量有所下降，但林区输配电设施隐患排查覆盖率仅</w:t>
      </w:r>
      <w:r>
        <w:t>80%</w:t>
      </w:r>
      <w:r>
        <w:t>，黑里河等偏远区域视频监控盲区达</w:t>
      </w:r>
      <w:r>
        <w:t>15%</w:t>
      </w:r>
      <w:r>
        <w:t>，高火险期应急响应效率仍需提升。</w:t>
      </w:r>
    </w:p>
    <w:p w:rsidR="00F80ED2" w:rsidRDefault="00C8354C" w:rsidP="00C8354C">
      <w:pPr>
        <w:pStyle w:val="3"/>
        <w:ind w:firstLine="600"/>
      </w:pPr>
      <w:r>
        <w:t>综合交通路网管护滞后</w:t>
      </w:r>
    </w:p>
    <w:p w:rsidR="00F80ED2" w:rsidRDefault="00C8354C" w:rsidP="00C8354C">
      <w:pPr>
        <w:ind w:firstLine="600"/>
      </w:pPr>
      <w:r>
        <w:rPr>
          <w:rFonts w:hint="eastAsia"/>
        </w:rPr>
        <w:t>2024</w:t>
      </w:r>
      <w:r>
        <w:rPr>
          <w:rFonts w:hint="eastAsia"/>
        </w:rPr>
        <w:t>年宁城县综合交通建设成效集中体现在农村路网延伸与智慧交通布局上，交通管护与衔接环节的短板较为明显。县域</w:t>
      </w:r>
      <w:r>
        <w:rPr>
          <w:rFonts w:hint="eastAsia"/>
        </w:rPr>
        <w:t>60%</w:t>
      </w:r>
      <w:r>
        <w:rPr>
          <w:rFonts w:hint="eastAsia"/>
        </w:rPr>
        <w:t>以上农村公路未纳入常态化养护，新建道路半年内出现破损的占比达</w:t>
      </w:r>
      <w:r>
        <w:rPr>
          <w:rFonts w:hint="eastAsia"/>
        </w:rPr>
        <w:t>12%</w:t>
      </w:r>
      <w:r>
        <w:rPr>
          <w:rFonts w:hint="eastAsia"/>
        </w:rPr>
        <w:t>，</w:t>
      </w:r>
      <w:r>
        <w:rPr>
          <w:rFonts w:hint="eastAsia"/>
        </w:rPr>
        <w:t>X221</w:t>
      </w:r>
      <w:r>
        <w:rPr>
          <w:rFonts w:hint="eastAsia"/>
        </w:rPr>
        <w:t>线等干线公路超限运输管控存在夜间盲区，导致公路寿命缩短</w:t>
      </w:r>
      <w:r>
        <w:rPr>
          <w:rFonts w:hint="eastAsia"/>
        </w:rPr>
        <w:t>30%</w:t>
      </w:r>
      <w:r>
        <w:rPr>
          <w:rFonts w:hint="eastAsia"/>
        </w:rPr>
        <w:t>；城乡交通衔接效能不足，乡镇至县城缺乏直达公交，群众出行平均通勤时间超</w:t>
      </w:r>
      <w:r>
        <w:rPr>
          <w:rFonts w:hint="eastAsia"/>
        </w:rPr>
        <w:t>90</w:t>
      </w:r>
      <w:r>
        <w:rPr>
          <w:rFonts w:hint="eastAsia"/>
        </w:rPr>
        <w:t>分钟，城区停车场缺</w:t>
      </w:r>
      <w:r>
        <w:rPr>
          <w:rFonts w:hint="eastAsia"/>
        </w:rPr>
        <w:lastRenderedPageBreak/>
        <w:t>口大，老旧小区“停车难”问题突出。</w:t>
      </w:r>
    </w:p>
    <w:p w:rsidR="00F80ED2" w:rsidRDefault="00C8354C" w:rsidP="00C8354C">
      <w:pPr>
        <w:pStyle w:val="3"/>
        <w:ind w:firstLine="600"/>
      </w:pPr>
      <w:r>
        <w:t>市政公用设施改造覆盖不均</w:t>
      </w:r>
    </w:p>
    <w:p w:rsidR="00F80ED2" w:rsidRDefault="00C8354C" w:rsidP="00C8354C">
      <w:pPr>
        <w:ind w:firstLine="600"/>
      </w:pPr>
      <w:r>
        <w:t>宁城县</w:t>
      </w:r>
      <w:r>
        <w:t>2024</w:t>
      </w:r>
      <w:r>
        <w:t>年以改造攻坚与管理提质为重点，但设施覆盖不均与老旧短板问题仍较突出。乡村市政配套明显滞后，部分乡镇集中供热覆盖率仅</w:t>
      </w:r>
      <w:r>
        <w:t>60%</w:t>
      </w:r>
      <w:r>
        <w:t>，居民冬季仍依赖散煤取暖；</w:t>
      </w:r>
      <w:r>
        <w:t>80%</w:t>
      </w:r>
      <w:r>
        <w:t>行政村未建成污水集中处理设施，农村自来水普及率</w:t>
      </w:r>
      <w:r>
        <w:t>74.80%</w:t>
      </w:r>
      <w:r>
        <w:t>；农厕改造后因管护缺失导致</w:t>
      </w:r>
      <w:r>
        <w:t>20%</w:t>
      </w:r>
      <w:r>
        <w:t>以上闲置，</w:t>
      </w:r>
      <w:r>
        <w:t>5G</w:t>
      </w:r>
      <w:r>
        <w:t>基站仅覆盖乡镇政府驻地，农村网络速率不足城区的</w:t>
      </w:r>
      <w:r>
        <w:t>50%</w:t>
      </w:r>
      <w:r>
        <w:t>。</w:t>
      </w:r>
    </w:p>
    <w:p w:rsidR="00F80ED2" w:rsidRDefault="00C8354C" w:rsidP="00C8354C">
      <w:pPr>
        <w:pStyle w:val="3"/>
        <w:ind w:firstLine="600"/>
      </w:pPr>
      <w:r>
        <w:t>公共服务资源均衡性不足</w:t>
      </w:r>
    </w:p>
    <w:p w:rsidR="00F80ED2" w:rsidRDefault="00C8354C" w:rsidP="00C8354C">
      <w:pPr>
        <w:ind w:firstLine="600"/>
      </w:pPr>
      <w:r>
        <w:t>宁城县</w:t>
      </w:r>
      <w:r>
        <w:t>2024</w:t>
      </w:r>
      <w:r>
        <w:t>年重点推进资源扩容与网络完善，医疗设施实现梯度升级，公共服务均衡性不足的问题依然突出。城乡医疗差距显著，偏远乡镇卫生院仍缺乏</w:t>
      </w:r>
      <w:r>
        <w:t>CT</w:t>
      </w:r>
      <w:r>
        <w:t>等基础设备，县医院专科医生配比不足</w:t>
      </w:r>
      <w:r>
        <w:t>0.3</w:t>
      </w:r>
      <w:r>
        <w:t>人</w:t>
      </w:r>
      <w:r>
        <w:t>/</w:t>
      </w:r>
      <w:r>
        <w:t>千人，优质教育资源则集中在天义城区，乡村学校师资流失率达</w:t>
      </w:r>
      <w:r>
        <w:t>8%</w:t>
      </w:r>
      <w:r>
        <w:t>；服务覆盖还存在盲区，村组级供水管网改造滞后，</w:t>
      </w:r>
      <w:r>
        <w:t>12</w:t>
      </w:r>
      <w:r>
        <w:t>个行政村仍采用分散式供水，部分易地搬迁安置区缺乏养老、托育配套设施，导致</w:t>
      </w:r>
      <w:r>
        <w:t>3</w:t>
      </w:r>
      <w:r>
        <w:t>万余农村老人面临</w:t>
      </w:r>
      <w:r>
        <w:t>“</w:t>
      </w:r>
      <w:r>
        <w:t>就医难、照护难</w:t>
      </w:r>
      <w:r>
        <w:t>”</w:t>
      </w:r>
      <w:r>
        <w:t>问题。</w:t>
      </w:r>
    </w:p>
    <w:p w:rsidR="00F80ED2" w:rsidRDefault="00C8354C" w:rsidP="00C8354C">
      <w:pPr>
        <w:pStyle w:val="3"/>
        <w:ind w:firstLine="600"/>
      </w:pPr>
      <w:r>
        <w:t>城市空间品质均衡性不足</w:t>
      </w:r>
    </w:p>
    <w:p w:rsidR="00F80ED2" w:rsidRDefault="00C8354C" w:rsidP="00C8354C">
      <w:pPr>
        <w:ind w:firstLine="600"/>
      </w:pPr>
      <w:r>
        <w:rPr>
          <w:rFonts w:hint="eastAsia"/>
        </w:rPr>
        <w:t>（</w:t>
      </w:r>
      <w:r>
        <w:rPr>
          <w:rFonts w:hint="eastAsia"/>
        </w:rPr>
        <w:t>1</w:t>
      </w:r>
      <w:r>
        <w:rPr>
          <w:rFonts w:hint="eastAsia"/>
        </w:rPr>
        <w:t>）</w:t>
      </w:r>
      <w:r>
        <w:t>公园绿地</w:t>
      </w:r>
    </w:p>
    <w:p w:rsidR="00F80ED2" w:rsidRDefault="00C8354C" w:rsidP="00C8354C">
      <w:pPr>
        <w:ind w:firstLine="600"/>
      </w:pPr>
      <w:r>
        <w:t>全年建成体育公园、热水街口袋公园等绿地项目</w:t>
      </w:r>
      <w:r>
        <w:rPr>
          <w:rFonts w:hint="eastAsia"/>
        </w:rPr>
        <w:t>。随着国土绿化工作深入推进，通过中心城区添绿、新开发区域规划建绿、城郊造林扩绿等多种形式，推动城市绿化快速发展。</w:t>
      </w:r>
      <w:r>
        <w:rPr>
          <w:rFonts w:hint="eastAsia"/>
        </w:rPr>
        <w:t>2024</w:t>
      </w:r>
      <w:r>
        <w:rPr>
          <w:rFonts w:hint="eastAsia"/>
        </w:rPr>
        <w:t>年建</w:t>
      </w:r>
      <w:r>
        <w:rPr>
          <w:rFonts w:hint="eastAsia"/>
        </w:rPr>
        <w:lastRenderedPageBreak/>
        <w:t>成区人均公园绿地面积</w:t>
      </w:r>
      <w:r>
        <w:rPr>
          <w:rFonts w:hint="eastAsia"/>
        </w:rPr>
        <w:t>2.28</w:t>
      </w:r>
      <w:r>
        <w:rPr>
          <w:rFonts w:hint="eastAsia"/>
        </w:rPr>
        <w:t>平方米，公园绿地、广场用地步行五分钟覆盖率为</w:t>
      </w:r>
      <w:r>
        <w:rPr>
          <w:rFonts w:hint="eastAsia"/>
        </w:rPr>
        <w:t>35.18%</w:t>
      </w:r>
      <w:r>
        <w:rPr>
          <w:rFonts w:hint="eastAsia"/>
        </w:rPr>
        <w:t>，城区内绿地主要为大型公共绿地和广场为宁城县市民公园、中京广场、中京体育公园等，在城区南部公园绿地、广场覆盖率不足，规划中需重点考虑增设。</w:t>
      </w:r>
    </w:p>
    <w:p w:rsidR="00F80ED2" w:rsidRDefault="00C8354C" w:rsidP="00C8354C">
      <w:pPr>
        <w:ind w:firstLine="600"/>
      </w:pPr>
      <w:r>
        <w:rPr>
          <w:rFonts w:hint="eastAsia"/>
        </w:rPr>
        <w:t>目前由于公园场地空间受限、娱乐设施不足，户外公园绿地使用率较高，但考虑受气候条件制约，宁城县冬季室外寒冷而漫长，考虑给建成区配套小型健身广场、口袋公园等更适宜满足步行可达的街头绿地。</w:t>
      </w:r>
    </w:p>
    <w:p w:rsidR="00F80ED2" w:rsidRDefault="00C8354C" w:rsidP="00C8354C">
      <w:pPr>
        <w:ind w:firstLine="600"/>
        <w:rPr>
          <w:rFonts w:ascii="黑体" w:eastAsia="黑体" w:hAnsi="黑体" w:cs="黑体"/>
          <w:sz w:val="32"/>
          <w:szCs w:val="32"/>
        </w:rPr>
      </w:pPr>
      <w:r>
        <w:rPr>
          <w:rFonts w:hint="eastAsia"/>
          <w:noProof/>
        </w:rPr>
        <w:drawing>
          <wp:inline distT="0" distB="0" distL="114300" distR="114300">
            <wp:extent cx="5233670" cy="3271520"/>
            <wp:effectExtent l="0" t="0" r="5080" b="5080"/>
            <wp:docPr id="19" name="图片 19" descr="11公园绿地、广场步行5分钟覆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1公园绿地、广场步行5分钟覆盖率"/>
                    <pic:cNvPicPr>
                      <a:picLocks noChangeAspect="1"/>
                    </pic:cNvPicPr>
                  </pic:nvPicPr>
                  <pic:blipFill>
                    <a:blip r:embed="rId15"/>
                    <a:srcRect l="1328" t="6865" r="-833" b="5157"/>
                    <a:stretch>
                      <a:fillRect/>
                    </a:stretch>
                  </pic:blipFill>
                  <pic:spPr>
                    <a:xfrm>
                      <a:off x="0" y="0"/>
                      <a:ext cx="5233670" cy="3271520"/>
                    </a:xfrm>
                    <a:prstGeom prst="rect">
                      <a:avLst/>
                    </a:prstGeom>
                  </pic:spPr>
                </pic:pic>
              </a:graphicData>
            </a:graphic>
          </wp:inline>
        </w:drawing>
      </w:r>
    </w:p>
    <w:p w:rsidR="00F80ED2" w:rsidRDefault="00C8354C" w:rsidP="00C8354C">
      <w:pPr>
        <w:pStyle w:val="a6"/>
        <w:spacing w:before="156" w:after="156"/>
      </w:pPr>
      <w:r>
        <w:rPr>
          <w:rFonts w:hint="eastAsia"/>
        </w:rPr>
        <w:t>城区公园绿地、广场用地步行五分钟覆盖范围</w:t>
      </w:r>
    </w:p>
    <w:p w:rsidR="00F80ED2" w:rsidRDefault="00C8354C" w:rsidP="00C8354C">
      <w:pPr>
        <w:ind w:firstLine="600"/>
      </w:pPr>
      <w:r>
        <w:rPr>
          <w:rFonts w:hint="eastAsia"/>
        </w:rPr>
        <w:t>（</w:t>
      </w:r>
      <w:r>
        <w:rPr>
          <w:rFonts w:hint="eastAsia"/>
        </w:rPr>
        <w:t>2</w:t>
      </w:r>
      <w:r>
        <w:rPr>
          <w:rFonts w:hint="eastAsia"/>
        </w:rPr>
        <w:t>）医疗卫生</w:t>
      </w:r>
    </w:p>
    <w:p w:rsidR="00F80ED2" w:rsidRDefault="00C8354C" w:rsidP="00C8354C">
      <w:pPr>
        <w:ind w:firstLine="600"/>
      </w:pPr>
      <w:r>
        <w:rPr>
          <w:rFonts w:hint="eastAsia"/>
        </w:rPr>
        <w:t>各级医疗设施分布相对集中于中部区域，城市周边医疗服务设施配置有待进一步加强。以打造区域医疗中心为目标，天义镇现有医院</w:t>
      </w:r>
      <w:r>
        <w:rPr>
          <w:rFonts w:hint="eastAsia"/>
        </w:rPr>
        <w:t>3</w:t>
      </w:r>
      <w:r>
        <w:rPr>
          <w:rFonts w:hint="eastAsia"/>
        </w:rPr>
        <w:t>个综合医院，主要有宁城县中心医院、宁城县新城医院、宁城县中医蒙医医院，同时还包含妇幼保健，社区卫生服务</w:t>
      </w:r>
      <w:r>
        <w:rPr>
          <w:rFonts w:hint="eastAsia"/>
        </w:rPr>
        <w:lastRenderedPageBreak/>
        <w:t>中心，社区卫生服务站等多种医疗形式设施。二级及以上等级医院</w:t>
      </w:r>
      <w:r>
        <w:rPr>
          <w:rFonts w:hint="eastAsia"/>
        </w:rPr>
        <w:t>2</w:t>
      </w:r>
      <w:r>
        <w:rPr>
          <w:rFonts w:hint="eastAsia"/>
        </w:rPr>
        <w:t>千米覆盖率为</w:t>
      </w:r>
      <w:r>
        <w:rPr>
          <w:rFonts w:hint="eastAsia"/>
        </w:rPr>
        <w:t>75.37%</w:t>
      </w:r>
      <w:r>
        <w:rPr>
          <w:rFonts w:hint="eastAsia"/>
        </w:rPr>
        <w:t>，覆盖率较高；社区卫生服务设施步行</w:t>
      </w:r>
      <w:r>
        <w:rPr>
          <w:rFonts w:hint="eastAsia"/>
        </w:rPr>
        <w:t>15</w:t>
      </w:r>
      <w:r>
        <w:rPr>
          <w:rFonts w:hint="eastAsia"/>
        </w:rPr>
        <w:t>分钟覆盖率为</w:t>
      </w:r>
      <w:r>
        <w:rPr>
          <w:rFonts w:hint="eastAsia"/>
        </w:rPr>
        <w:t>55.41%</w:t>
      </w:r>
      <w:r>
        <w:rPr>
          <w:rFonts w:hint="eastAsia"/>
        </w:rPr>
        <w:t>，每千人口医疗卫生机构床位数</w:t>
      </w:r>
      <w:r>
        <w:rPr>
          <w:rFonts w:hint="eastAsia"/>
        </w:rPr>
        <w:t>9.9</w:t>
      </w:r>
      <w:r>
        <w:rPr>
          <w:rFonts w:hint="eastAsia"/>
        </w:rPr>
        <w:t>张。</w:t>
      </w:r>
    </w:p>
    <w:p w:rsidR="00F80ED2" w:rsidRDefault="00C8354C">
      <w:pPr>
        <w:ind w:firstLineChars="0" w:firstLine="0"/>
        <w:jc w:val="center"/>
        <w:rPr>
          <w:rFonts w:ascii="仿宋_GB2312" w:eastAsia="仿宋_GB2312"/>
        </w:rPr>
      </w:pPr>
      <w:r>
        <w:rPr>
          <w:rFonts w:ascii="仿宋_GB2312" w:eastAsia="仿宋_GB2312" w:hAnsi="仿宋_GB2312" w:hint="eastAsia"/>
          <w:noProof/>
          <w:kern w:val="0"/>
          <w:sz w:val="24"/>
          <w:szCs w:val="32"/>
        </w:rPr>
        <w:drawing>
          <wp:inline distT="0" distB="0" distL="114300" distR="114300">
            <wp:extent cx="4321810" cy="2746375"/>
            <wp:effectExtent l="0" t="0" r="2540" b="15875"/>
            <wp:docPr id="20" name="图片 20" descr="03二级及以上等级医院2千米覆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3二级及以上等级医院2千米覆盖率"/>
                    <pic:cNvPicPr>
                      <a:picLocks noChangeAspect="1"/>
                    </pic:cNvPicPr>
                  </pic:nvPicPr>
                  <pic:blipFill>
                    <a:blip r:embed="rId16"/>
                    <a:srcRect l="410" t="6592" r="1421" b="5181"/>
                    <a:stretch>
                      <a:fillRect/>
                    </a:stretch>
                  </pic:blipFill>
                  <pic:spPr>
                    <a:xfrm>
                      <a:off x="0" y="0"/>
                      <a:ext cx="4321810" cy="2746375"/>
                    </a:xfrm>
                    <a:prstGeom prst="rect">
                      <a:avLst/>
                    </a:prstGeom>
                  </pic:spPr>
                </pic:pic>
              </a:graphicData>
            </a:graphic>
          </wp:inline>
        </w:drawing>
      </w:r>
    </w:p>
    <w:p w:rsidR="00F80ED2" w:rsidRDefault="00C8354C" w:rsidP="00C8354C">
      <w:pPr>
        <w:pStyle w:val="a6"/>
        <w:spacing w:before="156" w:after="156"/>
      </w:pPr>
      <w:r>
        <w:rPr>
          <w:rFonts w:hint="eastAsia"/>
        </w:rPr>
        <w:t>城区二级及以上等级医院</w:t>
      </w:r>
      <w:r>
        <w:rPr>
          <w:rFonts w:hint="eastAsia"/>
        </w:rPr>
        <w:t>2</w:t>
      </w:r>
      <w:r>
        <w:rPr>
          <w:rFonts w:hint="eastAsia"/>
        </w:rPr>
        <w:t>千米覆盖范围</w:t>
      </w:r>
    </w:p>
    <w:p w:rsidR="00F80ED2" w:rsidRDefault="00F80ED2" w:rsidP="00C8354C">
      <w:pPr>
        <w:pStyle w:val="a6"/>
        <w:spacing w:before="156" w:after="156"/>
      </w:pPr>
    </w:p>
    <w:p w:rsidR="00F80ED2" w:rsidRDefault="00C8354C">
      <w:pPr>
        <w:tabs>
          <w:tab w:val="left" w:pos="2560"/>
        </w:tabs>
        <w:ind w:firstLineChars="0" w:firstLine="0"/>
        <w:jc w:val="center"/>
        <w:rPr>
          <w:rFonts w:ascii="仿宋_GB2312" w:eastAsia="仿宋_GB2312" w:hAnsi="仿宋_GB2312"/>
          <w:kern w:val="0"/>
          <w:sz w:val="24"/>
          <w:szCs w:val="32"/>
          <w:lang/>
        </w:rPr>
      </w:pPr>
      <w:r>
        <w:rPr>
          <w:rFonts w:ascii="仿宋_GB2312" w:eastAsia="仿宋_GB2312" w:hAnsi="仿宋_GB2312" w:hint="eastAsia"/>
          <w:noProof/>
          <w:kern w:val="0"/>
          <w:sz w:val="24"/>
          <w:szCs w:val="32"/>
        </w:rPr>
        <w:drawing>
          <wp:inline distT="0" distB="0" distL="114300" distR="114300">
            <wp:extent cx="4333875" cy="2768600"/>
            <wp:effectExtent l="0" t="0" r="9525" b="12700"/>
            <wp:docPr id="21" name="图片 21" descr="05社区卫生服务设施步行15分钟覆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5社区卫生服务设施步行15分钟覆盖率"/>
                    <pic:cNvPicPr>
                      <a:picLocks noChangeAspect="1"/>
                    </pic:cNvPicPr>
                  </pic:nvPicPr>
                  <pic:blipFill>
                    <a:blip r:embed="rId17"/>
                    <a:srcRect l="1038" t="6861" r="1069" b="4691"/>
                    <a:stretch>
                      <a:fillRect/>
                    </a:stretch>
                  </pic:blipFill>
                  <pic:spPr>
                    <a:xfrm>
                      <a:off x="0" y="0"/>
                      <a:ext cx="4333875" cy="2768600"/>
                    </a:xfrm>
                    <a:prstGeom prst="rect">
                      <a:avLst/>
                    </a:prstGeom>
                  </pic:spPr>
                </pic:pic>
              </a:graphicData>
            </a:graphic>
          </wp:inline>
        </w:drawing>
      </w:r>
    </w:p>
    <w:p w:rsidR="00F80ED2" w:rsidRDefault="00C8354C" w:rsidP="00C8354C">
      <w:pPr>
        <w:pStyle w:val="a6"/>
        <w:spacing w:before="156" w:after="156"/>
      </w:pPr>
      <w:r>
        <w:rPr>
          <w:rFonts w:hint="eastAsia"/>
        </w:rPr>
        <w:t>城区社区卫生服务设施步行</w:t>
      </w:r>
      <w:r>
        <w:rPr>
          <w:rFonts w:hint="eastAsia"/>
        </w:rPr>
        <w:t>15</w:t>
      </w:r>
      <w:r>
        <w:rPr>
          <w:rFonts w:hint="eastAsia"/>
        </w:rPr>
        <w:t>分钟覆盖范围</w:t>
      </w:r>
    </w:p>
    <w:p w:rsidR="00F80ED2" w:rsidRDefault="00C8354C" w:rsidP="00C8354C">
      <w:pPr>
        <w:ind w:firstLine="600"/>
      </w:pPr>
      <w:r>
        <w:rPr>
          <w:rFonts w:hint="eastAsia"/>
        </w:rPr>
        <w:t>（</w:t>
      </w:r>
      <w:r>
        <w:rPr>
          <w:rFonts w:hint="eastAsia"/>
        </w:rPr>
        <w:t>3</w:t>
      </w:r>
      <w:r>
        <w:rPr>
          <w:rFonts w:hint="eastAsia"/>
        </w:rPr>
        <w:t>）教育设施</w:t>
      </w:r>
    </w:p>
    <w:p w:rsidR="00F80ED2" w:rsidRDefault="00C8354C" w:rsidP="00C8354C">
      <w:pPr>
        <w:ind w:firstLine="600"/>
      </w:pPr>
      <w:r>
        <w:rPr>
          <w:rFonts w:hint="eastAsia"/>
        </w:rPr>
        <w:lastRenderedPageBreak/>
        <w:t>城区内中小学教育设施持续完善，依然存在学位缺口。</w:t>
      </w:r>
      <w:r>
        <w:rPr>
          <w:rFonts w:hint="eastAsia"/>
        </w:rPr>
        <w:t>2024</w:t>
      </w:r>
      <w:r>
        <w:rPr>
          <w:rFonts w:hint="eastAsia"/>
        </w:rPr>
        <w:t>年城区社区小学步行十分钟覆盖率为</w:t>
      </w:r>
      <w:r>
        <w:rPr>
          <w:rFonts w:hint="eastAsia"/>
        </w:rPr>
        <w:t>29.06%</w:t>
      </w:r>
      <w:r>
        <w:rPr>
          <w:rFonts w:hint="eastAsia"/>
        </w:rPr>
        <w:t>，小学在建成区范围内分布较为均衡，但目前覆盖率偏低，规划中需根据居住用地布局重点考虑增设。社区中学步行</w:t>
      </w:r>
      <w:r>
        <w:rPr>
          <w:rFonts w:hint="eastAsia"/>
        </w:rPr>
        <w:t>15</w:t>
      </w:r>
      <w:r>
        <w:rPr>
          <w:rFonts w:hint="eastAsia"/>
        </w:rPr>
        <w:t>分钟覆盖率为</w:t>
      </w:r>
      <w:r>
        <w:rPr>
          <w:rFonts w:hint="eastAsia"/>
        </w:rPr>
        <w:t>61.43%</w:t>
      </w:r>
      <w:r>
        <w:rPr>
          <w:rFonts w:hint="eastAsia"/>
        </w:rPr>
        <w:t>，覆盖率较好，每万人拥有幼儿园班数</w:t>
      </w:r>
      <w:r>
        <w:rPr>
          <w:rFonts w:hint="eastAsia"/>
        </w:rPr>
        <w:t>6.25</w:t>
      </w:r>
      <w:r>
        <w:rPr>
          <w:rFonts w:hint="eastAsia"/>
        </w:rPr>
        <w:t>班。</w:t>
      </w:r>
    </w:p>
    <w:p w:rsidR="00F80ED2" w:rsidRDefault="00F80ED2" w:rsidP="00C8354C">
      <w:pPr>
        <w:ind w:firstLine="600"/>
      </w:pPr>
    </w:p>
    <w:p w:rsidR="00F80ED2" w:rsidRDefault="00C8354C" w:rsidP="00C8354C">
      <w:pPr>
        <w:ind w:firstLine="600"/>
        <w:rPr>
          <w:rFonts w:ascii="仿宋_GB2312" w:eastAsia="仿宋_GB2312" w:hAnsi="仿宋_GB2312"/>
          <w:b/>
          <w:bCs/>
          <w:kern w:val="0"/>
          <w:sz w:val="24"/>
          <w:szCs w:val="32"/>
          <w:lang/>
        </w:rPr>
      </w:pPr>
      <w:r>
        <w:rPr>
          <w:rFonts w:hint="eastAsia"/>
          <w:noProof/>
        </w:rPr>
        <w:drawing>
          <wp:inline distT="0" distB="0" distL="114300" distR="114300">
            <wp:extent cx="4625975" cy="2875280"/>
            <wp:effectExtent l="0" t="0" r="3175" b="1270"/>
            <wp:docPr id="22" name="图片 22" descr="06社区小学步行10分钟覆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06社区小学步行10分钟覆盖率"/>
                    <pic:cNvPicPr>
                      <a:picLocks noChangeAspect="1"/>
                    </pic:cNvPicPr>
                  </pic:nvPicPr>
                  <pic:blipFill>
                    <a:blip r:embed="rId18"/>
                    <a:srcRect l="-46" t="6748" r="-414" b="4947"/>
                    <a:stretch>
                      <a:fillRect/>
                    </a:stretch>
                  </pic:blipFill>
                  <pic:spPr>
                    <a:xfrm>
                      <a:off x="0" y="0"/>
                      <a:ext cx="4625975" cy="2875280"/>
                    </a:xfrm>
                    <a:prstGeom prst="rect">
                      <a:avLst/>
                    </a:prstGeom>
                  </pic:spPr>
                </pic:pic>
              </a:graphicData>
            </a:graphic>
          </wp:inline>
        </w:drawing>
      </w:r>
    </w:p>
    <w:p w:rsidR="00F80ED2" w:rsidRDefault="00C8354C" w:rsidP="00C8354C">
      <w:pPr>
        <w:pStyle w:val="a6"/>
        <w:spacing w:before="156" w:after="156"/>
      </w:pPr>
      <w:r>
        <w:rPr>
          <w:rFonts w:hint="eastAsia"/>
          <w:lang/>
        </w:rPr>
        <w:t>城区</w:t>
      </w:r>
      <w:r>
        <w:rPr>
          <w:rFonts w:hint="eastAsia"/>
        </w:rPr>
        <w:t>社区小学步行十分钟覆盖范围</w:t>
      </w:r>
    </w:p>
    <w:p w:rsidR="00F80ED2" w:rsidRDefault="00F80ED2">
      <w:pPr>
        <w:ind w:left="420" w:firstLineChars="0" w:firstLine="0"/>
        <w:jc w:val="center"/>
        <w:rPr>
          <w:rFonts w:ascii="仿宋_GB2312" w:eastAsia="仿宋_GB2312" w:hAnsi="仿宋_GB2312"/>
          <w:b/>
          <w:bCs/>
          <w:kern w:val="0"/>
          <w:sz w:val="24"/>
          <w:szCs w:val="32"/>
          <w:lang/>
        </w:rPr>
      </w:pPr>
    </w:p>
    <w:p w:rsidR="00F80ED2" w:rsidRDefault="00C8354C">
      <w:pPr>
        <w:ind w:firstLineChars="0" w:firstLine="0"/>
        <w:jc w:val="center"/>
        <w:rPr>
          <w:b/>
          <w:bCs/>
          <w:kern w:val="0"/>
          <w:sz w:val="24"/>
          <w:szCs w:val="32"/>
          <w:lang/>
        </w:rPr>
      </w:pPr>
      <w:r>
        <w:rPr>
          <w:rFonts w:ascii="仿宋_GB2312" w:eastAsia="仿宋_GB2312" w:hAnsi="仿宋_GB2312" w:hint="eastAsia"/>
          <w:b/>
          <w:bCs/>
          <w:noProof/>
          <w:kern w:val="0"/>
          <w:sz w:val="24"/>
          <w:szCs w:val="32"/>
        </w:rPr>
        <w:drawing>
          <wp:inline distT="0" distB="0" distL="114300" distR="114300">
            <wp:extent cx="4453890" cy="2833370"/>
            <wp:effectExtent l="0" t="0" r="3810" b="5080"/>
            <wp:docPr id="23" name="图片 23" descr="07社区中学步行15分钟覆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07社区中学步行15分钟覆盖率"/>
                    <pic:cNvPicPr>
                      <a:picLocks noChangeAspect="1"/>
                    </pic:cNvPicPr>
                  </pic:nvPicPr>
                  <pic:blipFill>
                    <a:blip r:embed="rId19"/>
                    <a:srcRect l="359" t="6691" r="1696" b="5168"/>
                    <a:stretch>
                      <a:fillRect/>
                    </a:stretch>
                  </pic:blipFill>
                  <pic:spPr>
                    <a:xfrm>
                      <a:off x="0" y="0"/>
                      <a:ext cx="4453890" cy="2833370"/>
                    </a:xfrm>
                    <a:prstGeom prst="rect">
                      <a:avLst/>
                    </a:prstGeom>
                  </pic:spPr>
                </pic:pic>
              </a:graphicData>
            </a:graphic>
          </wp:inline>
        </w:drawing>
      </w:r>
    </w:p>
    <w:p w:rsidR="00F80ED2" w:rsidRDefault="00C8354C" w:rsidP="00C8354C">
      <w:pPr>
        <w:pStyle w:val="a6"/>
        <w:spacing w:before="156" w:after="156"/>
      </w:pPr>
      <w:r>
        <w:rPr>
          <w:rFonts w:hint="eastAsia"/>
          <w:lang/>
        </w:rPr>
        <w:lastRenderedPageBreak/>
        <w:t>城区</w:t>
      </w:r>
      <w:r>
        <w:rPr>
          <w:rFonts w:hint="eastAsia"/>
        </w:rPr>
        <w:t>社区中学步行</w:t>
      </w:r>
      <w:r>
        <w:rPr>
          <w:rFonts w:hint="eastAsia"/>
        </w:rPr>
        <w:t>15</w:t>
      </w:r>
      <w:r>
        <w:rPr>
          <w:rFonts w:hint="eastAsia"/>
        </w:rPr>
        <w:t>分钟覆盖范围</w:t>
      </w:r>
    </w:p>
    <w:p w:rsidR="00F80ED2" w:rsidRDefault="00C8354C" w:rsidP="00C8354C">
      <w:pPr>
        <w:ind w:firstLine="600"/>
      </w:pPr>
      <w:r>
        <w:rPr>
          <w:rFonts w:hint="eastAsia"/>
        </w:rPr>
        <w:t>（</w:t>
      </w:r>
      <w:r>
        <w:rPr>
          <w:rFonts w:hint="eastAsia"/>
        </w:rPr>
        <w:t>4</w:t>
      </w:r>
      <w:r>
        <w:rPr>
          <w:rFonts w:hint="eastAsia"/>
        </w:rPr>
        <w:t>）养老设施</w:t>
      </w:r>
    </w:p>
    <w:p w:rsidR="00F80ED2" w:rsidRDefault="00C8354C" w:rsidP="00C8354C">
      <w:pPr>
        <w:ind w:firstLine="600"/>
      </w:pPr>
      <w:r>
        <w:rPr>
          <w:rFonts w:hint="eastAsia"/>
        </w:rPr>
        <w:t>社会养老服务机构较为不足，品质欠佳。宁城县现有养老设施主要有养老服务中心、老年公寓、养老院等多种服务形式。社会养老服务机构较为不足。福利院、敬老院服务内容仅限于吃、住等简单的生活照料服务，医疗服务、精神慰藉、文化教育等全方位的养老服务还有较大的差距。社区养老设施步行</w:t>
      </w:r>
      <w:r>
        <w:rPr>
          <w:rFonts w:hint="eastAsia"/>
        </w:rPr>
        <w:t>5</w:t>
      </w:r>
      <w:r>
        <w:rPr>
          <w:rFonts w:hint="eastAsia"/>
        </w:rPr>
        <w:t>分钟覆盖率较低，仅为</w:t>
      </w:r>
      <w:r>
        <w:rPr>
          <w:rFonts w:hint="eastAsia"/>
        </w:rPr>
        <w:t>14.55%</w:t>
      </w:r>
      <w:r>
        <w:rPr>
          <w:rFonts w:hint="eastAsia"/>
        </w:rPr>
        <w:t>，未来需着重加大养老设施建设力度。</w:t>
      </w:r>
    </w:p>
    <w:p w:rsidR="00F80ED2" w:rsidRDefault="00C8354C" w:rsidP="00C8354C">
      <w:pPr>
        <w:ind w:firstLine="600"/>
        <w:rPr>
          <w:rFonts w:ascii="楷体_GB2312" w:eastAsia="楷体_GB2312" w:hAnsi="楷体_GB2312" w:cs="楷体_GB2312"/>
          <w:sz w:val="32"/>
          <w:szCs w:val="32"/>
        </w:rPr>
      </w:pPr>
      <w:r>
        <w:rPr>
          <w:rFonts w:hint="eastAsia"/>
          <w:noProof/>
        </w:rPr>
        <w:drawing>
          <wp:inline distT="0" distB="0" distL="114300" distR="114300">
            <wp:extent cx="4676775" cy="2910840"/>
            <wp:effectExtent l="0" t="0" r="9525" b="3810"/>
            <wp:docPr id="24" name="图片 24" descr="08社区养老设施步行5分钟覆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08社区养老设施步行5分钟覆盖率"/>
                    <pic:cNvPicPr>
                      <a:picLocks noChangeAspect="1"/>
                    </pic:cNvPicPr>
                  </pic:nvPicPr>
                  <pic:blipFill>
                    <a:blip r:embed="rId20"/>
                    <a:srcRect l="-452" t="6530" r="-480" b="4650"/>
                    <a:stretch>
                      <a:fillRect/>
                    </a:stretch>
                  </pic:blipFill>
                  <pic:spPr>
                    <a:xfrm>
                      <a:off x="0" y="0"/>
                      <a:ext cx="4676775" cy="2910840"/>
                    </a:xfrm>
                    <a:prstGeom prst="rect">
                      <a:avLst/>
                    </a:prstGeom>
                  </pic:spPr>
                </pic:pic>
              </a:graphicData>
            </a:graphic>
          </wp:inline>
        </w:drawing>
      </w:r>
    </w:p>
    <w:p w:rsidR="00F80ED2" w:rsidRDefault="00C8354C">
      <w:pPr>
        <w:ind w:left="420" w:firstLineChars="0" w:firstLine="0"/>
        <w:jc w:val="center"/>
        <w:rPr>
          <w:rFonts w:ascii="仿宋_GB2312" w:eastAsia="仿宋_GB2312" w:hAnsi="仿宋_GB2312"/>
          <w:b/>
          <w:bCs/>
          <w:kern w:val="0"/>
          <w:sz w:val="24"/>
          <w:szCs w:val="32"/>
          <w:lang/>
        </w:rPr>
      </w:pPr>
      <w:r>
        <w:rPr>
          <w:rFonts w:hint="eastAsia"/>
          <w:b/>
          <w:bCs/>
          <w:kern w:val="0"/>
          <w:sz w:val="24"/>
          <w:szCs w:val="32"/>
          <w:lang/>
        </w:rPr>
        <w:t>城区社区养老设施步行</w:t>
      </w:r>
      <w:r>
        <w:rPr>
          <w:rFonts w:hint="eastAsia"/>
          <w:b/>
          <w:bCs/>
          <w:kern w:val="0"/>
          <w:sz w:val="24"/>
          <w:szCs w:val="32"/>
          <w:lang/>
        </w:rPr>
        <w:t>5</w:t>
      </w:r>
      <w:r>
        <w:rPr>
          <w:rFonts w:hint="eastAsia"/>
          <w:b/>
          <w:bCs/>
          <w:kern w:val="0"/>
          <w:sz w:val="24"/>
          <w:szCs w:val="32"/>
          <w:lang/>
        </w:rPr>
        <w:t>分钟覆盖范围</w:t>
      </w:r>
    </w:p>
    <w:p w:rsidR="00F80ED2" w:rsidRDefault="00C8354C" w:rsidP="00C8354C">
      <w:pPr>
        <w:ind w:firstLine="600"/>
      </w:pPr>
      <w:r>
        <w:rPr>
          <w:rFonts w:hint="eastAsia"/>
        </w:rPr>
        <w:t>（</w:t>
      </w:r>
      <w:r>
        <w:rPr>
          <w:rFonts w:hint="eastAsia"/>
        </w:rPr>
        <w:t>5</w:t>
      </w:r>
      <w:r>
        <w:rPr>
          <w:rFonts w:hint="eastAsia"/>
        </w:rPr>
        <w:t>）人居环境</w:t>
      </w:r>
    </w:p>
    <w:p w:rsidR="00F80ED2" w:rsidRDefault="00C8354C" w:rsidP="00C8354C">
      <w:pPr>
        <w:ind w:firstLine="600"/>
      </w:pPr>
      <w:r>
        <w:rPr>
          <w:rFonts w:hint="eastAsia"/>
        </w:rPr>
        <w:t>宁城县</w:t>
      </w:r>
      <w:r>
        <w:rPr>
          <w:rFonts w:hint="eastAsia"/>
        </w:rPr>
        <w:t>2024</w:t>
      </w:r>
      <w:r>
        <w:rPr>
          <w:rFonts w:hint="eastAsia"/>
        </w:rPr>
        <w:t>年人居环境显著改善，品质内涵待深化。完成永馨园等</w:t>
      </w:r>
      <w:r>
        <w:rPr>
          <w:rFonts w:hint="eastAsia"/>
        </w:rPr>
        <w:t>44</w:t>
      </w:r>
      <w:r>
        <w:rPr>
          <w:rFonts w:hint="eastAsia"/>
        </w:rPr>
        <w:t>个老旧小区改造，实施文化广场提质工程，打造黑里河民宿集群等文旅节点。不过，空间品质均衡性与内涵深度仍有欠缺，乡村公共空间整治呈现碎片化，部分村庄缺乏活动广场；已改造小区未同步实施适老化、适儿化改造，便民服务功能不足。</w:t>
      </w:r>
    </w:p>
    <w:p w:rsidR="00F80ED2" w:rsidRDefault="00C8354C" w:rsidP="00C8354C">
      <w:pPr>
        <w:pStyle w:val="3"/>
        <w:ind w:firstLine="600"/>
      </w:pPr>
      <w:r>
        <w:lastRenderedPageBreak/>
        <w:t>城市安全与韧性防控隐患待消</w:t>
      </w:r>
    </w:p>
    <w:p w:rsidR="00F80ED2" w:rsidRDefault="00C8354C" w:rsidP="00C8354C">
      <w:pPr>
        <w:ind w:firstLine="600"/>
      </w:pPr>
      <w:r>
        <w:t>城区消防设施匮乏，滞后于城市发展。城区现有</w:t>
      </w:r>
      <w:r>
        <w:t>1</w:t>
      </w:r>
      <w:r>
        <w:t>处消防站</w:t>
      </w:r>
      <w:r>
        <w:t>——</w:t>
      </w:r>
      <w:r>
        <w:t>宁城县消防救援大队，消防救援</w:t>
      </w:r>
      <w:r>
        <w:t>5</w:t>
      </w:r>
      <w:r>
        <w:t>分钟可达覆盖率为</w:t>
      </w:r>
      <w:r>
        <w:t>45.49%</w:t>
      </w:r>
      <w:r>
        <w:t>，消防站出勤距离覆盖建成区范围较大，基本能够满足北部消防需求，但南侧存在消防覆盖不足的情况，不能保证消防站接到出动指令后</w:t>
      </w:r>
      <w:r>
        <w:t>5</w:t>
      </w:r>
      <w:r>
        <w:t>分钟内可以到达辖区边缘的要求，尚应增加消防站的建设。</w:t>
      </w:r>
    </w:p>
    <w:p w:rsidR="00F80ED2" w:rsidRDefault="00C8354C" w:rsidP="00C8354C">
      <w:pPr>
        <w:pStyle w:val="2"/>
        <w:numPr>
          <w:ilvl w:val="0"/>
          <w:numId w:val="13"/>
        </w:numPr>
        <w:ind w:firstLine="640"/>
      </w:pPr>
      <w:bookmarkStart w:id="16" w:name="_Toc14635"/>
      <w:r>
        <w:rPr>
          <w:rFonts w:hint="eastAsia"/>
        </w:rPr>
        <w:t>动态维护需求和建议</w:t>
      </w:r>
      <w:bookmarkEnd w:id="16"/>
    </w:p>
    <w:p w:rsidR="00F80ED2" w:rsidRDefault="00C8354C" w:rsidP="00C8354C">
      <w:pPr>
        <w:ind w:firstLine="600"/>
      </w:pPr>
      <w:r>
        <w:t>永久基本农田优化需求及建议：宁城县永久基本农田预调出共</w:t>
      </w:r>
      <w:r>
        <w:t>683.15</w:t>
      </w:r>
      <w:r>
        <w:t>公顷。经年度评估符合条件包括：生态脆弱地区、河湖管理范围内以及列入严格管控类且无法恢复治理、灾毁和采矿损毁无法修复等难以长期稳定利用的耕地等地块，或者经核实不符合划入永久基本农田要求的地块。同时，本次计划调入永久基本农田面积不低于</w:t>
      </w:r>
      <w:r>
        <w:t>683.15</w:t>
      </w:r>
      <w:r>
        <w:t>公顷。</w:t>
      </w:r>
    </w:p>
    <w:p w:rsidR="00F80ED2" w:rsidRDefault="00C8354C" w:rsidP="00C8354C">
      <w:pPr>
        <w:ind w:firstLine="600"/>
      </w:pPr>
      <w:r>
        <w:t>生态保护红线布局优化需求及建议：现根据《内蒙古自治区自然资源厅林业和草原局生态环境厅关于自然保护地整合优化工作中涉及生态保护红线联动调整有关事项的函》规定，宁城县存在符合调出生态保护红线的项目。此外还有以下调整诉求：</w:t>
      </w:r>
      <w:r>
        <w:t>1</w:t>
      </w:r>
      <w:r>
        <w:t>、将已撤销的水源地一级保护区调出生态保护红线；</w:t>
      </w:r>
      <w:r>
        <w:t>2</w:t>
      </w:r>
      <w:r>
        <w:t>、与在期矿业权有微小重叠部分调出生态保护红线；</w:t>
      </w:r>
      <w:r>
        <w:t>3</w:t>
      </w:r>
      <w:r>
        <w:t>、为推动矿业经济高质量发展，开展矿产资源整合工作，建议调出资源整合范围内生态保护红线。</w:t>
      </w:r>
      <w:r>
        <w:t>4</w:t>
      </w:r>
      <w:r>
        <w:t>、随自然保护地范围调整，调整生态保护红线范</w:t>
      </w:r>
      <w:r>
        <w:lastRenderedPageBreak/>
        <w:t>围。</w:t>
      </w:r>
    </w:p>
    <w:p w:rsidR="00F80ED2" w:rsidRDefault="00C8354C" w:rsidP="00C8354C">
      <w:pPr>
        <w:ind w:firstLine="600"/>
      </w:pPr>
      <w:r>
        <w:t>城镇开发边界优化需求及建议：</w:t>
      </w:r>
      <w:r>
        <w:t>1</w:t>
      </w:r>
      <w:r>
        <w:t>、建议在全市范围内统筹调剂城镇开发边界增量，对宁城县开发区扩区的增量需求给予支持和倾斜；</w:t>
      </w:r>
      <w:r>
        <w:t>2</w:t>
      </w:r>
      <w:r>
        <w:t>、为确保产业项目建设有序推进，加强城镇开发边界增量的可实施性，建设实行动态调整机制，设置</w:t>
      </w:r>
      <w:r>
        <w:t>“</w:t>
      </w:r>
      <w:r>
        <w:t>弹性区间</w:t>
      </w:r>
      <w:r>
        <w:t>”</w:t>
      </w:r>
      <w:r>
        <w:t>，允许在符合条件的情况下（如重大产业落地、人口激增）快速调整，以增强开发边界指标对项目用地需求的变化适应性。</w:t>
      </w:r>
    </w:p>
    <w:p w:rsidR="00F80ED2" w:rsidRDefault="00C8354C" w:rsidP="00C8354C">
      <w:pPr>
        <w:ind w:firstLine="600"/>
      </w:pPr>
      <w:r>
        <w:t>重点项目安排表优化需求及建议：矿业类项目的采矿权范围、拟选选矿场、工业广场、矿区内排土（渣）场、进场道路及附属设施等用地纳入；公共服务类（气象监测站、水厂、城区郊区</w:t>
      </w:r>
      <w:r>
        <w:t>“</w:t>
      </w:r>
      <w:r>
        <w:t>菜篮子</w:t>
      </w:r>
      <w:r>
        <w:t>”</w:t>
      </w:r>
      <w:r>
        <w:t>产品产地、销地、集散地批发市场等）建设内容纳入。</w:t>
      </w:r>
    </w:p>
    <w:p w:rsidR="00F80ED2" w:rsidRDefault="00C8354C" w:rsidP="00C8354C">
      <w:pPr>
        <w:ind w:firstLine="600"/>
      </w:pPr>
      <w:r>
        <w:t>城市</w:t>
      </w:r>
      <w:r>
        <w:t>“</w:t>
      </w:r>
      <w:r>
        <w:t>四线</w:t>
      </w:r>
      <w:r>
        <w:t>”</w:t>
      </w:r>
      <w:r>
        <w:t>优化需求及建议：宁城县城市</w:t>
      </w:r>
      <w:r>
        <w:t>“</w:t>
      </w:r>
      <w:r>
        <w:t>四线</w:t>
      </w:r>
      <w:r>
        <w:t>”</w:t>
      </w:r>
      <w:r>
        <w:t>在落实及实施过程中，存在根据实际发展诉求需进行局部调整的情况。如：现为支持公共事业准备将中心城区停车场调整为公共交通场站用地，但受限于位于城市黄线内，用地性质调整受到限制，并且城市黄线中存在工业用地，与城市黄线划定要求不符，城市绿线在划定初期由于勘测数据等技术误差，存在与现状情况不符等情况，计划下一步调整优化宁城县城市黄线和城市绿线。目前城市</w:t>
      </w:r>
      <w:r>
        <w:t>“</w:t>
      </w:r>
      <w:r>
        <w:t>四线</w:t>
      </w:r>
      <w:r>
        <w:t>”</w:t>
      </w:r>
      <w:r>
        <w:t>调整弹性不足，难适应城镇发展变化，建议保持功能不变、规模不减前提下优化布局，为城市高质量发展提供空间保障。</w:t>
      </w:r>
    </w:p>
    <w:p w:rsidR="00F80ED2" w:rsidRDefault="00C8354C" w:rsidP="00C8354C">
      <w:pPr>
        <w:pStyle w:val="1"/>
        <w:ind w:firstLine="723"/>
      </w:pPr>
      <w:bookmarkStart w:id="17" w:name="_Toc2944"/>
      <w:r>
        <w:rPr>
          <w:rFonts w:hint="eastAsia"/>
        </w:rPr>
        <w:lastRenderedPageBreak/>
        <w:t>动态维护方案</w:t>
      </w:r>
      <w:bookmarkEnd w:id="17"/>
    </w:p>
    <w:p w:rsidR="00F80ED2" w:rsidRDefault="00C8354C" w:rsidP="00C8354C">
      <w:pPr>
        <w:pStyle w:val="2"/>
        <w:numPr>
          <w:ilvl w:val="0"/>
          <w:numId w:val="15"/>
        </w:numPr>
        <w:ind w:firstLine="640"/>
      </w:pPr>
      <w:bookmarkStart w:id="18" w:name="_Toc5632"/>
      <w:r>
        <w:rPr>
          <w:rFonts w:hint="eastAsia"/>
        </w:rPr>
        <w:t>空间管控边界维护</w:t>
      </w:r>
      <w:bookmarkEnd w:id="18"/>
    </w:p>
    <w:p w:rsidR="00F80ED2" w:rsidRDefault="00C8354C" w:rsidP="00C8354C">
      <w:pPr>
        <w:pStyle w:val="3"/>
        <w:numPr>
          <w:ilvl w:val="0"/>
          <w:numId w:val="16"/>
        </w:numPr>
        <w:ind w:firstLine="600"/>
      </w:pPr>
      <w:r>
        <w:rPr>
          <w:rFonts w:hint="eastAsia"/>
        </w:rPr>
        <w:t>耕地和永久基本农田保护红线动态维护</w:t>
      </w:r>
    </w:p>
    <w:p w:rsidR="00F80ED2" w:rsidRDefault="00C8354C">
      <w:pPr>
        <w:numPr>
          <w:ilvl w:val="0"/>
          <w:numId w:val="17"/>
        </w:numPr>
        <w:ind w:left="0" w:firstLine="600"/>
      </w:pPr>
      <w:r>
        <w:t>现状情况</w:t>
      </w:r>
    </w:p>
    <w:p w:rsidR="00F80ED2" w:rsidRDefault="00C8354C" w:rsidP="00C8354C">
      <w:pPr>
        <w:pStyle w:val="dwb"/>
        <w:ind w:firstLine="600"/>
        <w:rPr>
          <w:rFonts w:asciiTheme="minorHAnsi" w:eastAsiaTheme="minorEastAsia" w:hAnsiTheme="minorHAnsi"/>
          <w:color w:val="auto"/>
          <w:sz w:val="30"/>
          <w:szCs w:val="24"/>
        </w:rPr>
      </w:pPr>
      <w:r>
        <w:rPr>
          <w:rFonts w:asciiTheme="minorHAnsi" w:eastAsiaTheme="minorEastAsia" w:hAnsiTheme="minorHAnsi"/>
          <w:color w:val="auto"/>
          <w:sz w:val="30"/>
          <w:szCs w:val="24"/>
        </w:rPr>
        <w:t>本方案严格落实</w:t>
      </w:r>
      <w:r>
        <w:rPr>
          <w:rFonts w:asciiTheme="minorHAnsi" w:eastAsiaTheme="minorEastAsia" w:hAnsiTheme="minorHAnsi" w:hint="eastAsia"/>
          <w:color w:val="auto"/>
          <w:sz w:val="30"/>
          <w:szCs w:val="24"/>
        </w:rPr>
        <w:t>宁城县</w:t>
      </w:r>
      <w:r>
        <w:rPr>
          <w:rFonts w:asciiTheme="minorHAnsi" w:eastAsiaTheme="minorEastAsia" w:hAnsiTheme="minorHAnsi"/>
          <w:color w:val="auto"/>
          <w:sz w:val="30"/>
          <w:szCs w:val="24"/>
        </w:rPr>
        <w:t>国土空间总体规划划定耕地保护目标</w:t>
      </w:r>
      <w:bookmarkStart w:id="19" w:name="OLE_LINK50"/>
      <w:bookmarkStart w:id="20" w:name="OLE_LINK49"/>
      <w:r>
        <w:rPr>
          <w:rFonts w:asciiTheme="minorHAnsi" w:eastAsiaTheme="minorEastAsia" w:hAnsiTheme="minorHAnsi" w:hint="eastAsia"/>
          <w:color w:val="auto"/>
          <w:sz w:val="30"/>
          <w:szCs w:val="24"/>
        </w:rPr>
        <w:t>133107.07</w:t>
      </w:r>
      <w:r>
        <w:rPr>
          <w:rFonts w:asciiTheme="minorHAnsi" w:eastAsiaTheme="minorEastAsia" w:hAnsiTheme="minorHAnsi" w:hint="eastAsia"/>
          <w:color w:val="auto"/>
          <w:sz w:val="30"/>
          <w:szCs w:val="24"/>
        </w:rPr>
        <w:t>公顷</w:t>
      </w:r>
      <w:bookmarkEnd w:id="19"/>
      <w:bookmarkEnd w:id="20"/>
      <w:r>
        <w:rPr>
          <w:rFonts w:asciiTheme="minorHAnsi" w:eastAsiaTheme="minorEastAsia" w:hAnsiTheme="minorHAnsi" w:hint="eastAsia"/>
          <w:color w:val="auto"/>
          <w:sz w:val="30"/>
          <w:szCs w:val="24"/>
        </w:rPr>
        <w:t>（</w:t>
      </w:r>
      <w:r>
        <w:rPr>
          <w:rFonts w:asciiTheme="minorHAnsi" w:eastAsiaTheme="minorEastAsia" w:hAnsiTheme="minorHAnsi"/>
          <w:color w:val="auto"/>
          <w:sz w:val="30"/>
          <w:szCs w:val="24"/>
        </w:rPr>
        <w:t>199.6606</w:t>
      </w:r>
      <w:r>
        <w:rPr>
          <w:rFonts w:asciiTheme="minorHAnsi" w:eastAsiaTheme="minorEastAsia" w:hAnsiTheme="minorHAnsi"/>
          <w:color w:val="auto"/>
          <w:sz w:val="30"/>
          <w:szCs w:val="24"/>
        </w:rPr>
        <w:t>万亩），永久基本农田保护面积</w:t>
      </w:r>
      <w:bookmarkStart w:id="21" w:name="OLE_LINK48"/>
      <w:r>
        <w:rPr>
          <w:rFonts w:asciiTheme="minorHAnsi" w:eastAsiaTheme="minorEastAsia" w:hAnsiTheme="minorHAnsi" w:hint="eastAsia"/>
          <w:color w:val="auto"/>
          <w:sz w:val="30"/>
          <w:szCs w:val="24"/>
        </w:rPr>
        <w:t>116030.80</w:t>
      </w:r>
      <w:r>
        <w:rPr>
          <w:rFonts w:asciiTheme="minorHAnsi" w:eastAsiaTheme="minorEastAsia" w:hAnsiTheme="minorHAnsi" w:hint="eastAsia"/>
          <w:color w:val="auto"/>
          <w:sz w:val="30"/>
          <w:szCs w:val="24"/>
        </w:rPr>
        <w:t>公顷</w:t>
      </w:r>
      <w:bookmarkEnd w:id="21"/>
      <w:r>
        <w:rPr>
          <w:rFonts w:asciiTheme="minorHAnsi" w:eastAsiaTheme="minorEastAsia" w:hAnsiTheme="minorHAnsi" w:hint="eastAsia"/>
          <w:color w:val="auto"/>
          <w:sz w:val="30"/>
          <w:szCs w:val="24"/>
        </w:rPr>
        <w:t>（</w:t>
      </w:r>
      <w:r>
        <w:rPr>
          <w:rFonts w:asciiTheme="minorHAnsi" w:eastAsiaTheme="minorEastAsia" w:hAnsiTheme="minorHAnsi"/>
          <w:color w:val="auto"/>
          <w:sz w:val="30"/>
          <w:szCs w:val="24"/>
        </w:rPr>
        <w:t>174.0462</w:t>
      </w:r>
      <w:r>
        <w:rPr>
          <w:rFonts w:asciiTheme="minorHAnsi" w:eastAsiaTheme="minorEastAsia" w:hAnsiTheme="minorHAnsi"/>
          <w:color w:val="auto"/>
          <w:sz w:val="30"/>
          <w:szCs w:val="24"/>
        </w:rPr>
        <w:t>万亩</w:t>
      </w:r>
      <w:r>
        <w:rPr>
          <w:rFonts w:asciiTheme="minorHAnsi" w:eastAsiaTheme="minorEastAsia" w:hAnsiTheme="minorHAnsi" w:hint="eastAsia"/>
          <w:color w:val="auto"/>
          <w:sz w:val="30"/>
          <w:szCs w:val="24"/>
        </w:rPr>
        <w:t>）</w:t>
      </w:r>
      <w:r>
        <w:rPr>
          <w:rFonts w:asciiTheme="minorHAnsi" w:eastAsiaTheme="minorEastAsia" w:hAnsiTheme="minorHAnsi"/>
          <w:color w:val="auto"/>
          <w:sz w:val="30"/>
          <w:szCs w:val="24"/>
        </w:rPr>
        <w:t>指标任务。</w:t>
      </w:r>
    </w:p>
    <w:p w:rsidR="00F80ED2" w:rsidRDefault="00C8354C">
      <w:pPr>
        <w:numPr>
          <w:ilvl w:val="0"/>
          <w:numId w:val="17"/>
        </w:numPr>
        <w:ind w:left="0" w:firstLine="600"/>
      </w:pPr>
      <w:r>
        <w:t>优化调整情况</w:t>
      </w:r>
    </w:p>
    <w:p w:rsidR="00F80ED2" w:rsidRDefault="00C8354C">
      <w:pPr>
        <w:ind w:firstLine="600"/>
      </w:pPr>
      <w:r>
        <w:t>永久基本农田动态维护拟正向优化调入面积</w:t>
      </w:r>
      <w:r>
        <w:t>739.867</w:t>
      </w:r>
      <w:r>
        <w:rPr>
          <w:rFonts w:hint="eastAsia"/>
        </w:rPr>
        <w:t>8</w:t>
      </w:r>
      <w:r>
        <w:t>公顷，调入地块耕地坡度级别主要为</w:t>
      </w:r>
      <w:r>
        <w:t>1-3</w:t>
      </w:r>
      <w:r>
        <w:t>级，为现状高标准农田且与现状永久基本农田保持集中连片的稳定耕地。</w:t>
      </w:r>
    </w:p>
    <w:p w:rsidR="00F80ED2" w:rsidRDefault="00C8354C">
      <w:pPr>
        <w:ind w:firstLine="600"/>
      </w:pPr>
      <w:r>
        <w:t>永久基本农田动态维护拟正向优化调出面积</w:t>
      </w:r>
      <w:r>
        <w:t>6</w:t>
      </w:r>
      <w:r>
        <w:rPr>
          <w:rFonts w:hint="eastAsia"/>
        </w:rPr>
        <w:t>71.8584</w:t>
      </w:r>
      <w:r>
        <w:t>公顷，其中，农村集体经济组织配套设施建设调整的地块</w:t>
      </w:r>
      <w:r>
        <w:rPr>
          <w:rFonts w:hint="eastAsia"/>
        </w:rPr>
        <w:t>40.2866</w:t>
      </w:r>
      <w:r>
        <w:t>公顷</w:t>
      </w:r>
      <w:r>
        <w:rPr>
          <w:rFonts w:hint="eastAsia"/>
        </w:rPr>
        <w:t>；</w:t>
      </w:r>
      <w:r>
        <w:t>重点建设项目</w:t>
      </w:r>
      <w:r>
        <w:t>129.84</w:t>
      </w:r>
      <w:r>
        <w:rPr>
          <w:rFonts w:hint="eastAsia"/>
        </w:rPr>
        <w:t>90</w:t>
      </w:r>
      <w:r>
        <w:t>公顷；生态脆弱地区、地下水超采区、河湖管理范围内、严格管控且无法恢复治理地块</w:t>
      </w:r>
      <w:r>
        <w:t>56.4274</w:t>
      </w:r>
      <w:r>
        <w:t>公顷</w:t>
      </w:r>
      <w:r>
        <w:rPr>
          <w:rFonts w:hint="eastAsia"/>
        </w:rPr>
        <w:t>；</w:t>
      </w:r>
      <w:r>
        <w:t>自然保护地内开天窗永农地块</w:t>
      </w:r>
      <w:r>
        <w:t>83.371</w:t>
      </w:r>
      <w:r>
        <w:rPr>
          <w:rFonts w:hint="eastAsia"/>
        </w:rPr>
        <w:t>5</w:t>
      </w:r>
      <w:r>
        <w:t>公顷；依法依规查处后确实无法恢复的违法用地地块</w:t>
      </w:r>
      <w:r>
        <w:t>0.2267</w:t>
      </w:r>
      <w:r>
        <w:t>公顷</w:t>
      </w:r>
      <w:r>
        <w:rPr>
          <w:rFonts w:hint="eastAsia"/>
        </w:rPr>
        <w:t>；合法宅基地</w:t>
      </w:r>
      <w:r>
        <w:t>地块</w:t>
      </w:r>
      <w:r>
        <w:t>0.093</w:t>
      </w:r>
      <w:r>
        <w:rPr>
          <w:rFonts w:hint="eastAsia"/>
        </w:rPr>
        <w:t>1</w:t>
      </w:r>
      <w:r>
        <w:t>公顷</w:t>
      </w:r>
      <w:r>
        <w:rPr>
          <w:rFonts w:hint="eastAsia"/>
        </w:rPr>
        <w:t>；已办理手续的设施农用地地块</w:t>
      </w:r>
      <w:r>
        <w:rPr>
          <w:rFonts w:hint="eastAsia"/>
        </w:rPr>
        <w:t>2.1102</w:t>
      </w:r>
      <w:r>
        <w:rPr>
          <w:rFonts w:hint="eastAsia"/>
        </w:rPr>
        <w:t>公顷；有合法林权证等权属证书的土地地块</w:t>
      </w:r>
      <w:r>
        <w:rPr>
          <w:rFonts w:hint="eastAsia"/>
        </w:rPr>
        <w:t>1.5628</w:t>
      </w:r>
      <w:r>
        <w:rPr>
          <w:rFonts w:hint="eastAsia"/>
        </w:rPr>
        <w:t>公顷；其他已办理用地手续的土地地块</w:t>
      </w:r>
      <w:r>
        <w:rPr>
          <w:rFonts w:hint="eastAsia"/>
        </w:rPr>
        <w:t>47.0960</w:t>
      </w:r>
      <w:r>
        <w:rPr>
          <w:rFonts w:hint="eastAsia"/>
        </w:rPr>
        <w:t>公顷，其他符合调出原则地块</w:t>
      </w:r>
      <w:r>
        <w:rPr>
          <w:rFonts w:hint="eastAsia"/>
        </w:rPr>
        <w:t>310.8352</w:t>
      </w:r>
      <w:r>
        <w:rPr>
          <w:rFonts w:hint="eastAsia"/>
        </w:rPr>
        <w:t>公顷</w:t>
      </w:r>
      <w:r>
        <w:t>。</w:t>
      </w:r>
    </w:p>
    <w:p w:rsidR="00F80ED2" w:rsidRDefault="00C8354C">
      <w:pPr>
        <w:ind w:firstLine="600"/>
      </w:pPr>
      <w:r>
        <w:t>本次</w:t>
      </w:r>
      <w:r>
        <w:rPr>
          <w:rFonts w:hint="eastAsia"/>
        </w:rPr>
        <w:t>宁城县</w:t>
      </w:r>
      <w:r>
        <w:t>永久基本农田动态维护前面积</w:t>
      </w:r>
      <w:r>
        <w:t>116030.80</w:t>
      </w:r>
      <w:r>
        <w:t>公顷，永久基本农田动态维护后</w:t>
      </w:r>
      <w:bookmarkStart w:id="22" w:name="_GoBack"/>
      <w:r>
        <w:t>116174.8667</w:t>
      </w:r>
      <w:bookmarkEnd w:id="22"/>
      <w:r>
        <w:t>公顷。</w:t>
      </w:r>
    </w:p>
    <w:p w:rsidR="00F80ED2" w:rsidRDefault="00C8354C">
      <w:pPr>
        <w:numPr>
          <w:ilvl w:val="0"/>
          <w:numId w:val="17"/>
        </w:numPr>
        <w:ind w:left="0" w:firstLine="600"/>
      </w:pPr>
      <w:r>
        <w:lastRenderedPageBreak/>
        <w:t>总结</w:t>
      </w:r>
    </w:p>
    <w:p w:rsidR="00F80ED2" w:rsidRDefault="00C8354C">
      <w:pPr>
        <w:ind w:firstLine="600"/>
      </w:pPr>
      <w:r>
        <w:t>本次永久基本农田动态维护后面积不减少，永久基本农田集中连片度有提高。</w:t>
      </w:r>
      <w:r>
        <w:t>15</w:t>
      </w:r>
      <w:r>
        <w:t>亩以下碎图斑数量减少，平均坡度级别有下降。通过优化调整，</w:t>
      </w:r>
      <w:r>
        <w:rPr>
          <w:rFonts w:hint="eastAsia"/>
        </w:rPr>
        <w:t>宁城县</w:t>
      </w:r>
      <w:r>
        <w:t>永久基本农田更趋集中连片，图斑形态更加规整，耕地质量有提升。</w:t>
      </w:r>
    </w:p>
    <w:p w:rsidR="00F80ED2" w:rsidRDefault="00C8354C">
      <w:pPr>
        <w:widowControl/>
        <w:ind w:firstLineChars="0" w:firstLine="0"/>
        <w:jc w:val="center"/>
        <w:rPr>
          <w:rFonts w:ascii="仿宋" w:eastAsia="仿宋" w:hAnsi="仿宋" w:cs="仿宋"/>
          <w:b/>
          <w:bCs/>
          <w:color w:val="000000"/>
          <w:kern w:val="0"/>
          <w:sz w:val="24"/>
          <w:lang/>
        </w:rPr>
      </w:pPr>
      <w:r>
        <w:rPr>
          <w:rFonts w:ascii="仿宋" w:eastAsia="仿宋" w:hAnsi="仿宋" w:cs="仿宋"/>
          <w:b/>
          <w:bCs/>
          <w:color w:val="000000"/>
          <w:kern w:val="0"/>
          <w:sz w:val="24"/>
          <w:lang/>
        </w:rPr>
        <w:t xml:space="preserve">表 5-1 </w:t>
      </w:r>
      <w:r>
        <w:rPr>
          <w:rFonts w:ascii="仿宋" w:eastAsia="仿宋" w:hAnsi="仿宋" w:cs="仿宋" w:hint="eastAsia"/>
          <w:b/>
          <w:bCs/>
          <w:color w:val="000000"/>
          <w:kern w:val="0"/>
          <w:sz w:val="24"/>
          <w:lang/>
        </w:rPr>
        <w:t>宁城县永久基本农田优化成效指标表</w:t>
      </w:r>
    </w:p>
    <w:tbl>
      <w:tblPr>
        <w:tblW w:w="9715" w:type="dxa"/>
        <w:jc w:val="center"/>
        <w:tblLayout w:type="fixed"/>
        <w:tblLook w:val="04A0"/>
      </w:tblPr>
      <w:tblGrid>
        <w:gridCol w:w="625"/>
        <w:gridCol w:w="2486"/>
        <w:gridCol w:w="1550"/>
        <w:gridCol w:w="1750"/>
        <w:gridCol w:w="1712"/>
        <w:gridCol w:w="1592"/>
      </w:tblGrid>
      <w:tr w:rsidR="00F80ED2">
        <w:trPr>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优化导向</w:t>
            </w: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具体指标</w:t>
            </w:r>
          </w:p>
        </w:tc>
        <w:tc>
          <w:tcPr>
            <w:tcW w:w="1550" w:type="dxa"/>
            <w:tcBorders>
              <w:top w:val="single" w:sz="4" w:space="0" w:color="auto"/>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指标要求</w:t>
            </w:r>
          </w:p>
        </w:tc>
        <w:tc>
          <w:tcPr>
            <w:tcW w:w="1750" w:type="dxa"/>
            <w:tcBorders>
              <w:top w:val="single" w:sz="4" w:space="0" w:color="auto"/>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调整前</w:t>
            </w:r>
          </w:p>
        </w:tc>
        <w:tc>
          <w:tcPr>
            <w:tcW w:w="1712" w:type="dxa"/>
            <w:tcBorders>
              <w:top w:val="single" w:sz="4" w:space="0" w:color="auto"/>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调整后</w:t>
            </w:r>
          </w:p>
        </w:tc>
        <w:tc>
          <w:tcPr>
            <w:tcW w:w="1592" w:type="dxa"/>
            <w:tcBorders>
              <w:top w:val="single" w:sz="4" w:space="0" w:color="auto"/>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变化</w:t>
            </w:r>
          </w:p>
        </w:tc>
      </w:tr>
      <w:tr w:rsidR="00F80ED2">
        <w:trPr>
          <w:jc w:val="center"/>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数量不减少</w:t>
            </w:r>
          </w:p>
        </w:tc>
        <w:tc>
          <w:tcPr>
            <w:tcW w:w="2486"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耕地保有量（万亩）</w:t>
            </w:r>
          </w:p>
        </w:tc>
        <w:tc>
          <w:tcPr>
            <w:tcW w:w="15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不低于规划明确的保护任务</w:t>
            </w:r>
          </w:p>
        </w:tc>
        <w:tc>
          <w:tcPr>
            <w:tcW w:w="17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color w:val="000000"/>
                <w:kern w:val="0"/>
                <w:sz w:val="24"/>
                <w:lang/>
              </w:rPr>
              <w:t>199.6606</w:t>
            </w:r>
          </w:p>
        </w:tc>
        <w:tc>
          <w:tcPr>
            <w:tcW w:w="171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202.0350</w:t>
            </w:r>
          </w:p>
        </w:tc>
        <w:tc>
          <w:tcPr>
            <w:tcW w:w="159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2.3744</w:t>
            </w:r>
          </w:p>
        </w:tc>
      </w:tr>
      <w:tr w:rsidR="00F80ED2">
        <w:trPr>
          <w:jc w:val="center"/>
        </w:trPr>
        <w:tc>
          <w:tcPr>
            <w:tcW w:w="625" w:type="dxa"/>
            <w:vMerge/>
            <w:tcBorders>
              <w:top w:val="nil"/>
              <w:left w:val="single" w:sz="4" w:space="0" w:color="auto"/>
              <w:bottom w:val="single" w:sz="4" w:space="0" w:color="auto"/>
              <w:right w:val="single" w:sz="4" w:space="0" w:color="auto"/>
            </w:tcBorders>
            <w:vAlign w:val="center"/>
          </w:tcPr>
          <w:p w:rsidR="00F80ED2" w:rsidRDefault="00F80ED2">
            <w:pPr>
              <w:snapToGrid w:val="0"/>
              <w:ind w:firstLineChars="0" w:firstLine="0"/>
              <w:jc w:val="center"/>
              <w:rPr>
                <w:rFonts w:ascii="仿宋" w:eastAsia="仿宋" w:hAnsi="仿宋" w:cs="仿宋"/>
                <w:color w:val="000000"/>
                <w:kern w:val="0"/>
                <w:sz w:val="24"/>
                <w:lang/>
              </w:rPr>
            </w:pPr>
          </w:p>
        </w:tc>
        <w:tc>
          <w:tcPr>
            <w:tcW w:w="2486"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永久基本农田（万亩）</w:t>
            </w:r>
          </w:p>
        </w:tc>
        <w:tc>
          <w:tcPr>
            <w:tcW w:w="15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不低于规划明确的保护任务</w:t>
            </w:r>
          </w:p>
        </w:tc>
        <w:tc>
          <w:tcPr>
            <w:tcW w:w="17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color w:val="000000"/>
                <w:kern w:val="0"/>
                <w:sz w:val="24"/>
                <w:lang/>
              </w:rPr>
              <w:t>174.0462</w:t>
            </w:r>
          </w:p>
        </w:tc>
        <w:tc>
          <w:tcPr>
            <w:tcW w:w="171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kern w:val="0"/>
                <w:sz w:val="24"/>
                <w:lang/>
              </w:rPr>
              <w:t>174.2623</w:t>
            </w:r>
          </w:p>
        </w:tc>
        <w:tc>
          <w:tcPr>
            <w:tcW w:w="159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0.2161</w:t>
            </w:r>
          </w:p>
        </w:tc>
      </w:tr>
      <w:tr w:rsidR="00F80ED2">
        <w:trPr>
          <w:jc w:val="center"/>
        </w:trPr>
        <w:tc>
          <w:tcPr>
            <w:tcW w:w="625" w:type="dxa"/>
            <w:vMerge/>
            <w:tcBorders>
              <w:top w:val="nil"/>
              <w:left w:val="single" w:sz="4" w:space="0" w:color="auto"/>
              <w:bottom w:val="single" w:sz="4" w:space="0" w:color="auto"/>
              <w:right w:val="single" w:sz="4" w:space="0" w:color="auto"/>
            </w:tcBorders>
            <w:vAlign w:val="center"/>
          </w:tcPr>
          <w:p w:rsidR="00F80ED2" w:rsidRDefault="00F80ED2">
            <w:pPr>
              <w:snapToGrid w:val="0"/>
              <w:ind w:firstLineChars="0" w:firstLine="0"/>
              <w:jc w:val="center"/>
              <w:rPr>
                <w:rFonts w:ascii="仿宋" w:eastAsia="仿宋" w:hAnsi="仿宋" w:cs="仿宋"/>
                <w:color w:val="000000"/>
                <w:kern w:val="0"/>
                <w:sz w:val="24"/>
                <w:lang/>
              </w:rPr>
            </w:pPr>
          </w:p>
        </w:tc>
        <w:tc>
          <w:tcPr>
            <w:tcW w:w="2486"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林地保有量（万亩）、森林覆盖率（%）</w:t>
            </w:r>
          </w:p>
        </w:tc>
        <w:tc>
          <w:tcPr>
            <w:tcW w:w="15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不低于规划明确的保护任务</w:t>
            </w:r>
          </w:p>
        </w:tc>
        <w:tc>
          <w:tcPr>
            <w:tcW w:w="17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color w:val="000000"/>
                <w:kern w:val="0"/>
                <w:sz w:val="24"/>
                <w:lang/>
              </w:rPr>
              <w:t>335.85</w:t>
            </w:r>
            <w:r>
              <w:rPr>
                <w:rFonts w:ascii="仿宋" w:eastAsia="仿宋" w:hAnsi="仿宋" w:cs="仿宋" w:hint="eastAsia"/>
                <w:color w:val="000000"/>
                <w:kern w:val="0"/>
                <w:sz w:val="24"/>
                <w:lang/>
              </w:rPr>
              <w:t>/50.22</w:t>
            </w:r>
          </w:p>
        </w:tc>
        <w:tc>
          <w:tcPr>
            <w:tcW w:w="171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kern w:val="0"/>
                <w:sz w:val="24"/>
                <w:lang/>
              </w:rPr>
              <w:t>335.85</w:t>
            </w:r>
            <w:r>
              <w:rPr>
                <w:rFonts w:ascii="仿宋" w:eastAsia="仿宋" w:hAnsi="仿宋" w:cs="仿宋" w:hint="eastAsia"/>
                <w:kern w:val="0"/>
                <w:sz w:val="24"/>
                <w:lang/>
              </w:rPr>
              <w:t>/50.22</w:t>
            </w:r>
          </w:p>
        </w:tc>
        <w:tc>
          <w:tcPr>
            <w:tcW w:w="159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0</w:t>
            </w:r>
          </w:p>
        </w:tc>
      </w:tr>
      <w:tr w:rsidR="00F80ED2">
        <w:trPr>
          <w:jc w:val="center"/>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质量有提升</w:t>
            </w:r>
          </w:p>
        </w:tc>
        <w:tc>
          <w:tcPr>
            <w:tcW w:w="2486"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永久基本农田中的水田水浇地所占比例（%）</w:t>
            </w:r>
          </w:p>
        </w:tc>
        <w:tc>
          <w:tcPr>
            <w:tcW w:w="15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不减少</w:t>
            </w:r>
          </w:p>
        </w:tc>
        <w:tc>
          <w:tcPr>
            <w:tcW w:w="1750" w:type="dxa"/>
            <w:tcBorders>
              <w:top w:val="nil"/>
              <w:left w:val="nil"/>
              <w:bottom w:val="single" w:sz="4" w:space="0" w:color="auto"/>
              <w:right w:val="single" w:sz="4" w:space="0" w:color="auto"/>
            </w:tcBorders>
            <w:shd w:val="clear" w:color="auto" w:fill="auto"/>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color w:val="000000"/>
                <w:kern w:val="0"/>
                <w:sz w:val="24"/>
                <w:lang/>
              </w:rPr>
              <w:t xml:space="preserve">39.9108 </w:t>
            </w:r>
          </w:p>
        </w:tc>
        <w:tc>
          <w:tcPr>
            <w:tcW w:w="171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kern w:val="0"/>
                <w:sz w:val="24"/>
                <w:lang/>
              </w:rPr>
              <w:t>40.11</w:t>
            </w:r>
          </w:p>
        </w:tc>
        <w:tc>
          <w:tcPr>
            <w:tcW w:w="159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0.1992</w:t>
            </w:r>
          </w:p>
        </w:tc>
      </w:tr>
      <w:tr w:rsidR="00F80ED2">
        <w:trPr>
          <w:jc w:val="center"/>
        </w:trPr>
        <w:tc>
          <w:tcPr>
            <w:tcW w:w="625" w:type="dxa"/>
            <w:vMerge/>
            <w:tcBorders>
              <w:top w:val="nil"/>
              <w:left w:val="single" w:sz="4" w:space="0" w:color="auto"/>
              <w:bottom w:val="single" w:sz="4" w:space="0" w:color="auto"/>
              <w:right w:val="single" w:sz="4" w:space="0" w:color="auto"/>
            </w:tcBorders>
            <w:vAlign w:val="center"/>
          </w:tcPr>
          <w:p w:rsidR="00F80ED2" w:rsidRDefault="00F80ED2">
            <w:pPr>
              <w:snapToGrid w:val="0"/>
              <w:ind w:firstLineChars="0" w:firstLine="0"/>
              <w:jc w:val="center"/>
              <w:rPr>
                <w:rFonts w:ascii="仿宋" w:eastAsia="仿宋" w:hAnsi="仿宋" w:cs="仿宋"/>
                <w:color w:val="000000"/>
                <w:kern w:val="0"/>
                <w:sz w:val="24"/>
                <w:lang/>
              </w:rPr>
            </w:pPr>
          </w:p>
        </w:tc>
        <w:tc>
          <w:tcPr>
            <w:tcW w:w="2486"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永久基本农田中高标准农田建成面积占永久基本农田比例（%）</w:t>
            </w:r>
          </w:p>
        </w:tc>
        <w:tc>
          <w:tcPr>
            <w:tcW w:w="15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有增加</w:t>
            </w:r>
          </w:p>
        </w:tc>
        <w:tc>
          <w:tcPr>
            <w:tcW w:w="17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color w:val="000000"/>
                <w:kern w:val="0"/>
                <w:sz w:val="24"/>
                <w:lang/>
              </w:rPr>
              <w:t xml:space="preserve">22.1637 </w:t>
            </w:r>
          </w:p>
        </w:tc>
        <w:tc>
          <w:tcPr>
            <w:tcW w:w="171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kern w:val="0"/>
                <w:sz w:val="24"/>
                <w:lang/>
              </w:rPr>
              <w:t xml:space="preserve">21.6476 </w:t>
            </w:r>
          </w:p>
        </w:tc>
        <w:tc>
          <w:tcPr>
            <w:tcW w:w="159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-0.5161</w:t>
            </w:r>
          </w:p>
        </w:tc>
      </w:tr>
      <w:tr w:rsidR="00F80ED2">
        <w:trPr>
          <w:jc w:val="center"/>
        </w:trPr>
        <w:tc>
          <w:tcPr>
            <w:tcW w:w="625" w:type="dxa"/>
            <w:vMerge/>
            <w:tcBorders>
              <w:top w:val="nil"/>
              <w:left w:val="single" w:sz="4" w:space="0" w:color="auto"/>
              <w:bottom w:val="single" w:sz="4" w:space="0" w:color="auto"/>
              <w:right w:val="single" w:sz="4" w:space="0" w:color="auto"/>
            </w:tcBorders>
            <w:vAlign w:val="center"/>
          </w:tcPr>
          <w:p w:rsidR="00F80ED2" w:rsidRDefault="00F80ED2">
            <w:pPr>
              <w:snapToGrid w:val="0"/>
              <w:ind w:firstLineChars="0" w:firstLine="0"/>
              <w:jc w:val="center"/>
              <w:rPr>
                <w:rFonts w:ascii="仿宋" w:eastAsia="仿宋" w:hAnsi="仿宋" w:cs="仿宋"/>
                <w:color w:val="000000"/>
                <w:kern w:val="0"/>
                <w:sz w:val="24"/>
                <w:lang/>
              </w:rPr>
            </w:pPr>
          </w:p>
        </w:tc>
        <w:tc>
          <w:tcPr>
            <w:tcW w:w="2486"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永久基本农田范围内坡度15度以上的耕地（亩）</w:t>
            </w:r>
          </w:p>
        </w:tc>
        <w:tc>
          <w:tcPr>
            <w:tcW w:w="15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有减少</w:t>
            </w:r>
          </w:p>
        </w:tc>
        <w:tc>
          <w:tcPr>
            <w:tcW w:w="17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color w:val="000000"/>
                <w:kern w:val="0"/>
                <w:sz w:val="24"/>
                <w:lang/>
              </w:rPr>
              <w:t>11488.20767</w:t>
            </w:r>
          </w:p>
        </w:tc>
        <w:tc>
          <w:tcPr>
            <w:tcW w:w="171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kern w:val="0"/>
                <w:sz w:val="24"/>
                <w:lang/>
              </w:rPr>
              <w:t>10696.7775</w:t>
            </w:r>
          </w:p>
        </w:tc>
        <w:tc>
          <w:tcPr>
            <w:tcW w:w="159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-791.43017</w:t>
            </w:r>
          </w:p>
        </w:tc>
      </w:tr>
      <w:tr w:rsidR="00F80ED2">
        <w:trPr>
          <w:jc w:val="center"/>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布局更优化</w:t>
            </w:r>
          </w:p>
        </w:tc>
        <w:tc>
          <w:tcPr>
            <w:tcW w:w="2486"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耕地连片度（亩/个）</w:t>
            </w:r>
          </w:p>
        </w:tc>
        <w:tc>
          <w:tcPr>
            <w:tcW w:w="15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有提升</w:t>
            </w:r>
          </w:p>
        </w:tc>
        <w:tc>
          <w:tcPr>
            <w:tcW w:w="17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color w:val="000000"/>
                <w:kern w:val="0"/>
                <w:sz w:val="24"/>
                <w:lang/>
              </w:rPr>
              <w:t>84</w:t>
            </w:r>
          </w:p>
        </w:tc>
        <w:tc>
          <w:tcPr>
            <w:tcW w:w="1712" w:type="dxa"/>
            <w:tcBorders>
              <w:top w:val="nil"/>
              <w:left w:val="nil"/>
              <w:bottom w:val="single" w:sz="4" w:space="0" w:color="auto"/>
              <w:right w:val="single" w:sz="4" w:space="0" w:color="auto"/>
            </w:tcBorders>
            <w:shd w:val="clear" w:color="auto" w:fill="auto"/>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kern w:val="0"/>
                <w:sz w:val="24"/>
                <w:lang/>
              </w:rPr>
              <w:t>161</w:t>
            </w:r>
          </w:p>
        </w:tc>
        <w:tc>
          <w:tcPr>
            <w:tcW w:w="159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77</w:t>
            </w:r>
          </w:p>
        </w:tc>
      </w:tr>
      <w:tr w:rsidR="00F80ED2">
        <w:trPr>
          <w:jc w:val="center"/>
        </w:trPr>
        <w:tc>
          <w:tcPr>
            <w:tcW w:w="625" w:type="dxa"/>
            <w:vMerge/>
            <w:tcBorders>
              <w:top w:val="nil"/>
              <w:left w:val="single" w:sz="4" w:space="0" w:color="auto"/>
              <w:bottom w:val="single" w:sz="4" w:space="0" w:color="auto"/>
              <w:right w:val="single" w:sz="4" w:space="0" w:color="auto"/>
            </w:tcBorders>
            <w:vAlign w:val="center"/>
          </w:tcPr>
          <w:p w:rsidR="00F80ED2" w:rsidRDefault="00F80ED2">
            <w:pPr>
              <w:snapToGrid w:val="0"/>
              <w:ind w:firstLineChars="0" w:firstLine="0"/>
              <w:jc w:val="center"/>
              <w:rPr>
                <w:rFonts w:ascii="仿宋" w:eastAsia="仿宋" w:hAnsi="仿宋" w:cs="仿宋"/>
                <w:color w:val="000000"/>
                <w:kern w:val="0"/>
                <w:sz w:val="24"/>
                <w:lang/>
              </w:rPr>
            </w:pPr>
          </w:p>
        </w:tc>
        <w:tc>
          <w:tcPr>
            <w:tcW w:w="2486"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平原地区5亩以下、山地丘陵地区3亩以下永久基本农田碎图斑个数（个）</w:t>
            </w:r>
          </w:p>
        </w:tc>
        <w:tc>
          <w:tcPr>
            <w:tcW w:w="15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有减少</w:t>
            </w:r>
          </w:p>
        </w:tc>
        <w:tc>
          <w:tcPr>
            <w:tcW w:w="1750"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color w:val="000000"/>
                <w:kern w:val="0"/>
                <w:sz w:val="24"/>
                <w:lang/>
              </w:rPr>
            </w:pPr>
            <w:r>
              <w:rPr>
                <w:rFonts w:ascii="仿宋" w:eastAsia="仿宋" w:hAnsi="仿宋" w:cs="仿宋" w:hint="eastAsia"/>
                <w:color w:val="000000"/>
                <w:kern w:val="0"/>
                <w:sz w:val="24"/>
                <w:lang/>
              </w:rPr>
              <w:t>1242</w:t>
            </w:r>
          </w:p>
        </w:tc>
        <w:tc>
          <w:tcPr>
            <w:tcW w:w="1712" w:type="dxa"/>
            <w:tcBorders>
              <w:top w:val="nil"/>
              <w:left w:val="nil"/>
              <w:bottom w:val="single" w:sz="4" w:space="0" w:color="auto"/>
              <w:right w:val="single" w:sz="4" w:space="0" w:color="auto"/>
            </w:tcBorders>
            <w:shd w:val="clear" w:color="auto" w:fill="auto"/>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kern w:val="0"/>
                <w:sz w:val="24"/>
                <w:lang/>
              </w:rPr>
              <w:t>10</w:t>
            </w:r>
            <w:r>
              <w:rPr>
                <w:rFonts w:ascii="仿宋" w:eastAsia="仿宋" w:hAnsi="仿宋" w:cs="仿宋" w:hint="eastAsia"/>
                <w:kern w:val="0"/>
                <w:sz w:val="24"/>
                <w:lang/>
              </w:rPr>
              <w:t>68</w:t>
            </w:r>
          </w:p>
        </w:tc>
        <w:tc>
          <w:tcPr>
            <w:tcW w:w="1592" w:type="dxa"/>
            <w:tcBorders>
              <w:top w:val="nil"/>
              <w:left w:val="nil"/>
              <w:bottom w:val="single" w:sz="4" w:space="0" w:color="auto"/>
              <w:right w:val="single" w:sz="4" w:space="0" w:color="auto"/>
            </w:tcBorders>
            <w:shd w:val="clear" w:color="auto" w:fill="auto"/>
            <w:noWrap/>
            <w:vAlign w:val="center"/>
          </w:tcPr>
          <w:p w:rsidR="00F80ED2" w:rsidRDefault="00C8354C">
            <w:pPr>
              <w:snapToGrid w:val="0"/>
              <w:ind w:firstLineChars="0" w:firstLine="0"/>
              <w:jc w:val="center"/>
              <w:rPr>
                <w:rFonts w:ascii="仿宋" w:eastAsia="仿宋" w:hAnsi="仿宋" w:cs="仿宋"/>
                <w:kern w:val="0"/>
                <w:sz w:val="24"/>
                <w:lang/>
              </w:rPr>
            </w:pPr>
            <w:r>
              <w:rPr>
                <w:rFonts w:ascii="仿宋" w:eastAsia="仿宋" w:hAnsi="仿宋" w:cs="仿宋" w:hint="eastAsia"/>
                <w:kern w:val="0"/>
                <w:sz w:val="24"/>
                <w:lang/>
              </w:rPr>
              <w:t>-174</w:t>
            </w:r>
          </w:p>
        </w:tc>
      </w:tr>
    </w:tbl>
    <w:p w:rsidR="00F80ED2" w:rsidRDefault="00F80ED2">
      <w:pPr>
        <w:widowControl/>
        <w:ind w:firstLineChars="0" w:firstLine="0"/>
        <w:jc w:val="left"/>
        <w:rPr>
          <w:rFonts w:ascii="仿宋" w:eastAsia="仿宋" w:hAnsi="仿宋" w:cs="仿宋"/>
          <w:b/>
          <w:bCs/>
          <w:color w:val="000000"/>
          <w:kern w:val="0"/>
          <w:sz w:val="24"/>
          <w:lang/>
        </w:rPr>
      </w:pPr>
    </w:p>
    <w:p w:rsidR="00F80ED2" w:rsidRDefault="00C8354C" w:rsidP="00C8354C">
      <w:pPr>
        <w:pStyle w:val="3"/>
        <w:numPr>
          <w:ilvl w:val="0"/>
          <w:numId w:val="16"/>
        </w:numPr>
        <w:ind w:firstLine="600"/>
      </w:pPr>
      <w:r>
        <w:t>生态保护红线动态维护</w:t>
      </w:r>
    </w:p>
    <w:p w:rsidR="00F80ED2" w:rsidRDefault="00C8354C">
      <w:pPr>
        <w:numPr>
          <w:ilvl w:val="0"/>
          <w:numId w:val="18"/>
        </w:numPr>
        <w:ind w:left="0" w:firstLine="600"/>
      </w:pPr>
      <w:r>
        <w:t>现状情况</w:t>
      </w:r>
    </w:p>
    <w:p w:rsidR="00F80ED2" w:rsidRDefault="00C8354C">
      <w:pPr>
        <w:ind w:firstLine="600"/>
      </w:pPr>
      <w:r>
        <w:lastRenderedPageBreak/>
        <w:t>《赤峰市</w:t>
      </w:r>
      <w:r>
        <w:rPr>
          <w:rFonts w:hint="eastAsia"/>
        </w:rPr>
        <w:t>宁城县</w:t>
      </w:r>
      <w:r>
        <w:t>国土空间总体规划（</w:t>
      </w:r>
      <w:r>
        <w:rPr>
          <w:rFonts w:ascii="Times New Roman" w:hAnsi="Times New Roman" w:cs="Times New Roman"/>
        </w:rPr>
        <w:t>2021—2035</w:t>
      </w:r>
      <w:r>
        <w:t>年）》生态保护红线面积</w:t>
      </w:r>
      <w:r>
        <w:t>80407</w:t>
      </w:r>
      <w:r>
        <w:rPr>
          <w:rFonts w:hint="eastAsia"/>
        </w:rPr>
        <w:t>.</w:t>
      </w:r>
      <w:r>
        <w:t>83</w:t>
      </w:r>
      <w:r>
        <w:t>公顷，占</w:t>
      </w:r>
      <w:r>
        <w:rPr>
          <w:rFonts w:hint="eastAsia"/>
        </w:rPr>
        <w:t>县</w:t>
      </w:r>
      <w:r>
        <w:t>域总面积的</w:t>
      </w:r>
      <w:r>
        <w:t>18.67%</w:t>
      </w:r>
      <w:r>
        <w:t>。生态保护红线内涉及</w:t>
      </w:r>
      <w:r>
        <w:rPr>
          <w:rFonts w:hint="eastAsia"/>
        </w:rPr>
        <w:t>自然保护地共计</w:t>
      </w:r>
      <w:r>
        <w:rPr>
          <w:rFonts w:hint="eastAsia"/>
        </w:rPr>
        <w:t>33056.2432</w:t>
      </w:r>
      <w:r>
        <w:rPr>
          <w:rFonts w:hint="eastAsia"/>
        </w:rPr>
        <w:t>公顷，包括</w:t>
      </w:r>
      <w:r>
        <w:rPr>
          <w:rFonts w:hint="eastAsia"/>
        </w:rPr>
        <w:t>1</w:t>
      </w:r>
      <w:r>
        <w:rPr>
          <w:rFonts w:hint="eastAsia"/>
        </w:rPr>
        <w:t>个国家级自然保护区（内蒙古黑里河国家级自然保护区），总规模</w:t>
      </w:r>
      <w:r>
        <w:rPr>
          <w:rFonts w:hint="eastAsia"/>
        </w:rPr>
        <w:t>27358.3886</w:t>
      </w:r>
      <w:r>
        <w:rPr>
          <w:rFonts w:hint="eastAsia"/>
        </w:rPr>
        <w:t>公顷，其中核心区</w:t>
      </w:r>
      <w:r>
        <w:rPr>
          <w:rFonts w:hint="eastAsia"/>
        </w:rPr>
        <w:t>18207.5208</w:t>
      </w:r>
      <w:r>
        <w:rPr>
          <w:rFonts w:hint="eastAsia"/>
        </w:rPr>
        <w:t>公顷。</w:t>
      </w:r>
      <w:r>
        <w:rPr>
          <w:rFonts w:hint="eastAsia"/>
        </w:rPr>
        <w:t>1</w:t>
      </w:r>
      <w:r>
        <w:rPr>
          <w:rFonts w:hint="eastAsia"/>
        </w:rPr>
        <w:t>个国家森林公园（内蒙古马鞍山国家森林公园），总规模</w:t>
      </w:r>
      <w:r>
        <w:rPr>
          <w:rFonts w:hint="eastAsia"/>
        </w:rPr>
        <w:t>0.0156</w:t>
      </w:r>
      <w:r>
        <w:rPr>
          <w:rFonts w:hint="eastAsia"/>
        </w:rPr>
        <w:t>公顷。</w:t>
      </w:r>
      <w:r>
        <w:rPr>
          <w:rFonts w:hint="eastAsia"/>
        </w:rPr>
        <w:t>1</w:t>
      </w:r>
      <w:r>
        <w:rPr>
          <w:rFonts w:hint="eastAsia"/>
        </w:rPr>
        <w:t>个自然公园（内蒙古宁城国家地质公园），总规模</w:t>
      </w:r>
      <w:r>
        <w:rPr>
          <w:rFonts w:hint="eastAsia"/>
        </w:rPr>
        <w:t>5697.8390</w:t>
      </w:r>
      <w:r>
        <w:rPr>
          <w:rFonts w:hint="eastAsia"/>
        </w:rPr>
        <w:t>公顷</w:t>
      </w:r>
      <w:r>
        <w:t>。生态保护红线内自然保护地共计</w:t>
      </w:r>
      <w:r>
        <w:t>33056.2432</w:t>
      </w:r>
      <w:r>
        <w:t>公顷。</w:t>
      </w:r>
    </w:p>
    <w:p w:rsidR="00F80ED2" w:rsidRDefault="00C8354C">
      <w:pPr>
        <w:numPr>
          <w:ilvl w:val="0"/>
          <w:numId w:val="18"/>
        </w:numPr>
        <w:ind w:left="0" w:firstLine="600"/>
      </w:pPr>
      <w:r>
        <w:t>优化调整情况</w:t>
      </w:r>
    </w:p>
    <w:p w:rsidR="00F80ED2" w:rsidRDefault="00C8354C">
      <w:pPr>
        <w:ind w:firstLine="600"/>
      </w:pPr>
      <w:r>
        <w:t>①</w:t>
      </w:r>
      <w:r>
        <w:rPr>
          <w:rFonts w:hint="eastAsia"/>
        </w:rPr>
        <w:t>生态红线调出地块情况</w:t>
      </w:r>
    </w:p>
    <w:p w:rsidR="00F80ED2" w:rsidRDefault="00C8354C">
      <w:pPr>
        <w:ind w:firstLine="600"/>
      </w:pPr>
      <w:r>
        <w:rPr>
          <w:rFonts w:hint="eastAsia"/>
        </w:rPr>
        <w:t>宁城县</w:t>
      </w:r>
      <w:r>
        <w:t>生态保护红线动态维护拟正向优化调出主要涉及</w:t>
      </w:r>
      <w:r>
        <w:rPr>
          <w:rFonts w:hint="eastAsia"/>
        </w:rPr>
        <w:t>2</w:t>
      </w:r>
      <w:r>
        <w:rPr>
          <w:rFonts w:hint="eastAsia"/>
        </w:rPr>
        <w:t>个</w:t>
      </w:r>
      <w:r>
        <w:t>方面。一是已依法撤销且经论证不具有重要生态功能的法定保护区域，经自治区人民政府同意后，可以相应调出生态保护红线。</w:t>
      </w:r>
      <w:r>
        <w:rPr>
          <w:rFonts w:cs="Times New Roman" w:hint="eastAsia"/>
        </w:rPr>
        <w:t>根据《内蒙古自治区人民政府关于划定、撤销赤峰市巴林右旗、喀喇沁旗、宁城县集中式饮用水水源保护区的批复》，已撤销宁城县天义镇二、四水厂地下水型集中式饮用水水源保护区，故本次将二、四水厂地下水型集中式饮用水水源保护区与生态保护红线重叠区域的生态保护红线调出，调出面积为</w:t>
      </w:r>
      <w:r>
        <w:rPr>
          <w:rFonts w:cs="Times New Roman" w:hint="eastAsia"/>
        </w:rPr>
        <w:t>58.3370</w:t>
      </w:r>
      <w:r>
        <w:rPr>
          <w:rFonts w:cs="Times New Roman" w:hint="eastAsia"/>
        </w:rPr>
        <w:t>公顷。</w:t>
      </w:r>
      <w:r>
        <w:rPr>
          <w:rFonts w:hint="eastAsia"/>
        </w:rPr>
        <w:t>二</w:t>
      </w:r>
      <w:r>
        <w:t>是对生态保护红线因精度误差与其他重要控制线重叠或与重要生态资源偏移等情况，可对生态保护红线外围边界开展局部技术勘正纳入本次动态维护工作中</w:t>
      </w:r>
      <w:r>
        <w:rPr>
          <w:rFonts w:hint="eastAsia"/>
        </w:rPr>
        <w:t>。故将生态保护红线与</w:t>
      </w:r>
      <w:r>
        <w:rPr>
          <w:rFonts w:cs="Times New Roman" w:hint="eastAsia"/>
        </w:rPr>
        <w:t>宁城存金矿业有限责任公司存金沟萤石矿重叠区域的生态红线调出，调出面</w:t>
      </w:r>
      <w:r>
        <w:rPr>
          <w:rFonts w:cs="Times New Roman" w:hint="eastAsia"/>
        </w:rPr>
        <w:lastRenderedPageBreak/>
        <w:t>积为</w:t>
      </w:r>
      <w:r>
        <w:rPr>
          <w:rFonts w:cs="Times New Roman" w:hint="eastAsia"/>
        </w:rPr>
        <w:t>8</w:t>
      </w:r>
      <w:r>
        <w:rPr>
          <w:rFonts w:cs="Times New Roman" w:hint="eastAsia"/>
        </w:rPr>
        <w:t>平方米；</w:t>
      </w:r>
      <w:r>
        <w:rPr>
          <w:rFonts w:hint="eastAsia"/>
        </w:rPr>
        <w:t>生态保护红线</w:t>
      </w:r>
      <w:r>
        <w:rPr>
          <w:rFonts w:cs="Times New Roman" w:hint="eastAsia"/>
        </w:rPr>
        <w:t>与宁城县平安矿业有限公司小梁子萤石矿重叠区域的生态红线调出，调出面积为</w:t>
      </w:r>
      <w:r>
        <w:rPr>
          <w:rFonts w:cs="Times New Roman" w:hint="eastAsia"/>
        </w:rPr>
        <w:t>5</w:t>
      </w:r>
      <w:r>
        <w:rPr>
          <w:rFonts w:cs="Times New Roman" w:hint="eastAsia"/>
        </w:rPr>
        <w:t>平方米；</w:t>
      </w:r>
      <w:r>
        <w:rPr>
          <w:rFonts w:hint="eastAsia"/>
        </w:rPr>
        <w:t>生态保护红线</w:t>
      </w:r>
      <w:r>
        <w:rPr>
          <w:rFonts w:cs="Times New Roman" w:hint="eastAsia"/>
        </w:rPr>
        <w:t>与赤峰市恩源矿业有限公司萤石矿重叠区域的生态红线调出，调出面积为</w:t>
      </w:r>
      <w:r>
        <w:rPr>
          <w:rFonts w:cs="Times New Roman" w:hint="eastAsia"/>
        </w:rPr>
        <w:t>1</w:t>
      </w:r>
      <w:r>
        <w:rPr>
          <w:rFonts w:cs="Times New Roman" w:hint="eastAsia"/>
        </w:rPr>
        <w:t>平方米；</w:t>
      </w:r>
      <w:r>
        <w:rPr>
          <w:rFonts w:hint="eastAsia"/>
        </w:rPr>
        <w:t>生态保护红线</w:t>
      </w:r>
      <w:r>
        <w:rPr>
          <w:rFonts w:cs="Times New Roman" w:hint="eastAsia"/>
        </w:rPr>
        <w:t>与宁城县义顺合矿业有限公司小梁子萤石矿重叠区域的生态红线调出，调出面积为</w:t>
      </w:r>
      <w:r>
        <w:rPr>
          <w:rFonts w:cs="Times New Roman" w:hint="eastAsia"/>
        </w:rPr>
        <w:t>1</w:t>
      </w:r>
      <w:r>
        <w:rPr>
          <w:rFonts w:cs="Times New Roman" w:hint="eastAsia"/>
        </w:rPr>
        <w:t>平方米；</w:t>
      </w:r>
      <w:r>
        <w:rPr>
          <w:rFonts w:hint="eastAsia"/>
        </w:rPr>
        <w:t>生态保护红线</w:t>
      </w:r>
      <w:r>
        <w:rPr>
          <w:rFonts w:cs="Times New Roman" w:hint="eastAsia"/>
        </w:rPr>
        <w:t>与赤峰市恩源矿业有限公司泰富萤石重叠区域的生态红线调出，调出面积为</w:t>
      </w:r>
      <w:r>
        <w:rPr>
          <w:rFonts w:cs="Times New Roman" w:hint="eastAsia"/>
        </w:rPr>
        <w:t>3</w:t>
      </w:r>
      <w:r>
        <w:rPr>
          <w:rFonts w:cs="Times New Roman" w:hint="eastAsia"/>
        </w:rPr>
        <w:t>平方米；</w:t>
      </w:r>
      <w:r>
        <w:rPr>
          <w:rFonts w:hint="eastAsia"/>
        </w:rPr>
        <w:t>生态保护红线</w:t>
      </w:r>
      <w:r>
        <w:rPr>
          <w:rFonts w:cs="Times New Roman" w:hint="eastAsia"/>
        </w:rPr>
        <w:t>与宁城金海矿业有限公司萤石矿重叠区域的生态红线调出，调出面积为</w:t>
      </w:r>
      <w:r>
        <w:rPr>
          <w:rFonts w:cs="Times New Roman" w:hint="eastAsia"/>
        </w:rPr>
        <w:t>1</w:t>
      </w:r>
      <w:r>
        <w:rPr>
          <w:rFonts w:cs="Times New Roman" w:hint="eastAsia"/>
        </w:rPr>
        <w:t>平方米。</w:t>
      </w:r>
    </w:p>
    <w:p w:rsidR="00F80ED2" w:rsidRDefault="00C8354C">
      <w:pPr>
        <w:ind w:firstLine="600"/>
      </w:pPr>
      <w:r>
        <w:rPr>
          <w:rFonts w:ascii="Calibri" w:hAnsi="Calibri" w:cs="Calibri"/>
        </w:rPr>
        <w:t>②</w:t>
      </w:r>
      <w:r>
        <w:rPr>
          <w:rFonts w:hint="eastAsia"/>
        </w:rPr>
        <w:t>生态红线调入地块情况</w:t>
      </w:r>
    </w:p>
    <w:p w:rsidR="00F80ED2" w:rsidRDefault="00C8354C">
      <w:pPr>
        <w:ind w:firstLine="600"/>
        <w:rPr>
          <w:color w:val="FF0000"/>
        </w:rPr>
      </w:pPr>
      <w:r>
        <w:rPr>
          <w:rFonts w:hint="eastAsia"/>
        </w:rPr>
        <w:t>宁城县</w:t>
      </w:r>
      <w:r>
        <w:t>生态保护红线动态维护拟正向优化调入</w:t>
      </w:r>
      <w:r>
        <w:rPr>
          <w:rFonts w:hint="eastAsia"/>
        </w:rPr>
        <w:t>7</w:t>
      </w:r>
      <w:r>
        <w:rPr>
          <w:rFonts w:hint="eastAsia"/>
        </w:rPr>
        <w:t>个地块，面积为</w:t>
      </w:r>
      <w:r>
        <w:rPr>
          <w:rFonts w:hint="eastAsia"/>
        </w:rPr>
        <w:t>58.3392</w:t>
      </w:r>
      <w:r>
        <w:t>公顷</w:t>
      </w:r>
      <w:r>
        <w:rPr>
          <w:rFonts w:hint="eastAsia"/>
        </w:rPr>
        <w:t>，分别位于小城子镇、黑里河镇、存金沟乡、八里罕镇、大城子镇、三座店镇。</w:t>
      </w:r>
    </w:p>
    <w:p w:rsidR="00F80ED2" w:rsidRDefault="00C8354C">
      <w:pPr>
        <w:ind w:firstLine="600"/>
      </w:pPr>
      <w:r>
        <w:t>本次</w:t>
      </w:r>
      <w:r>
        <w:rPr>
          <w:rFonts w:hint="eastAsia"/>
        </w:rPr>
        <w:t>宁城县</w:t>
      </w:r>
      <w:r>
        <w:t>生态保护红线动态维护前面积</w:t>
      </w:r>
      <w:r>
        <w:t>80407.83</w:t>
      </w:r>
      <w:r>
        <w:t>公顷，生态保护红线动态维护后</w:t>
      </w:r>
      <w:r>
        <w:t>80407.83</w:t>
      </w:r>
      <w:r>
        <w:t>公顷。</w:t>
      </w:r>
    </w:p>
    <w:p w:rsidR="00F80ED2" w:rsidRDefault="00C8354C">
      <w:pPr>
        <w:numPr>
          <w:ilvl w:val="0"/>
          <w:numId w:val="18"/>
        </w:numPr>
        <w:ind w:left="0" w:firstLine="600"/>
      </w:pPr>
      <w:r>
        <w:t>总结</w:t>
      </w:r>
    </w:p>
    <w:p w:rsidR="00F80ED2" w:rsidRDefault="00C8354C">
      <w:pPr>
        <w:ind w:firstLine="600"/>
      </w:pPr>
      <w:r>
        <w:rPr>
          <w:rFonts w:hint="eastAsia"/>
        </w:rPr>
        <w:t>宁城县</w:t>
      </w:r>
      <w:r>
        <w:t>生态保护红线动态维护后面积</w:t>
      </w:r>
      <w:r>
        <w:rPr>
          <w:rFonts w:hint="eastAsia"/>
        </w:rPr>
        <w:t>少量增加</w:t>
      </w:r>
      <w:r>
        <w:t>，生态系统更完整。本轮动态维护有效推进生态保护红线边界调整，调出水源保护区以外的地块，消除孔洞，使生</w:t>
      </w:r>
      <w:r>
        <w:rPr>
          <w:rFonts w:hint="eastAsia"/>
        </w:rPr>
        <w:t>态系</w:t>
      </w:r>
      <w:r>
        <w:t>统更完整。</w:t>
      </w:r>
    </w:p>
    <w:p w:rsidR="00F80ED2" w:rsidRDefault="00F80ED2">
      <w:pPr>
        <w:ind w:firstLine="600"/>
      </w:pPr>
    </w:p>
    <w:p w:rsidR="00F80ED2" w:rsidRDefault="00C8354C">
      <w:pPr>
        <w:ind w:firstLineChars="0" w:firstLine="0"/>
        <w:jc w:val="center"/>
        <w:rPr>
          <w:rFonts w:ascii="仿宋" w:eastAsia="仿宋" w:hAnsi="仿宋" w:cs="仿宋"/>
          <w:b/>
          <w:bCs/>
          <w:color w:val="000000"/>
          <w:kern w:val="0"/>
          <w:sz w:val="24"/>
          <w:lang/>
        </w:rPr>
      </w:pPr>
      <w:r>
        <w:rPr>
          <w:rFonts w:ascii="仿宋" w:eastAsia="仿宋" w:hAnsi="仿宋" w:cs="仿宋"/>
          <w:b/>
          <w:bCs/>
          <w:color w:val="000000"/>
          <w:kern w:val="0"/>
          <w:sz w:val="24"/>
          <w:lang/>
        </w:rPr>
        <w:t xml:space="preserve">表 5-2 </w:t>
      </w:r>
      <w:r>
        <w:rPr>
          <w:rFonts w:ascii="仿宋" w:eastAsia="仿宋" w:hAnsi="仿宋" w:cs="仿宋" w:hint="eastAsia"/>
          <w:b/>
          <w:bCs/>
          <w:color w:val="000000"/>
          <w:kern w:val="0"/>
          <w:sz w:val="24"/>
          <w:lang/>
        </w:rPr>
        <w:t>宁城县</w:t>
      </w:r>
      <w:r>
        <w:rPr>
          <w:rFonts w:ascii="仿宋" w:eastAsia="仿宋" w:hAnsi="仿宋" w:cs="仿宋"/>
          <w:b/>
          <w:bCs/>
          <w:color w:val="000000"/>
          <w:kern w:val="0"/>
          <w:sz w:val="24"/>
          <w:lang/>
        </w:rPr>
        <w:t>生态保护红线优化成效指标表</w:t>
      </w:r>
    </w:p>
    <w:tbl>
      <w:tblPr>
        <w:tblStyle w:val="a5"/>
        <w:tblW w:w="0" w:type="auto"/>
        <w:tblLayout w:type="fixed"/>
        <w:tblLook w:val="04A0"/>
      </w:tblPr>
      <w:tblGrid>
        <w:gridCol w:w="506"/>
        <w:gridCol w:w="842"/>
        <w:gridCol w:w="1834"/>
        <w:gridCol w:w="1374"/>
        <w:gridCol w:w="1326"/>
        <w:gridCol w:w="1120"/>
        <w:gridCol w:w="1119"/>
        <w:gridCol w:w="399"/>
      </w:tblGrid>
      <w:tr w:rsidR="00F80ED2">
        <w:tc>
          <w:tcPr>
            <w:tcW w:w="506" w:type="dxa"/>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b/>
                <w:bCs/>
                <w:color w:val="000000"/>
                <w:kern w:val="0"/>
                <w:sz w:val="22"/>
                <w:szCs w:val="22"/>
                <w:lang/>
              </w:rPr>
              <w:t>控制线</w:t>
            </w:r>
          </w:p>
        </w:tc>
        <w:tc>
          <w:tcPr>
            <w:tcW w:w="842" w:type="dxa"/>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b/>
                <w:bCs/>
                <w:color w:val="000000"/>
                <w:kern w:val="0"/>
                <w:sz w:val="22"/>
                <w:szCs w:val="22"/>
                <w:lang/>
              </w:rPr>
              <w:t>优化导向</w:t>
            </w:r>
          </w:p>
        </w:tc>
        <w:tc>
          <w:tcPr>
            <w:tcW w:w="1834" w:type="dxa"/>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b/>
                <w:bCs/>
                <w:color w:val="000000"/>
                <w:kern w:val="0"/>
                <w:sz w:val="22"/>
                <w:szCs w:val="22"/>
                <w:lang/>
              </w:rPr>
              <w:t>具体指标</w:t>
            </w:r>
          </w:p>
        </w:tc>
        <w:tc>
          <w:tcPr>
            <w:tcW w:w="1374" w:type="dxa"/>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b/>
                <w:bCs/>
                <w:color w:val="000000"/>
                <w:kern w:val="0"/>
                <w:sz w:val="22"/>
                <w:szCs w:val="22"/>
                <w:lang/>
              </w:rPr>
              <w:t>维护前</w:t>
            </w:r>
          </w:p>
        </w:tc>
        <w:tc>
          <w:tcPr>
            <w:tcW w:w="1326" w:type="dxa"/>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b/>
                <w:bCs/>
                <w:color w:val="000000"/>
                <w:kern w:val="0"/>
                <w:sz w:val="22"/>
                <w:szCs w:val="22"/>
                <w:lang/>
              </w:rPr>
              <w:t>维护后</w:t>
            </w:r>
          </w:p>
        </w:tc>
        <w:tc>
          <w:tcPr>
            <w:tcW w:w="1120" w:type="dxa"/>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b/>
                <w:bCs/>
                <w:color w:val="000000"/>
                <w:kern w:val="0"/>
                <w:sz w:val="22"/>
                <w:szCs w:val="22"/>
                <w:lang/>
              </w:rPr>
              <w:t>变化量</w:t>
            </w:r>
          </w:p>
        </w:tc>
        <w:tc>
          <w:tcPr>
            <w:tcW w:w="1119" w:type="dxa"/>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b/>
                <w:bCs/>
                <w:color w:val="000000"/>
                <w:kern w:val="0"/>
                <w:sz w:val="22"/>
                <w:szCs w:val="22"/>
                <w:lang/>
              </w:rPr>
              <w:t>指标情况</w:t>
            </w:r>
          </w:p>
        </w:tc>
        <w:tc>
          <w:tcPr>
            <w:tcW w:w="399" w:type="dxa"/>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b/>
                <w:bCs/>
                <w:color w:val="000000"/>
                <w:kern w:val="0"/>
                <w:sz w:val="22"/>
                <w:szCs w:val="22"/>
                <w:lang/>
              </w:rPr>
              <w:t>备注</w:t>
            </w:r>
          </w:p>
        </w:tc>
      </w:tr>
      <w:tr w:rsidR="00F80ED2">
        <w:tc>
          <w:tcPr>
            <w:tcW w:w="506" w:type="dxa"/>
            <w:vMerge w:val="restart"/>
            <w:vAlign w:val="center"/>
          </w:tcPr>
          <w:p w:rsidR="00F80ED2" w:rsidRDefault="00C8354C">
            <w:pPr>
              <w:widowControl/>
              <w:spacing w:line="120" w:lineRule="auto"/>
              <w:ind w:firstLineChars="0" w:firstLine="0"/>
              <w:jc w:val="center"/>
              <w:textAlignment w:val="center"/>
              <w:rPr>
                <w:rFonts w:ascii="仿宋" w:eastAsia="仿宋" w:hAnsi="仿宋" w:cs="仿宋"/>
                <w:b/>
                <w:bCs/>
                <w:color w:val="000000"/>
                <w:kern w:val="0"/>
                <w:sz w:val="24"/>
                <w:highlight w:val="yellow"/>
                <w:lang/>
              </w:rPr>
            </w:pPr>
            <w:r>
              <w:rPr>
                <w:rFonts w:ascii="仿宋_GB2312" w:eastAsia="仿宋_GB2312" w:hAnsi="宋体" w:cs="仿宋_GB2312" w:hint="eastAsia"/>
                <w:color w:val="000000"/>
                <w:kern w:val="0"/>
                <w:sz w:val="22"/>
                <w:szCs w:val="22"/>
                <w:lang/>
              </w:rPr>
              <w:lastRenderedPageBreak/>
              <w:t>生态保护红线</w:t>
            </w:r>
          </w:p>
        </w:tc>
        <w:tc>
          <w:tcPr>
            <w:tcW w:w="842" w:type="dxa"/>
            <w:vMerge w:val="restart"/>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任务不减少</w:t>
            </w:r>
          </w:p>
        </w:tc>
        <w:tc>
          <w:tcPr>
            <w:tcW w:w="183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陆域生态保护红线面积（</w:t>
            </w:r>
            <w:r>
              <w:rPr>
                <w:rFonts w:ascii="仿宋_GB2312" w:eastAsia="仿宋_GB2312" w:hAnsi="宋体" w:cs="仿宋_GB2312" w:hint="eastAsia"/>
                <w:color w:val="000000"/>
                <w:kern w:val="0"/>
                <w:sz w:val="22"/>
                <w:szCs w:val="22"/>
                <w:lang/>
              </w:rPr>
              <w:t>公顷</w:t>
            </w:r>
            <w:r>
              <w:rPr>
                <w:rFonts w:ascii="仿宋_GB2312" w:eastAsia="仿宋_GB2312" w:hAnsi="宋体" w:cs="仿宋_GB2312"/>
                <w:color w:val="000000"/>
                <w:kern w:val="0"/>
                <w:sz w:val="22"/>
                <w:szCs w:val="22"/>
                <w:lang/>
              </w:rPr>
              <w:t>）</w:t>
            </w:r>
          </w:p>
        </w:tc>
        <w:tc>
          <w:tcPr>
            <w:tcW w:w="137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80407.8298</w:t>
            </w:r>
          </w:p>
        </w:tc>
        <w:tc>
          <w:tcPr>
            <w:tcW w:w="1326"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80407.8302</w:t>
            </w:r>
          </w:p>
        </w:tc>
        <w:tc>
          <w:tcPr>
            <w:tcW w:w="1120"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0.0004</w:t>
            </w:r>
          </w:p>
        </w:tc>
        <w:tc>
          <w:tcPr>
            <w:tcW w:w="1119"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不减少</w:t>
            </w:r>
          </w:p>
        </w:tc>
        <w:tc>
          <w:tcPr>
            <w:tcW w:w="399" w:type="dxa"/>
            <w:vAlign w:val="center"/>
          </w:tcPr>
          <w:p w:rsidR="00F80ED2" w:rsidRDefault="00F80ED2">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p>
        </w:tc>
      </w:tr>
      <w:tr w:rsidR="00F80ED2">
        <w:tc>
          <w:tcPr>
            <w:tcW w:w="506" w:type="dxa"/>
            <w:vMerge/>
            <w:vAlign w:val="center"/>
          </w:tcPr>
          <w:p w:rsidR="00F80ED2" w:rsidRDefault="00F80ED2">
            <w:pPr>
              <w:ind w:firstLineChars="0" w:firstLine="0"/>
              <w:jc w:val="center"/>
              <w:rPr>
                <w:rFonts w:ascii="仿宋" w:eastAsia="仿宋" w:hAnsi="仿宋" w:cs="仿宋"/>
                <w:b/>
                <w:bCs/>
                <w:color w:val="000000"/>
                <w:kern w:val="0"/>
                <w:sz w:val="24"/>
                <w:highlight w:val="yellow"/>
                <w:lang/>
              </w:rPr>
            </w:pPr>
          </w:p>
        </w:tc>
        <w:tc>
          <w:tcPr>
            <w:tcW w:w="842" w:type="dxa"/>
            <w:vMerge/>
            <w:vAlign w:val="center"/>
          </w:tcPr>
          <w:p w:rsidR="00F80ED2" w:rsidRDefault="00F80ED2">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p>
        </w:tc>
        <w:tc>
          <w:tcPr>
            <w:tcW w:w="183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海洋生态保护红线面积（</w:t>
            </w:r>
            <w:r>
              <w:rPr>
                <w:rFonts w:ascii="仿宋_GB2312" w:eastAsia="仿宋_GB2312" w:hAnsi="宋体" w:cs="仿宋_GB2312" w:hint="eastAsia"/>
                <w:color w:val="000000"/>
                <w:kern w:val="0"/>
                <w:sz w:val="22"/>
                <w:szCs w:val="22"/>
                <w:lang/>
              </w:rPr>
              <w:t>公顷</w:t>
            </w:r>
            <w:r>
              <w:rPr>
                <w:rFonts w:ascii="仿宋_GB2312" w:eastAsia="仿宋_GB2312" w:hAnsi="宋体" w:cs="仿宋_GB2312"/>
                <w:color w:val="000000"/>
                <w:kern w:val="0"/>
                <w:sz w:val="22"/>
                <w:szCs w:val="22"/>
                <w:lang/>
              </w:rPr>
              <w:t>）</w:t>
            </w:r>
          </w:p>
        </w:tc>
        <w:tc>
          <w:tcPr>
            <w:tcW w:w="137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0</w:t>
            </w:r>
          </w:p>
        </w:tc>
        <w:tc>
          <w:tcPr>
            <w:tcW w:w="1326"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0</w:t>
            </w:r>
          </w:p>
        </w:tc>
        <w:tc>
          <w:tcPr>
            <w:tcW w:w="1120"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0</w:t>
            </w:r>
          </w:p>
        </w:tc>
        <w:tc>
          <w:tcPr>
            <w:tcW w:w="1119"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不减少</w:t>
            </w:r>
          </w:p>
        </w:tc>
        <w:tc>
          <w:tcPr>
            <w:tcW w:w="399" w:type="dxa"/>
            <w:vAlign w:val="center"/>
          </w:tcPr>
          <w:p w:rsidR="00F80ED2" w:rsidRDefault="00F80ED2">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p>
        </w:tc>
      </w:tr>
      <w:tr w:rsidR="00F80ED2">
        <w:tc>
          <w:tcPr>
            <w:tcW w:w="506" w:type="dxa"/>
            <w:vMerge/>
            <w:vAlign w:val="center"/>
          </w:tcPr>
          <w:p w:rsidR="00F80ED2" w:rsidRDefault="00F80ED2">
            <w:pPr>
              <w:ind w:firstLineChars="0" w:firstLine="0"/>
              <w:jc w:val="center"/>
              <w:rPr>
                <w:rFonts w:ascii="仿宋" w:eastAsia="仿宋" w:hAnsi="仿宋" w:cs="仿宋"/>
                <w:b/>
                <w:bCs/>
                <w:color w:val="000000"/>
                <w:kern w:val="0"/>
                <w:sz w:val="24"/>
                <w:highlight w:val="yellow"/>
                <w:lang/>
              </w:rPr>
            </w:pPr>
          </w:p>
        </w:tc>
        <w:tc>
          <w:tcPr>
            <w:tcW w:w="842" w:type="dxa"/>
            <w:vMerge w:val="restart"/>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功能有提升</w:t>
            </w:r>
          </w:p>
        </w:tc>
        <w:tc>
          <w:tcPr>
            <w:tcW w:w="183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生态保护红线范围内生态功能用地面积（</w:t>
            </w:r>
            <w:r>
              <w:rPr>
                <w:rFonts w:ascii="仿宋_GB2312" w:eastAsia="仿宋_GB2312" w:hAnsi="宋体" w:cs="仿宋_GB2312" w:hint="eastAsia"/>
                <w:color w:val="000000"/>
                <w:kern w:val="0"/>
                <w:sz w:val="22"/>
                <w:szCs w:val="22"/>
                <w:lang/>
              </w:rPr>
              <w:t>公顷</w:t>
            </w:r>
            <w:r>
              <w:rPr>
                <w:rFonts w:ascii="仿宋_GB2312" w:eastAsia="仿宋_GB2312" w:hAnsi="宋体" w:cs="仿宋_GB2312"/>
                <w:color w:val="000000"/>
                <w:kern w:val="0"/>
                <w:sz w:val="22"/>
                <w:szCs w:val="22"/>
                <w:lang/>
              </w:rPr>
              <w:t>）</w:t>
            </w:r>
          </w:p>
        </w:tc>
        <w:tc>
          <w:tcPr>
            <w:tcW w:w="137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77461.7926</w:t>
            </w:r>
          </w:p>
        </w:tc>
        <w:tc>
          <w:tcPr>
            <w:tcW w:w="1326"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77517.4991</w:t>
            </w:r>
          </w:p>
        </w:tc>
        <w:tc>
          <w:tcPr>
            <w:tcW w:w="1120"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55.7065</w:t>
            </w:r>
          </w:p>
        </w:tc>
        <w:tc>
          <w:tcPr>
            <w:tcW w:w="1119"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不减少</w:t>
            </w:r>
          </w:p>
        </w:tc>
        <w:tc>
          <w:tcPr>
            <w:tcW w:w="399" w:type="dxa"/>
            <w:vAlign w:val="center"/>
          </w:tcPr>
          <w:p w:rsidR="00F80ED2" w:rsidRDefault="00F80ED2">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p>
        </w:tc>
      </w:tr>
      <w:tr w:rsidR="00F80ED2">
        <w:tc>
          <w:tcPr>
            <w:tcW w:w="506" w:type="dxa"/>
            <w:vMerge/>
            <w:vAlign w:val="center"/>
          </w:tcPr>
          <w:p w:rsidR="00F80ED2" w:rsidRDefault="00F80ED2">
            <w:pPr>
              <w:ind w:firstLineChars="0" w:firstLine="0"/>
              <w:jc w:val="center"/>
              <w:rPr>
                <w:rFonts w:ascii="仿宋" w:eastAsia="仿宋" w:hAnsi="仿宋" w:cs="仿宋"/>
                <w:b/>
                <w:bCs/>
                <w:color w:val="000000"/>
                <w:kern w:val="0"/>
                <w:sz w:val="24"/>
                <w:highlight w:val="yellow"/>
                <w:lang/>
              </w:rPr>
            </w:pPr>
          </w:p>
        </w:tc>
        <w:tc>
          <w:tcPr>
            <w:tcW w:w="842" w:type="dxa"/>
            <w:vMerge/>
            <w:vAlign w:val="center"/>
          </w:tcPr>
          <w:p w:rsidR="00F80ED2" w:rsidRDefault="00F80ED2">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p>
        </w:tc>
        <w:tc>
          <w:tcPr>
            <w:tcW w:w="183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生态保护红线内耕地面积（</w:t>
            </w:r>
            <w:r>
              <w:rPr>
                <w:rFonts w:ascii="仿宋_GB2312" w:eastAsia="仿宋_GB2312" w:hAnsi="宋体" w:cs="仿宋_GB2312" w:hint="eastAsia"/>
                <w:color w:val="000000"/>
                <w:kern w:val="0"/>
                <w:sz w:val="22"/>
                <w:szCs w:val="22"/>
                <w:lang/>
              </w:rPr>
              <w:t>公顷</w:t>
            </w:r>
            <w:r>
              <w:rPr>
                <w:rFonts w:ascii="仿宋_GB2312" w:eastAsia="仿宋_GB2312" w:hAnsi="宋体" w:cs="仿宋_GB2312"/>
                <w:color w:val="000000"/>
                <w:kern w:val="0"/>
                <w:sz w:val="22"/>
                <w:szCs w:val="22"/>
                <w:lang/>
              </w:rPr>
              <w:t>）</w:t>
            </w:r>
          </w:p>
        </w:tc>
        <w:tc>
          <w:tcPr>
            <w:tcW w:w="137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1791.0588</w:t>
            </w:r>
          </w:p>
        </w:tc>
        <w:tc>
          <w:tcPr>
            <w:tcW w:w="1326"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1744.1728</w:t>
            </w:r>
          </w:p>
        </w:tc>
        <w:tc>
          <w:tcPr>
            <w:tcW w:w="1120"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-46.8860</w:t>
            </w:r>
          </w:p>
        </w:tc>
        <w:tc>
          <w:tcPr>
            <w:tcW w:w="1119"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不增加</w:t>
            </w:r>
          </w:p>
        </w:tc>
        <w:tc>
          <w:tcPr>
            <w:tcW w:w="399" w:type="dxa"/>
            <w:vAlign w:val="center"/>
          </w:tcPr>
          <w:p w:rsidR="00F80ED2" w:rsidRDefault="00F80ED2">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p>
        </w:tc>
      </w:tr>
      <w:tr w:rsidR="00F80ED2">
        <w:tc>
          <w:tcPr>
            <w:tcW w:w="506" w:type="dxa"/>
            <w:vMerge/>
            <w:vAlign w:val="center"/>
          </w:tcPr>
          <w:p w:rsidR="00F80ED2" w:rsidRDefault="00F80ED2">
            <w:pPr>
              <w:ind w:firstLineChars="0" w:firstLine="0"/>
              <w:jc w:val="center"/>
              <w:rPr>
                <w:rFonts w:ascii="仿宋" w:eastAsia="仿宋" w:hAnsi="仿宋" w:cs="仿宋"/>
                <w:b/>
                <w:bCs/>
                <w:color w:val="000000"/>
                <w:kern w:val="0"/>
                <w:sz w:val="24"/>
                <w:highlight w:val="yellow"/>
                <w:lang/>
              </w:rPr>
            </w:pPr>
          </w:p>
        </w:tc>
        <w:tc>
          <w:tcPr>
            <w:tcW w:w="842"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布局更完善</w:t>
            </w:r>
          </w:p>
        </w:tc>
        <w:tc>
          <w:tcPr>
            <w:tcW w:w="183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color w:val="000000"/>
                <w:kern w:val="0"/>
                <w:sz w:val="22"/>
                <w:szCs w:val="22"/>
                <w:lang/>
              </w:rPr>
              <w:t>面积小于1平方公里的生态保护红线图斑数量</w:t>
            </w:r>
            <w:r>
              <w:rPr>
                <w:rFonts w:ascii="仿宋_GB2312" w:eastAsia="仿宋_GB2312" w:hAnsi="宋体" w:cs="仿宋_GB2312" w:hint="eastAsia"/>
                <w:color w:val="000000"/>
                <w:kern w:val="0"/>
                <w:sz w:val="22"/>
                <w:szCs w:val="22"/>
                <w:lang/>
              </w:rPr>
              <w:t>（个）</w:t>
            </w:r>
          </w:p>
        </w:tc>
        <w:tc>
          <w:tcPr>
            <w:tcW w:w="1374"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199</w:t>
            </w:r>
          </w:p>
        </w:tc>
        <w:tc>
          <w:tcPr>
            <w:tcW w:w="1326"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197</w:t>
            </w:r>
          </w:p>
        </w:tc>
        <w:tc>
          <w:tcPr>
            <w:tcW w:w="1120"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-2</w:t>
            </w:r>
          </w:p>
        </w:tc>
        <w:tc>
          <w:tcPr>
            <w:tcW w:w="1119" w:type="dxa"/>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2"/>
                <w:szCs w:val="22"/>
                <w:lang/>
              </w:rPr>
              <w:t>不增加</w:t>
            </w:r>
          </w:p>
        </w:tc>
        <w:tc>
          <w:tcPr>
            <w:tcW w:w="399" w:type="dxa"/>
            <w:vAlign w:val="center"/>
          </w:tcPr>
          <w:p w:rsidR="00F80ED2" w:rsidRDefault="00F80ED2">
            <w:pPr>
              <w:widowControl/>
              <w:spacing w:line="120" w:lineRule="auto"/>
              <w:ind w:firstLineChars="0" w:firstLine="0"/>
              <w:jc w:val="center"/>
              <w:textAlignment w:val="center"/>
              <w:rPr>
                <w:rFonts w:ascii="仿宋_GB2312" w:eastAsia="仿宋_GB2312" w:hAnsi="宋体" w:cs="仿宋_GB2312"/>
                <w:color w:val="000000"/>
                <w:kern w:val="0"/>
                <w:sz w:val="22"/>
                <w:szCs w:val="22"/>
                <w:lang/>
              </w:rPr>
            </w:pPr>
          </w:p>
        </w:tc>
      </w:tr>
    </w:tbl>
    <w:p w:rsidR="00F80ED2" w:rsidRDefault="00F80ED2">
      <w:pPr>
        <w:ind w:firstLineChars="0" w:firstLine="0"/>
        <w:jc w:val="center"/>
        <w:rPr>
          <w:rFonts w:ascii="仿宋" w:eastAsia="仿宋" w:hAnsi="仿宋" w:cs="仿宋"/>
          <w:b/>
          <w:bCs/>
          <w:color w:val="000000"/>
          <w:kern w:val="0"/>
          <w:sz w:val="24"/>
          <w:highlight w:val="yellow"/>
          <w:lang/>
        </w:rPr>
      </w:pPr>
    </w:p>
    <w:p w:rsidR="00F80ED2" w:rsidRDefault="00C8354C" w:rsidP="00C8354C">
      <w:pPr>
        <w:pStyle w:val="3"/>
        <w:numPr>
          <w:ilvl w:val="0"/>
          <w:numId w:val="16"/>
        </w:numPr>
        <w:ind w:firstLine="600"/>
      </w:pPr>
      <w:r>
        <w:t>城镇开发边界动态维护</w:t>
      </w:r>
    </w:p>
    <w:p w:rsidR="00F80ED2" w:rsidRDefault="00C8354C">
      <w:pPr>
        <w:numPr>
          <w:ilvl w:val="0"/>
          <w:numId w:val="19"/>
        </w:numPr>
        <w:ind w:left="0" w:firstLine="600"/>
      </w:pPr>
      <w:r>
        <w:t>现状情况</w:t>
      </w:r>
    </w:p>
    <w:p w:rsidR="00F80ED2" w:rsidRDefault="00C8354C">
      <w:pPr>
        <w:ind w:firstLine="600"/>
      </w:pPr>
      <w:r>
        <w:t>以自然资源部下发</w:t>
      </w:r>
      <w:r>
        <w:t>“</w:t>
      </w:r>
      <w:r>
        <w:t>三区三线</w:t>
      </w:r>
      <w:r>
        <w:t>”</w:t>
      </w:r>
      <w:r>
        <w:t>划定成果为基础，赤峰市</w:t>
      </w:r>
      <w:r>
        <w:rPr>
          <w:rFonts w:hint="eastAsia"/>
        </w:rPr>
        <w:t>宁城县</w:t>
      </w:r>
      <w:r>
        <w:t>划定城镇开发边界</w:t>
      </w:r>
      <w:r>
        <w:t>5604.738</w:t>
      </w:r>
      <w:r>
        <w:rPr>
          <w:rFonts w:hint="eastAsia"/>
        </w:rPr>
        <w:t>1</w:t>
      </w:r>
      <w:r>
        <w:t>公顷，扩展系数</w:t>
      </w:r>
      <w:r>
        <w:rPr>
          <w:rFonts w:hint="eastAsia"/>
        </w:rPr>
        <w:t>1.2890</w:t>
      </w:r>
      <w:r>
        <w:t>，增量</w:t>
      </w:r>
      <w:r>
        <w:t>649.2896</w:t>
      </w:r>
      <w:r>
        <w:t>公顷。</w:t>
      </w:r>
    </w:p>
    <w:p w:rsidR="00F80ED2" w:rsidRDefault="00C8354C">
      <w:pPr>
        <w:ind w:firstLine="600"/>
      </w:pPr>
      <w:r>
        <w:t>2024</w:t>
      </w:r>
      <w:r>
        <w:t>年，</w:t>
      </w:r>
      <w:r>
        <w:rPr>
          <w:rFonts w:hint="eastAsia"/>
        </w:rPr>
        <w:t>宁城县因配套设施及产业发展的需求，出现部分自治区重大项目用地范围不完全位于开发边界内的情况，按照城镇开发边界管控要求无法进行建设，对城镇开发边界调整优化，调整区域为天义镇，调整规模为</w:t>
      </w:r>
      <w:r>
        <w:rPr>
          <w:rFonts w:hint="eastAsia"/>
        </w:rPr>
        <w:t>18.4048</w:t>
      </w:r>
      <w:r>
        <w:rPr>
          <w:rFonts w:hint="eastAsia"/>
        </w:rPr>
        <w:t>公顷。</w:t>
      </w:r>
      <w:r>
        <w:rPr>
          <w:rFonts w:hint="eastAsia"/>
        </w:rPr>
        <w:t>2024</w:t>
      </w:r>
      <w:r>
        <w:rPr>
          <w:rFonts w:hint="eastAsia"/>
        </w:rPr>
        <w:t>年</w:t>
      </w:r>
      <w:r>
        <w:rPr>
          <w:rFonts w:hint="eastAsia"/>
        </w:rPr>
        <w:t>12</w:t>
      </w:r>
      <w:r>
        <w:rPr>
          <w:rFonts w:hint="eastAsia"/>
        </w:rPr>
        <w:t>月，获得《内蒙古自治区自然资源厅关于同意优化赤峰市宁城县城镇开发边界优化方案意见的函》（内自然资函〔</w:t>
      </w:r>
      <w:r>
        <w:rPr>
          <w:rFonts w:hint="eastAsia"/>
        </w:rPr>
        <w:t>2024</w:t>
      </w:r>
      <w:r>
        <w:rPr>
          <w:rFonts w:hint="eastAsia"/>
        </w:rPr>
        <w:t>〕</w:t>
      </w:r>
      <w:r>
        <w:rPr>
          <w:rFonts w:hint="eastAsia"/>
        </w:rPr>
        <w:t>1465</w:t>
      </w:r>
      <w:r>
        <w:rPr>
          <w:rFonts w:hint="eastAsia"/>
        </w:rPr>
        <w:t>号），成果</w:t>
      </w:r>
      <w:r>
        <w:t>更新到国土空间规划</w:t>
      </w:r>
      <w:r>
        <w:t>“</w:t>
      </w:r>
      <w:r>
        <w:t>一张图</w:t>
      </w:r>
      <w:r>
        <w:t>”</w:t>
      </w:r>
      <w:r>
        <w:t>系统，作为规划管理、用地审批的依据。</w:t>
      </w:r>
      <w:r>
        <w:rPr>
          <w:rFonts w:hint="eastAsia"/>
        </w:rPr>
        <w:t>宁城县</w:t>
      </w:r>
      <w:r>
        <w:t>调整后的开发边界是</w:t>
      </w:r>
      <w:r>
        <w:t>5604.7381</w:t>
      </w:r>
      <w:r>
        <w:t>公顷，增量规模</w:t>
      </w:r>
      <w:r>
        <w:t>648.572</w:t>
      </w:r>
      <w:r>
        <w:rPr>
          <w:rFonts w:hint="eastAsia"/>
        </w:rPr>
        <w:t>9</w:t>
      </w:r>
      <w:r>
        <w:t>公顷，城镇开发边界扩展倍数为</w:t>
      </w:r>
      <w:r>
        <w:rPr>
          <w:rFonts w:hint="eastAsia"/>
        </w:rPr>
        <w:t>1.2887</w:t>
      </w:r>
      <w:r>
        <w:t>。</w:t>
      </w:r>
    </w:p>
    <w:p w:rsidR="00F80ED2" w:rsidRDefault="00C8354C">
      <w:pPr>
        <w:ind w:firstLine="600"/>
      </w:pPr>
      <w:r>
        <w:t>根据部</w:t>
      </w:r>
      <w:r>
        <w:rPr>
          <w:rFonts w:hint="eastAsia"/>
        </w:rPr>
        <w:t>系统备案的最新城镇开发边界成果</w:t>
      </w:r>
      <w:r>
        <w:t>，</w:t>
      </w:r>
      <w:r>
        <w:rPr>
          <w:rFonts w:hint="eastAsia"/>
        </w:rPr>
        <w:t>宁城县</w:t>
      </w:r>
      <w:r>
        <w:t>城镇开发</w:t>
      </w:r>
      <w:r>
        <w:lastRenderedPageBreak/>
        <w:t>边界面积</w:t>
      </w:r>
      <w:r>
        <w:t>5604.7381</w:t>
      </w:r>
      <w:r>
        <w:t>公顷。开发边界按邻近图斑融合后统计，城镇开发边界图斑个数</w:t>
      </w:r>
      <w:r>
        <w:rPr>
          <w:rFonts w:hint="eastAsia"/>
        </w:rPr>
        <w:t>29</w:t>
      </w:r>
      <w:r>
        <w:t>个，最小图斑面积</w:t>
      </w:r>
      <w:r>
        <w:t>0.023</w:t>
      </w:r>
      <w:r>
        <w:rPr>
          <w:rFonts w:hint="eastAsia"/>
        </w:rPr>
        <w:t>1</w:t>
      </w:r>
      <w:r>
        <w:t>公顷。其中</w:t>
      </w:r>
      <w:r>
        <w:t>1</w:t>
      </w:r>
      <w:r>
        <w:t>公顷以下城镇开发边界零碎图斑</w:t>
      </w:r>
      <w:r>
        <w:rPr>
          <w:rFonts w:hint="eastAsia"/>
        </w:rPr>
        <w:t>4</w:t>
      </w:r>
      <w:r>
        <w:t>个。城镇开发边界围合范围内天窗</w:t>
      </w:r>
      <w:r>
        <w:rPr>
          <w:rFonts w:hint="eastAsia"/>
        </w:rPr>
        <w:t>270</w:t>
      </w:r>
      <w:r>
        <w:t>个，其中涉及永久基本农田</w:t>
      </w:r>
      <w:r>
        <w:rPr>
          <w:rFonts w:hint="eastAsia"/>
        </w:rPr>
        <w:t>14</w:t>
      </w:r>
      <w:r>
        <w:t>个，面积</w:t>
      </w:r>
      <w:r>
        <w:t>113</w:t>
      </w:r>
      <w:r>
        <w:rPr>
          <w:rFonts w:hint="eastAsia"/>
        </w:rPr>
        <w:t>.</w:t>
      </w:r>
      <w:r>
        <w:t>362</w:t>
      </w:r>
      <w:r>
        <w:rPr>
          <w:rFonts w:hint="eastAsia"/>
        </w:rPr>
        <w:t>4</w:t>
      </w:r>
      <w:r>
        <w:t>公顷。</w:t>
      </w:r>
    </w:p>
    <w:p w:rsidR="00F80ED2" w:rsidRDefault="00C8354C">
      <w:pPr>
        <w:numPr>
          <w:ilvl w:val="0"/>
          <w:numId w:val="19"/>
        </w:numPr>
        <w:ind w:left="0" w:firstLine="600"/>
      </w:pPr>
      <w:r>
        <w:t>优化调整情况</w:t>
      </w:r>
    </w:p>
    <w:p w:rsidR="00F80ED2" w:rsidRDefault="00C8354C">
      <w:pPr>
        <w:ind w:firstLine="600"/>
      </w:pPr>
      <w:r>
        <w:t>本次城镇开发边界动态维护拟正向优化调入总面积为</w:t>
      </w:r>
      <w:r>
        <w:rPr>
          <w:rFonts w:hint="eastAsia"/>
        </w:rPr>
        <w:t>4.4485</w:t>
      </w:r>
      <w:r>
        <w:t>公顷，涉及两个类型。一是</w:t>
      </w:r>
      <w:r>
        <w:rPr>
          <w:rFonts w:hint="eastAsia"/>
        </w:rPr>
        <w:t>宁城县市政</w:t>
      </w:r>
      <w:r>
        <w:t>基础设施建设项目确需调整城镇布局，调入面积</w:t>
      </w:r>
      <w:r>
        <w:rPr>
          <w:rFonts w:hint="eastAsia"/>
        </w:rPr>
        <w:t>4.3745</w:t>
      </w:r>
      <w:r>
        <w:t>公顷。二是</w:t>
      </w:r>
      <w:r>
        <w:rPr>
          <w:rFonts w:hint="eastAsia"/>
        </w:rPr>
        <w:t>殡葬项目</w:t>
      </w:r>
      <w:r>
        <w:t>，调入面积</w:t>
      </w:r>
      <w:r>
        <w:t>0.0740</w:t>
      </w:r>
      <w:r>
        <w:t>公顷</w:t>
      </w:r>
      <w:r>
        <w:rPr>
          <w:rFonts w:hint="eastAsia"/>
        </w:rPr>
        <w:t>。</w:t>
      </w:r>
    </w:p>
    <w:p w:rsidR="00F80ED2" w:rsidRDefault="00C8354C">
      <w:pPr>
        <w:spacing w:line="600" w:lineRule="exact"/>
        <w:ind w:leftChars="100" w:left="300" w:firstLineChars="100" w:firstLine="300"/>
      </w:pPr>
      <w:r>
        <w:t>本次</w:t>
      </w:r>
      <w:r>
        <w:rPr>
          <w:rFonts w:hint="eastAsia"/>
        </w:rPr>
        <w:t>调入</w:t>
      </w:r>
      <w:r>
        <w:t>调出地块</w:t>
      </w:r>
      <w:r>
        <w:rPr>
          <w:rFonts w:hint="eastAsia"/>
        </w:rPr>
        <w:t>均</w:t>
      </w:r>
      <w:r>
        <w:t>位于</w:t>
      </w:r>
      <w:r>
        <w:rPr>
          <w:rFonts w:hint="eastAsia"/>
        </w:rPr>
        <w:t>天义镇</w:t>
      </w:r>
      <w:r>
        <w:t>，</w:t>
      </w:r>
      <w:r>
        <w:rPr>
          <w:rFonts w:hint="eastAsia"/>
        </w:rPr>
        <w:t>调入项目</w:t>
      </w:r>
      <w:r>
        <w:rPr>
          <w:rFonts w:hint="eastAsia"/>
        </w:rPr>
        <w:t>10</w:t>
      </w:r>
      <w:r>
        <w:rPr>
          <w:rFonts w:hint="eastAsia"/>
        </w:rPr>
        <w:t>个，根据部批准的国土空间总体规划数据库，调入前规划用地类型为城镇村道路用地、公路用地、供热用地、灌木林地、果园、旱地、裸土地、农村道路、其他草地、乔木林地、商业用地、水浇地、种植设施建设用地，调入后规划用地类型包括城镇村道路用地、特殊用地、供热用地。</w:t>
      </w:r>
    </w:p>
    <w:p w:rsidR="00F80ED2" w:rsidRDefault="00C8354C">
      <w:pPr>
        <w:ind w:firstLine="600"/>
      </w:pPr>
      <w:r>
        <w:t>调出地块</w:t>
      </w:r>
      <w:r>
        <w:rPr>
          <w:rFonts w:hint="eastAsia"/>
        </w:rPr>
        <w:t>3</w:t>
      </w:r>
      <w:r>
        <w:rPr>
          <w:rFonts w:hint="eastAsia"/>
        </w:rPr>
        <w:t>块，调出前规划用地类型为教育用地、机关团体用地、城镇村道路用地，调出后规划用地类型为农村道路、农村宅基地、乔木林地、水浇地、其他林地</w:t>
      </w:r>
      <w:r>
        <w:t>。</w:t>
      </w:r>
      <w:r>
        <w:rPr>
          <w:rFonts w:hint="eastAsia"/>
        </w:rPr>
        <w:t>调出地块</w:t>
      </w:r>
      <w:r>
        <w:t>不占用国土变更调查的现状城镇建设用地、已依法依规批准且完成备案的建设用地、或已办理划拨或出让手续的建设用地、或已核发建设用地使用权权属证书的建设用地</w:t>
      </w:r>
      <w:r>
        <w:rPr>
          <w:rFonts w:hint="eastAsia"/>
        </w:rPr>
        <w:t>。</w:t>
      </w:r>
    </w:p>
    <w:p w:rsidR="00F80ED2" w:rsidRDefault="00C8354C">
      <w:pPr>
        <w:ind w:firstLine="600"/>
      </w:pPr>
      <w:r>
        <w:rPr>
          <w:rFonts w:hint="eastAsia"/>
        </w:rPr>
        <w:t>本次城镇开发边界维护结果</w:t>
      </w:r>
      <w:r>
        <w:t>按邻近图斑融合后统计，城镇开</w:t>
      </w:r>
      <w:r>
        <w:lastRenderedPageBreak/>
        <w:t>发边界图斑个数</w:t>
      </w:r>
      <w:r>
        <w:rPr>
          <w:rFonts w:hint="eastAsia"/>
        </w:rPr>
        <w:t>28</w:t>
      </w:r>
      <w:r>
        <w:t>个，最小图斑面积</w:t>
      </w:r>
      <w:r>
        <w:t>0.023</w:t>
      </w:r>
      <w:r>
        <w:rPr>
          <w:rFonts w:hint="eastAsia"/>
        </w:rPr>
        <w:t>1</w:t>
      </w:r>
      <w:r>
        <w:t>公顷。其中</w:t>
      </w:r>
      <w:r>
        <w:t>1</w:t>
      </w:r>
      <w:r>
        <w:t>公顷以下城镇开发边界零碎图斑</w:t>
      </w:r>
      <w:r>
        <w:rPr>
          <w:rFonts w:hint="eastAsia"/>
        </w:rPr>
        <w:t>4</w:t>
      </w:r>
      <w:r>
        <w:t>个。城镇开发边界围合范围内天窗</w:t>
      </w:r>
      <w:r>
        <w:rPr>
          <w:rFonts w:hint="eastAsia"/>
        </w:rPr>
        <w:t>270</w:t>
      </w:r>
      <w:r>
        <w:t>个，其中涉及永久基本农田</w:t>
      </w:r>
      <w:r>
        <w:rPr>
          <w:rFonts w:hint="eastAsia"/>
        </w:rPr>
        <w:t>14</w:t>
      </w:r>
      <w:r>
        <w:t>个，面积</w:t>
      </w:r>
      <w:r>
        <w:t>113.2285</w:t>
      </w:r>
      <w:r>
        <w:t>公顷。</w:t>
      </w:r>
    </w:p>
    <w:p w:rsidR="00F80ED2" w:rsidRDefault="00C8354C">
      <w:pPr>
        <w:ind w:firstLineChars="0" w:firstLine="0"/>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调入项目情况统计表</w:t>
      </w:r>
    </w:p>
    <w:p w:rsidR="00F80ED2" w:rsidRDefault="00F80ED2">
      <w:pPr>
        <w:ind w:firstLineChars="0" w:firstLine="0"/>
        <w:jc w:val="center"/>
        <w:rPr>
          <w:rFonts w:ascii="仿宋" w:eastAsia="仿宋" w:hAnsi="仿宋" w:cs="仿宋"/>
          <w:b/>
          <w:bCs/>
          <w:color w:val="000000"/>
          <w:kern w:val="0"/>
          <w:sz w:val="24"/>
          <w:lang/>
        </w:rPr>
      </w:pPr>
    </w:p>
    <w:tbl>
      <w:tblPr>
        <w:tblW w:w="5000" w:type="pct"/>
        <w:tblLayout w:type="fixed"/>
        <w:tblLook w:val="04A0"/>
      </w:tblPr>
      <w:tblGrid>
        <w:gridCol w:w="398"/>
        <w:gridCol w:w="2595"/>
        <w:gridCol w:w="695"/>
        <w:gridCol w:w="731"/>
        <w:gridCol w:w="1028"/>
        <w:gridCol w:w="1636"/>
        <w:gridCol w:w="1439"/>
      </w:tblGrid>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序号</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调入项目名称</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调入地块数量</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调入面积（公顷）</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调入位置（行政村）</w:t>
            </w: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调入前规划用地类型</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rPr>
              <w:t>调入后规划用地类型</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w:t>
            </w:r>
          </w:p>
        </w:tc>
        <w:tc>
          <w:tcPr>
            <w:tcW w:w="1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宁城县公墓服务中心</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0.0740</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五间房社区</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旱地、农村道路、乔木林地、</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特殊用地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w:t>
            </w:r>
          </w:p>
        </w:tc>
        <w:tc>
          <w:tcPr>
            <w:tcW w:w="1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宁城县昊丰热力有限责任公司燃煤锅炉改造项目</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1.2805</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京南社区</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果园、裸土地、水浇地、</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供热用地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w:t>
            </w:r>
          </w:p>
        </w:tc>
        <w:tc>
          <w:tcPr>
            <w:tcW w:w="1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宁城县天义城区大明街（滨河路—污水处理厂）道路建设工程</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0.2657</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沙坨子社区</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城镇村道路用地、公路用地、灌木林地、果园、农村道路、其他草地、乔木林地、水浇地、种植设施建设用地、</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w:t>
            </w:r>
          </w:p>
        </w:tc>
        <w:tc>
          <w:tcPr>
            <w:tcW w:w="1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宁城县天义城区大明街、百合街辅路及百合街供热能源站建设项目</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3</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0.4173</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沙坨子社区</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公路用地、供热用地、果园、乔木林地、水浇地、种植设施建设用地、</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5</w:t>
            </w:r>
          </w:p>
        </w:tc>
        <w:tc>
          <w:tcPr>
            <w:tcW w:w="1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宁城县天义城区高桥路(热水街-大明街)道路建设工程</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0.1298</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哈河社区</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供热用地、乔木林地、水浇地、</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6</w:t>
            </w:r>
          </w:p>
        </w:tc>
        <w:tc>
          <w:tcPr>
            <w:tcW w:w="1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宁城县天义城区哈河大街西段（永昌路—加油站）道路建设工程</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1</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0.1042</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富家窝铺村</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城镇村道路用地、果园、</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7</w:t>
            </w:r>
          </w:p>
        </w:tc>
        <w:tc>
          <w:tcPr>
            <w:tcW w:w="1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宁城县天义城区建设路（坤都伦街—百合街）道路建设工程</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2</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0.0846</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沙坨子社区</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公路用地、果园、</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8</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宁城县天义城区双赢街西段</w:t>
            </w:r>
            <w:r>
              <w:rPr>
                <w:rFonts w:ascii="宋体" w:eastAsia="宋体" w:hAnsi="宋体" w:cs="宋体" w:hint="eastAsia"/>
                <w:color w:val="000000"/>
                <w:kern w:val="0"/>
                <w:sz w:val="15"/>
                <w:szCs w:val="15"/>
                <w:lang/>
              </w:rPr>
              <w:br/>
              <w:t>（新宁路—永昌路与天马街十字路口）道路建设工程</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7</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0.0005</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富家窝铺村</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乔木林地</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9</w:t>
            </w:r>
          </w:p>
        </w:tc>
        <w:tc>
          <w:tcPr>
            <w:tcW w:w="15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宁城县天义城区永昌路（天马街—天铁一级路）道路建设工程</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4</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0.1159</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富家窝铺村</w:t>
            </w: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城镇村道路用地、公路用地、果园、农村道路、其他草地、乔木林地、商业用地、</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rPr>
              <w:t>城镇村道路用地</w:t>
            </w:r>
          </w:p>
        </w:tc>
      </w:tr>
      <w:tr w:rsidR="00F80ED2">
        <w:trPr>
          <w:trHeight w:val="454"/>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kern w:val="0"/>
                <w:sz w:val="15"/>
                <w:szCs w:val="15"/>
                <w:lang/>
              </w:rPr>
            </w:pPr>
            <w:r>
              <w:rPr>
                <w:rFonts w:ascii="宋体" w:eastAsia="宋体" w:hAnsi="宋体" w:cs="宋体" w:hint="eastAsia"/>
                <w:color w:val="000000"/>
                <w:kern w:val="0"/>
                <w:sz w:val="15"/>
                <w:szCs w:val="15"/>
                <w:lang/>
              </w:rPr>
              <w:t>10</w:t>
            </w:r>
          </w:p>
        </w:tc>
        <w:tc>
          <w:tcPr>
            <w:tcW w:w="25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kern w:val="0"/>
                <w:sz w:val="15"/>
                <w:szCs w:val="15"/>
                <w:lang/>
              </w:rPr>
            </w:pPr>
            <w:r>
              <w:rPr>
                <w:rFonts w:ascii="宋体" w:eastAsia="宋体" w:hAnsi="宋体" w:cs="宋体" w:hint="eastAsia"/>
                <w:color w:val="000000"/>
                <w:kern w:val="0"/>
                <w:sz w:val="15"/>
                <w:szCs w:val="15"/>
                <w:lang/>
              </w:rPr>
              <w:t>生物科技产业园华恒生物南侧道路工程</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kern w:val="0"/>
                <w:sz w:val="15"/>
                <w:szCs w:val="15"/>
                <w:lang/>
              </w:rPr>
            </w:pPr>
            <w:r>
              <w:rPr>
                <w:rFonts w:ascii="宋体" w:eastAsia="宋体" w:hAnsi="宋体" w:cs="宋体" w:hint="eastAsia"/>
                <w:color w:val="000000"/>
                <w:kern w:val="0"/>
                <w:sz w:val="15"/>
                <w:szCs w:val="15"/>
                <w:lang/>
              </w:rPr>
              <w:t>1</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kern w:val="0"/>
                <w:sz w:val="15"/>
                <w:szCs w:val="15"/>
                <w:lang/>
              </w:rPr>
            </w:pPr>
            <w:r>
              <w:rPr>
                <w:rFonts w:ascii="宋体" w:eastAsia="宋体" w:hAnsi="宋体" w:cs="宋体" w:hint="eastAsia"/>
                <w:color w:val="000000"/>
                <w:kern w:val="0"/>
                <w:sz w:val="15"/>
                <w:szCs w:val="15"/>
                <w:lang/>
              </w:rPr>
              <w:t>1.976</w:t>
            </w:r>
          </w:p>
        </w:tc>
        <w:tc>
          <w:tcPr>
            <w:tcW w:w="1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kern w:val="0"/>
                <w:sz w:val="15"/>
                <w:szCs w:val="15"/>
                <w:lang/>
              </w:rPr>
            </w:pPr>
            <w:r>
              <w:rPr>
                <w:rFonts w:ascii="宋体" w:eastAsia="宋体" w:hAnsi="宋体" w:cs="宋体" w:hint="eastAsia"/>
                <w:color w:val="000000"/>
                <w:kern w:val="0"/>
                <w:sz w:val="15"/>
                <w:szCs w:val="15"/>
                <w:lang/>
              </w:rPr>
              <w:t>岗岗营子村</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0ED2" w:rsidRDefault="00C8354C">
            <w:pPr>
              <w:widowControl/>
              <w:ind w:firstLineChars="0" w:firstLine="0"/>
              <w:jc w:val="center"/>
              <w:textAlignment w:val="center"/>
              <w:rPr>
                <w:rFonts w:ascii="宋体" w:eastAsia="宋体" w:hAnsi="宋体" w:cs="宋体"/>
                <w:color w:val="000000"/>
                <w:kern w:val="0"/>
                <w:sz w:val="15"/>
                <w:szCs w:val="15"/>
                <w:lang/>
              </w:rPr>
            </w:pPr>
            <w:r>
              <w:rPr>
                <w:rFonts w:ascii="宋体" w:eastAsia="宋体" w:hAnsi="宋体" w:cs="宋体" w:hint="eastAsia"/>
                <w:color w:val="000000"/>
                <w:kern w:val="0"/>
                <w:sz w:val="15"/>
                <w:szCs w:val="15"/>
                <w:lang/>
              </w:rPr>
              <w:t>城镇村道路用地</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ED2" w:rsidRDefault="00C8354C">
            <w:pPr>
              <w:widowControl/>
              <w:ind w:firstLineChars="0" w:firstLine="0"/>
              <w:jc w:val="center"/>
              <w:textAlignment w:val="center"/>
              <w:rPr>
                <w:rFonts w:ascii="宋体" w:eastAsia="宋体" w:hAnsi="宋体" w:cs="宋体"/>
                <w:color w:val="000000"/>
                <w:kern w:val="0"/>
                <w:sz w:val="15"/>
                <w:szCs w:val="15"/>
                <w:lang/>
              </w:rPr>
            </w:pPr>
            <w:r>
              <w:rPr>
                <w:rFonts w:ascii="宋体" w:eastAsia="宋体" w:hAnsi="宋体" w:cs="宋体" w:hint="eastAsia"/>
                <w:color w:val="000000"/>
                <w:kern w:val="0"/>
                <w:sz w:val="15"/>
                <w:szCs w:val="15"/>
                <w:lang/>
              </w:rPr>
              <w:t>城镇村道路用地</w:t>
            </w:r>
          </w:p>
        </w:tc>
      </w:tr>
    </w:tbl>
    <w:p w:rsidR="00F80ED2" w:rsidRDefault="00C8354C">
      <w:pPr>
        <w:numPr>
          <w:ilvl w:val="0"/>
          <w:numId w:val="19"/>
        </w:numPr>
        <w:ind w:left="0" w:firstLine="600"/>
      </w:pPr>
      <w:r>
        <w:t>总结</w:t>
      </w:r>
    </w:p>
    <w:p w:rsidR="00F80ED2" w:rsidRDefault="00C8354C">
      <w:pPr>
        <w:ind w:firstLine="600"/>
      </w:pPr>
      <w:r>
        <w:t>城镇开发边界动态维护后，城镇开发边界总规模不增加，扩</w:t>
      </w:r>
      <w:r>
        <w:lastRenderedPageBreak/>
        <w:t>展倍数不增加，零星破碎图斑</w:t>
      </w:r>
      <w:r>
        <w:rPr>
          <w:rFonts w:hint="eastAsia"/>
        </w:rPr>
        <w:t>数量不增加</w:t>
      </w:r>
      <w:r>
        <w:t>，城镇开发边界围合范围内永久基本农田</w:t>
      </w:r>
      <w:r>
        <w:t>“</w:t>
      </w:r>
      <w:r>
        <w:t>天窗</w:t>
      </w:r>
      <w:r>
        <w:t>”</w:t>
      </w:r>
      <w:r>
        <w:t>个数</w:t>
      </w:r>
      <w:r>
        <w:rPr>
          <w:rFonts w:hint="eastAsia"/>
        </w:rPr>
        <w:t>不增加，已批开发区和非农业产业园区面积划入率不减少，城镇开发边界内不适宜城镇建设区域面积（包括</w:t>
      </w:r>
      <w:r>
        <w:rPr>
          <w:rFonts w:hint="eastAsia"/>
        </w:rPr>
        <w:t>:</w:t>
      </w:r>
      <w:r>
        <w:rPr>
          <w:rFonts w:hint="eastAsia"/>
        </w:rPr>
        <w:t>地质灾害极高和高风险区、蓄滞洪区、重要矿产资源压覆区、大遗址保护区等）有增加，</w:t>
      </w:r>
      <w:r>
        <w:t>中心城区</w:t>
      </w:r>
      <w:r>
        <w:rPr>
          <w:rFonts w:hint="eastAsia"/>
        </w:rPr>
        <w:t>道路网</w:t>
      </w:r>
      <w:r>
        <w:t>密度有提</w:t>
      </w:r>
      <w:r>
        <w:rPr>
          <w:rFonts w:hint="eastAsia"/>
        </w:rPr>
        <w:t>升</w:t>
      </w:r>
      <w:r>
        <w:t>，公园绿地、广场步行</w:t>
      </w:r>
      <w:r>
        <w:t>5</w:t>
      </w:r>
      <w:r>
        <w:t>分钟覆盖率</w:t>
      </w:r>
      <w:r>
        <w:rPr>
          <w:rFonts w:hint="eastAsia"/>
        </w:rPr>
        <w:t>不减少</w:t>
      </w:r>
      <w:r>
        <w:t>。</w:t>
      </w:r>
    </w:p>
    <w:p w:rsidR="00F80ED2" w:rsidRDefault="00C8354C" w:rsidP="00C8354C">
      <w:pPr>
        <w:widowControl/>
        <w:ind w:firstLine="482"/>
        <w:jc w:val="center"/>
      </w:pPr>
      <w:r>
        <w:rPr>
          <w:rFonts w:ascii="仿宋" w:eastAsia="仿宋" w:hAnsi="仿宋" w:cs="仿宋"/>
          <w:b/>
          <w:bCs/>
          <w:color w:val="000000"/>
          <w:kern w:val="0"/>
          <w:sz w:val="24"/>
          <w:lang/>
        </w:rPr>
        <w:t xml:space="preserve">表 5-3 </w:t>
      </w:r>
      <w:r>
        <w:rPr>
          <w:rFonts w:ascii="仿宋" w:eastAsia="仿宋" w:hAnsi="仿宋" w:cs="仿宋" w:hint="eastAsia"/>
          <w:b/>
          <w:bCs/>
          <w:color w:val="000000"/>
          <w:kern w:val="0"/>
          <w:sz w:val="24"/>
          <w:lang/>
        </w:rPr>
        <w:t>宁城县</w:t>
      </w:r>
      <w:r>
        <w:rPr>
          <w:rFonts w:ascii="仿宋" w:eastAsia="仿宋" w:hAnsi="仿宋" w:cs="仿宋"/>
          <w:b/>
          <w:bCs/>
          <w:color w:val="000000"/>
          <w:kern w:val="0"/>
          <w:sz w:val="24"/>
          <w:lang/>
        </w:rPr>
        <w:t>城镇开发边界优化成效指标表</w:t>
      </w:r>
    </w:p>
    <w:tbl>
      <w:tblPr>
        <w:tblW w:w="8955" w:type="dxa"/>
        <w:tblInd w:w="96" w:type="dxa"/>
        <w:tblLayout w:type="fixed"/>
        <w:tblLook w:val="04A0"/>
      </w:tblPr>
      <w:tblGrid>
        <w:gridCol w:w="478"/>
        <w:gridCol w:w="978"/>
        <w:gridCol w:w="2489"/>
        <w:gridCol w:w="1479"/>
        <w:gridCol w:w="1344"/>
        <w:gridCol w:w="1111"/>
        <w:gridCol w:w="597"/>
        <w:gridCol w:w="479"/>
      </w:tblGrid>
      <w:tr w:rsidR="00F80ED2">
        <w:trPr>
          <w:cantSplit/>
          <w:trHeight w:val="454"/>
          <w:tblHeader/>
        </w:trPr>
        <w:tc>
          <w:tcPr>
            <w:tcW w:w="4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b/>
                <w:bCs/>
                <w:color w:val="000000"/>
                <w:sz w:val="22"/>
                <w:szCs w:val="22"/>
              </w:rPr>
            </w:pPr>
            <w:r>
              <w:rPr>
                <w:rFonts w:ascii="仿宋_GB2312" w:eastAsia="仿宋_GB2312" w:hAnsi="宋体" w:cs="仿宋_GB2312"/>
                <w:b/>
                <w:bCs/>
                <w:color w:val="000000"/>
                <w:kern w:val="0"/>
                <w:sz w:val="22"/>
                <w:szCs w:val="22"/>
                <w:lang/>
              </w:rPr>
              <w:t>控制线</w:t>
            </w:r>
          </w:p>
        </w:tc>
        <w:tc>
          <w:tcPr>
            <w:tcW w:w="978" w:type="dxa"/>
            <w:tcBorders>
              <w:top w:val="single" w:sz="8" w:space="0" w:color="000000"/>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b/>
                <w:bCs/>
                <w:color w:val="000000"/>
                <w:sz w:val="22"/>
                <w:szCs w:val="22"/>
              </w:rPr>
            </w:pPr>
            <w:r>
              <w:rPr>
                <w:rFonts w:ascii="仿宋_GB2312" w:eastAsia="仿宋_GB2312" w:hAnsi="宋体" w:cs="仿宋_GB2312"/>
                <w:b/>
                <w:bCs/>
                <w:color w:val="000000"/>
                <w:kern w:val="0"/>
                <w:sz w:val="22"/>
                <w:szCs w:val="22"/>
                <w:lang/>
              </w:rPr>
              <w:t>优化导向</w:t>
            </w:r>
          </w:p>
        </w:tc>
        <w:tc>
          <w:tcPr>
            <w:tcW w:w="2489" w:type="dxa"/>
            <w:tcBorders>
              <w:top w:val="single" w:sz="8" w:space="0" w:color="000000"/>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b/>
                <w:bCs/>
                <w:color w:val="000000"/>
                <w:sz w:val="22"/>
                <w:szCs w:val="22"/>
              </w:rPr>
            </w:pPr>
            <w:r>
              <w:rPr>
                <w:rFonts w:ascii="仿宋_GB2312" w:eastAsia="仿宋_GB2312" w:hAnsi="宋体" w:cs="仿宋_GB2312"/>
                <w:b/>
                <w:bCs/>
                <w:color w:val="000000"/>
                <w:kern w:val="0"/>
                <w:sz w:val="22"/>
                <w:szCs w:val="22"/>
                <w:lang/>
              </w:rPr>
              <w:t>具体指标</w:t>
            </w:r>
          </w:p>
        </w:tc>
        <w:tc>
          <w:tcPr>
            <w:tcW w:w="1479" w:type="dxa"/>
            <w:tcBorders>
              <w:top w:val="single" w:sz="8" w:space="0" w:color="000000"/>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b/>
                <w:bCs/>
                <w:color w:val="000000"/>
                <w:sz w:val="22"/>
                <w:szCs w:val="22"/>
              </w:rPr>
            </w:pPr>
            <w:r>
              <w:rPr>
                <w:rFonts w:ascii="仿宋_GB2312" w:eastAsia="仿宋_GB2312" w:hAnsi="宋体" w:cs="仿宋_GB2312"/>
                <w:b/>
                <w:bCs/>
                <w:color w:val="000000"/>
                <w:kern w:val="0"/>
                <w:sz w:val="22"/>
                <w:szCs w:val="22"/>
                <w:lang/>
              </w:rPr>
              <w:t>维护前</w:t>
            </w:r>
          </w:p>
        </w:tc>
        <w:tc>
          <w:tcPr>
            <w:tcW w:w="1344" w:type="dxa"/>
            <w:tcBorders>
              <w:top w:val="single" w:sz="8" w:space="0" w:color="000000"/>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b/>
                <w:bCs/>
                <w:color w:val="000000"/>
                <w:sz w:val="22"/>
                <w:szCs w:val="22"/>
              </w:rPr>
            </w:pPr>
            <w:r>
              <w:rPr>
                <w:rFonts w:ascii="仿宋_GB2312" w:eastAsia="仿宋_GB2312" w:hAnsi="宋体" w:cs="仿宋_GB2312"/>
                <w:b/>
                <w:bCs/>
                <w:color w:val="000000"/>
                <w:kern w:val="0"/>
                <w:sz w:val="22"/>
                <w:szCs w:val="22"/>
                <w:lang/>
              </w:rPr>
              <w:t>维护后</w:t>
            </w:r>
          </w:p>
        </w:tc>
        <w:tc>
          <w:tcPr>
            <w:tcW w:w="1111" w:type="dxa"/>
            <w:tcBorders>
              <w:top w:val="single" w:sz="8" w:space="0" w:color="000000"/>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b/>
                <w:bCs/>
                <w:color w:val="000000"/>
                <w:sz w:val="22"/>
                <w:szCs w:val="22"/>
              </w:rPr>
            </w:pPr>
            <w:r>
              <w:rPr>
                <w:rFonts w:ascii="仿宋_GB2312" w:eastAsia="仿宋_GB2312" w:hAnsi="宋体" w:cs="仿宋_GB2312"/>
                <w:b/>
                <w:bCs/>
                <w:color w:val="000000"/>
                <w:kern w:val="0"/>
                <w:sz w:val="22"/>
                <w:szCs w:val="22"/>
                <w:lang/>
              </w:rPr>
              <w:t>变化量</w:t>
            </w:r>
          </w:p>
        </w:tc>
        <w:tc>
          <w:tcPr>
            <w:tcW w:w="597" w:type="dxa"/>
            <w:tcBorders>
              <w:top w:val="single" w:sz="8" w:space="0" w:color="000000"/>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b/>
                <w:bCs/>
                <w:color w:val="000000"/>
                <w:sz w:val="22"/>
                <w:szCs w:val="22"/>
              </w:rPr>
            </w:pPr>
            <w:r>
              <w:rPr>
                <w:rFonts w:ascii="仿宋_GB2312" w:eastAsia="仿宋_GB2312" w:hAnsi="宋体" w:cs="仿宋_GB2312"/>
                <w:b/>
                <w:bCs/>
                <w:color w:val="000000"/>
                <w:kern w:val="0"/>
                <w:sz w:val="22"/>
                <w:szCs w:val="22"/>
                <w:lang/>
              </w:rPr>
              <w:t>指标情况</w:t>
            </w:r>
          </w:p>
        </w:tc>
        <w:tc>
          <w:tcPr>
            <w:tcW w:w="479" w:type="dxa"/>
            <w:tcBorders>
              <w:top w:val="single" w:sz="8" w:space="0" w:color="000000"/>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b/>
                <w:bCs/>
                <w:color w:val="000000"/>
                <w:sz w:val="22"/>
                <w:szCs w:val="22"/>
              </w:rPr>
            </w:pPr>
            <w:r>
              <w:rPr>
                <w:rFonts w:ascii="仿宋_GB2312" w:eastAsia="仿宋_GB2312" w:hAnsi="宋体" w:cs="仿宋_GB2312"/>
                <w:b/>
                <w:bCs/>
                <w:color w:val="000000"/>
                <w:kern w:val="0"/>
                <w:sz w:val="22"/>
                <w:szCs w:val="22"/>
                <w:lang/>
              </w:rPr>
              <w:t>备注</w:t>
            </w:r>
          </w:p>
        </w:tc>
      </w:tr>
      <w:tr w:rsidR="00F80ED2">
        <w:trPr>
          <w:cantSplit/>
          <w:trHeight w:val="454"/>
        </w:trPr>
        <w:tc>
          <w:tcPr>
            <w:tcW w:w="478" w:type="dxa"/>
            <w:vMerge w:val="restart"/>
            <w:tcBorders>
              <w:top w:val="nil"/>
              <w:left w:val="single" w:sz="8" w:space="0" w:color="000000"/>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城镇开发边界</w:t>
            </w:r>
          </w:p>
        </w:tc>
        <w:tc>
          <w:tcPr>
            <w:tcW w:w="978"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（一）总规模</w:t>
            </w:r>
          </w:p>
        </w:tc>
        <w:tc>
          <w:tcPr>
            <w:tcW w:w="248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城镇开发边界总面积（公顷）</w:t>
            </w:r>
          </w:p>
        </w:tc>
        <w:tc>
          <w:tcPr>
            <w:tcW w:w="147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5604.7381</w:t>
            </w:r>
          </w:p>
        </w:tc>
        <w:tc>
          <w:tcPr>
            <w:tcW w:w="1344"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5604.7381</w:t>
            </w:r>
          </w:p>
        </w:tc>
        <w:tc>
          <w:tcPr>
            <w:tcW w:w="1111"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0</w:t>
            </w:r>
          </w:p>
        </w:tc>
        <w:tc>
          <w:tcPr>
            <w:tcW w:w="597"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不增加</w:t>
            </w:r>
          </w:p>
        </w:tc>
        <w:tc>
          <w:tcPr>
            <w:tcW w:w="479" w:type="dxa"/>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城镇开发边界扩展倍数和规模</w:t>
            </w:r>
          </w:p>
        </w:tc>
        <w:tc>
          <w:tcPr>
            <w:tcW w:w="147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1.2887/648.5729</w:t>
            </w:r>
          </w:p>
        </w:tc>
        <w:tc>
          <w:tcPr>
            <w:tcW w:w="1344"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1.2887/648.5728</w:t>
            </w:r>
          </w:p>
        </w:tc>
        <w:tc>
          <w:tcPr>
            <w:tcW w:w="1111"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0/0.0001</w:t>
            </w:r>
          </w:p>
        </w:tc>
        <w:tc>
          <w:tcPr>
            <w:tcW w:w="597"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不增加</w:t>
            </w:r>
          </w:p>
        </w:tc>
        <w:tc>
          <w:tcPr>
            <w:tcW w:w="479" w:type="dxa"/>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（二）布局</w:t>
            </w:r>
          </w:p>
        </w:tc>
        <w:tc>
          <w:tcPr>
            <w:tcW w:w="248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15亩以下破碎的城镇开发边界图斑数量（个）</w:t>
            </w:r>
          </w:p>
        </w:tc>
        <w:tc>
          <w:tcPr>
            <w:tcW w:w="147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4</w:t>
            </w:r>
          </w:p>
        </w:tc>
        <w:tc>
          <w:tcPr>
            <w:tcW w:w="1344"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4</w:t>
            </w:r>
          </w:p>
        </w:tc>
        <w:tc>
          <w:tcPr>
            <w:tcW w:w="1111"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0</w:t>
            </w:r>
          </w:p>
        </w:tc>
        <w:tc>
          <w:tcPr>
            <w:tcW w:w="597"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不增加</w:t>
            </w:r>
          </w:p>
        </w:tc>
        <w:tc>
          <w:tcPr>
            <w:tcW w:w="479" w:type="dxa"/>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城镇开发边界围合范围内永久基本农田</w:t>
            </w:r>
            <w:r>
              <w:rPr>
                <w:rFonts w:ascii="仿宋_GB2312" w:eastAsia="仿宋_GB2312" w:hAnsi="宋体" w:cs="仿宋_GB2312"/>
                <w:color w:val="000000"/>
                <w:kern w:val="0"/>
                <w:sz w:val="22"/>
                <w:szCs w:val="22"/>
                <w:lang/>
              </w:rPr>
              <w:t>“</w:t>
            </w:r>
            <w:r>
              <w:rPr>
                <w:rFonts w:ascii="仿宋_GB2312" w:eastAsia="仿宋_GB2312" w:hAnsi="宋体" w:cs="仿宋_GB2312"/>
                <w:color w:val="000000"/>
                <w:kern w:val="0"/>
                <w:sz w:val="22"/>
                <w:szCs w:val="22"/>
                <w:lang/>
              </w:rPr>
              <w:t>天窗</w:t>
            </w:r>
            <w:r>
              <w:rPr>
                <w:rFonts w:ascii="仿宋_GB2312" w:eastAsia="仿宋_GB2312" w:hAnsi="宋体" w:cs="仿宋_GB2312"/>
                <w:color w:val="000000"/>
                <w:kern w:val="0"/>
                <w:sz w:val="22"/>
                <w:szCs w:val="22"/>
                <w:lang/>
              </w:rPr>
              <w:t>”</w:t>
            </w:r>
            <w:r>
              <w:rPr>
                <w:rFonts w:ascii="仿宋_GB2312" w:eastAsia="仿宋_GB2312" w:hAnsi="宋体" w:cs="仿宋_GB2312"/>
                <w:color w:val="000000"/>
                <w:kern w:val="0"/>
                <w:sz w:val="22"/>
                <w:szCs w:val="22"/>
                <w:lang/>
              </w:rPr>
              <w:t>个数（个）</w:t>
            </w:r>
          </w:p>
        </w:tc>
        <w:tc>
          <w:tcPr>
            <w:tcW w:w="147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14</w:t>
            </w:r>
          </w:p>
        </w:tc>
        <w:tc>
          <w:tcPr>
            <w:tcW w:w="1344"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14</w:t>
            </w:r>
          </w:p>
        </w:tc>
        <w:tc>
          <w:tcPr>
            <w:tcW w:w="1111"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0</w:t>
            </w:r>
          </w:p>
        </w:tc>
        <w:tc>
          <w:tcPr>
            <w:tcW w:w="597"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不增加</w:t>
            </w:r>
          </w:p>
        </w:tc>
        <w:tc>
          <w:tcPr>
            <w:tcW w:w="479" w:type="dxa"/>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已批开发区和非农业产业园区面积划入率（%）</w:t>
            </w:r>
          </w:p>
        </w:tc>
        <w:tc>
          <w:tcPr>
            <w:tcW w:w="147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100%</w:t>
            </w:r>
          </w:p>
        </w:tc>
        <w:tc>
          <w:tcPr>
            <w:tcW w:w="1344"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100%</w:t>
            </w:r>
          </w:p>
        </w:tc>
        <w:tc>
          <w:tcPr>
            <w:tcW w:w="1111"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0</w:t>
            </w:r>
          </w:p>
        </w:tc>
        <w:tc>
          <w:tcPr>
            <w:tcW w:w="597"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不减少</w:t>
            </w:r>
          </w:p>
        </w:tc>
        <w:tc>
          <w:tcPr>
            <w:tcW w:w="479" w:type="dxa"/>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优化后的城镇开发边界与总体规划明确的主要发展方向符合程度</w:t>
            </w:r>
          </w:p>
        </w:tc>
        <w:tc>
          <w:tcPr>
            <w:tcW w:w="147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符合</w:t>
            </w:r>
          </w:p>
        </w:tc>
        <w:tc>
          <w:tcPr>
            <w:tcW w:w="1344"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符合</w:t>
            </w:r>
          </w:p>
        </w:tc>
        <w:tc>
          <w:tcPr>
            <w:tcW w:w="1111"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无</w:t>
            </w:r>
          </w:p>
        </w:tc>
        <w:tc>
          <w:tcPr>
            <w:tcW w:w="597"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不变</w:t>
            </w:r>
          </w:p>
        </w:tc>
        <w:tc>
          <w:tcPr>
            <w:tcW w:w="479" w:type="dxa"/>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（三）城镇功能品质</w:t>
            </w:r>
          </w:p>
        </w:tc>
        <w:tc>
          <w:tcPr>
            <w:tcW w:w="2489"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城镇开发边界内不适宜城镇建设区域面积(亩)(包括:地质灾害极高和高风险区、蓄滞洪区、重要矿产资源压覆区、大遗址保护区等)</w:t>
            </w:r>
          </w:p>
        </w:tc>
        <w:tc>
          <w:tcPr>
            <w:tcW w:w="1479"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4192.5765</w:t>
            </w:r>
          </w:p>
        </w:tc>
        <w:tc>
          <w:tcPr>
            <w:tcW w:w="1344"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4192.579</w:t>
            </w:r>
            <w:r>
              <w:rPr>
                <w:rFonts w:ascii="仿宋_GB2312" w:eastAsia="仿宋_GB2312" w:hAnsi="宋体" w:cs="仿宋_GB2312" w:hint="eastAsia"/>
                <w:color w:val="000000"/>
                <w:kern w:val="0"/>
                <w:sz w:val="22"/>
                <w:szCs w:val="22"/>
                <w:lang/>
              </w:rPr>
              <w:t>1</w:t>
            </w:r>
          </w:p>
        </w:tc>
        <w:tc>
          <w:tcPr>
            <w:tcW w:w="1111"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0.002</w:t>
            </w:r>
            <w:r>
              <w:rPr>
                <w:rFonts w:ascii="仿宋_GB2312" w:eastAsia="仿宋_GB2312" w:hAnsi="宋体" w:cs="仿宋_GB2312" w:hint="eastAsia"/>
                <w:color w:val="000000"/>
                <w:kern w:val="0"/>
                <w:sz w:val="22"/>
                <w:szCs w:val="22"/>
                <w:lang/>
              </w:rPr>
              <w:t>6</w:t>
            </w:r>
          </w:p>
        </w:tc>
        <w:tc>
          <w:tcPr>
            <w:tcW w:w="597"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有增加</w:t>
            </w:r>
          </w:p>
        </w:tc>
        <w:tc>
          <w:tcPr>
            <w:tcW w:w="479" w:type="dxa"/>
            <w:vMerge w:val="restart"/>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中心城区道路网络密度(千米/每平方千米)</w:t>
            </w:r>
          </w:p>
        </w:tc>
        <w:tc>
          <w:tcPr>
            <w:tcW w:w="1479"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3.1913</w:t>
            </w:r>
          </w:p>
        </w:tc>
        <w:tc>
          <w:tcPr>
            <w:tcW w:w="1344"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3.1962</w:t>
            </w:r>
          </w:p>
        </w:tc>
        <w:tc>
          <w:tcPr>
            <w:tcW w:w="1111"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0.0049</w:t>
            </w:r>
          </w:p>
        </w:tc>
        <w:tc>
          <w:tcPr>
            <w:tcW w:w="597" w:type="dxa"/>
            <w:vMerge w:val="restart"/>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有提</w:t>
            </w:r>
            <w:r>
              <w:rPr>
                <w:rFonts w:ascii="仿宋_GB2312" w:eastAsia="仿宋_GB2312" w:hAnsi="宋体" w:cs="仿宋_GB2312"/>
                <w:color w:val="000000"/>
                <w:kern w:val="0"/>
                <w:sz w:val="22"/>
                <w:szCs w:val="22"/>
                <w:lang/>
              </w:rPr>
              <w:lastRenderedPageBreak/>
              <w:t>升</w:t>
            </w:r>
          </w:p>
        </w:tc>
        <w:tc>
          <w:tcPr>
            <w:tcW w:w="479" w:type="dxa"/>
            <w:vMerge w:val="restart"/>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312"/>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344"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1111"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597"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479"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r w:rsidR="00F80ED2">
        <w:trPr>
          <w:cantSplit/>
          <w:trHeight w:val="454"/>
        </w:trPr>
        <w:tc>
          <w:tcPr>
            <w:tcW w:w="478" w:type="dxa"/>
            <w:vMerge/>
            <w:tcBorders>
              <w:top w:val="nil"/>
              <w:left w:val="single" w:sz="8" w:space="0" w:color="000000"/>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978" w:type="dxa"/>
            <w:vMerge/>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c>
          <w:tcPr>
            <w:tcW w:w="248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公园绿地、广场步行5分钟覆盖率(%)</w:t>
            </w:r>
          </w:p>
        </w:tc>
        <w:tc>
          <w:tcPr>
            <w:tcW w:w="1479"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27.81%</w:t>
            </w:r>
          </w:p>
        </w:tc>
        <w:tc>
          <w:tcPr>
            <w:tcW w:w="1344"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27.81%</w:t>
            </w:r>
          </w:p>
        </w:tc>
        <w:tc>
          <w:tcPr>
            <w:tcW w:w="1111"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0</w:t>
            </w:r>
          </w:p>
        </w:tc>
        <w:tc>
          <w:tcPr>
            <w:tcW w:w="597" w:type="dxa"/>
            <w:tcBorders>
              <w:top w:val="nil"/>
              <w:left w:val="nil"/>
              <w:bottom w:val="single" w:sz="8" w:space="0" w:color="000000"/>
              <w:right w:val="single" w:sz="8" w:space="0" w:color="000000"/>
            </w:tcBorders>
            <w:shd w:val="clear" w:color="auto" w:fill="auto"/>
            <w:vAlign w:val="center"/>
          </w:tcPr>
          <w:p w:rsidR="00F80ED2" w:rsidRDefault="00C8354C">
            <w:pPr>
              <w:widowControl/>
              <w:spacing w:line="120" w:lineRule="auto"/>
              <w:ind w:firstLineChars="0" w:firstLine="0"/>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rPr>
              <w:t>不降低</w:t>
            </w:r>
          </w:p>
        </w:tc>
        <w:tc>
          <w:tcPr>
            <w:tcW w:w="479" w:type="dxa"/>
            <w:tcBorders>
              <w:top w:val="nil"/>
              <w:left w:val="nil"/>
              <w:bottom w:val="single" w:sz="8" w:space="0" w:color="000000"/>
              <w:right w:val="single" w:sz="8" w:space="0" w:color="000000"/>
            </w:tcBorders>
            <w:shd w:val="clear" w:color="auto" w:fill="auto"/>
            <w:vAlign w:val="center"/>
          </w:tcPr>
          <w:p w:rsidR="00F80ED2" w:rsidRDefault="00F80ED2">
            <w:pPr>
              <w:widowControl/>
              <w:spacing w:line="120" w:lineRule="auto"/>
              <w:ind w:firstLineChars="0" w:firstLine="0"/>
              <w:jc w:val="center"/>
              <w:rPr>
                <w:rFonts w:ascii="仿宋_GB2312" w:eastAsia="仿宋_GB2312" w:hAnsi="宋体" w:cs="仿宋_GB2312"/>
                <w:color w:val="000000"/>
                <w:sz w:val="22"/>
                <w:szCs w:val="22"/>
              </w:rPr>
            </w:pPr>
          </w:p>
        </w:tc>
      </w:tr>
    </w:tbl>
    <w:p w:rsidR="00F80ED2" w:rsidRDefault="00C8354C" w:rsidP="00C8354C">
      <w:pPr>
        <w:pStyle w:val="2"/>
        <w:numPr>
          <w:ilvl w:val="0"/>
          <w:numId w:val="13"/>
        </w:numPr>
        <w:ind w:firstLine="640"/>
      </w:pPr>
      <w:bookmarkStart w:id="23" w:name="_Toc25142"/>
      <w:r>
        <w:rPr>
          <w:rFonts w:hint="eastAsia"/>
        </w:rPr>
        <w:t>规划分区维护</w:t>
      </w:r>
      <w:bookmarkEnd w:id="23"/>
    </w:p>
    <w:p w:rsidR="00F80ED2" w:rsidRDefault="00C8354C">
      <w:pPr>
        <w:ind w:firstLine="600"/>
      </w:pPr>
      <w:r>
        <w:t>在不改变国土空间总体规划确定的主体功能区定位的前提下，结合</w:t>
      </w:r>
      <w:r>
        <w:t>“</w:t>
      </w:r>
      <w:r>
        <w:t>三条控制线</w:t>
      </w:r>
      <w:r>
        <w:t>”</w:t>
      </w:r>
      <w:r>
        <w:t>、矿产资源开采保护线、历史文化保护线、洪涝风险控制线、中心城区及各镇区用地规划布局、县域重点建设项目等优化范围，动态调整规划分区。</w:t>
      </w:r>
    </w:p>
    <w:p w:rsidR="00F80ED2" w:rsidRDefault="00C8354C">
      <w:pPr>
        <w:ind w:firstLine="600"/>
      </w:pPr>
      <w:r>
        <w:t>《赤峰市</w:t>
      </w:r>
      <w:r>
        <w:rPr>
          <w:rFonts w:hint="eastAsia"/>
        </w:rPr>
        <w:t>宁城县</w:t>
      </w:r>
      <w:r>
        <w:t>国土空间总体规划（</w:t>
      </w:r>
      <w:r>
        <w:rPr>
          <w:rFonts w:ascii="Times New Roman" w:hAnsi="Times New Roman" w:cs="Times New Roman"/>
        </w:rPr>
        <w:t>2021—2035</w:t>
      </w:r>
      <w:r>
        <w:t>年）》划定生态保护区、生态控制区、农田保护区、城镇发展区、乡村发展区、矿产能源发展区共</w:t>
      </w:r>
      <w:r>
        <w:t>6</w:t>
      </w:r>
      <w:r>
        <w:t>类规划一级分区。明确分区管制规则，强化用途结构调整引导。</w:t>
      </w:r>
    </w:p>
    <w:p w:rsidR="00F80ED2" w:rsidRDefault="00C8354C">
      <w:pPr>
        <w:ind w:firstLine="600"/>
      </w:pPr>
      <w:r>
        <w:t>本次规划用途分区维护，根据三条控制线维护、中心城区用地用海规划布局维护同步更新维护规划用途分区。</w:t>
      </w:r>
    </w:p>
    <w:p w:rsidR="00F80ED2" w:rsidRDefault="00C8354C" w:rsidP="00C8354C">
      <w:pPr>
        <w:pStyle w:val="2"/>
        <w:numPr>
          <w:ilvl w:val="0"/>
          <w:numId w:val="13"/>
        </w:numPr>
        <w:ind w:firstLine="640"/>
      </w:pPr>
      <w:bookmarkStart w:id="24" w:name="_Toc10725"/>
      <w:r>
        <w:rPr>
          <w:rFonts w:hint="eastAsia"/>
        </w:rPr>
        <w:t>中心城区用地规划布局维护</w:t>
      </w:r>
      <w:bookmarkEnd w:id="24"/>
    </w:p>
    <w:p w:rsidR="00F80ED2" w:rsidRDefault="00C8354C">
      <w:pPr>
        <w:ind w:firstLine="600"/>
      </w:pPr>
      <w:r>
        <w:t>本次中心城区用地布局动态维护以</w:t>
      </w:r>
      <w:r>
        <w:rPr>
          <w:rFonts w:hint="eastAsia"/>
        </w:rPr>
        <w:t>“</w:t>
      </w:r>
      <w:r>
        <w:t>严守底线、优化布局、</w:t>
      </w:r>
      <w:r>
        <w:lastRenderedPageBreak/>
        <w:t>保障发展、提升品质</w:t>
      </w:r>
      <w:r>
        <w:rPr>
          <w:rFonts w:hint="eastAsia"/>
        </w:rPr>
        <w:t>”</w:t>
      </w:r>
      <w:r>
        <w:t>为导向，在不改变城市总体格局和空间结构的基础上，重点对居住、公共服务、绿地、交通等用地进行局部优化，旨在增强规划对近期发展需求的适应性和可实施性。</w:t>
      </w:r>
    </w:p>
    <w:p w:rsidR="00F80ED2" w:rsidRDefault="00C8354C" w:rsidP="00C8354C">
      <w:pPr>
        <w:pStyle w:val="3"/>
        <w:numPr>
          <w:ilvl w:val="0"/>
          <w:numId w:val="20"/>
        </w:numPr>
        <w:ind w:firstLine="600"/>
      </w:pPr>
      <w:r>
        <w:rPr>
          <w:rFonts w:hint="eastAsia"/>
        </w:rPr>
        <w:t>现状情况</w:t>
      </w:r>
    </w:p>
    <w:p w:rsidR="00F80ED2" w:rsidRDefault="00C8354C">
      <w:pPr>
        <w:ind w:firstLine="600"/>
      </w:pPr>
      <w:r>
        <w:t>《赤峰市宁城县国土空间总体规划（</w:t>
      </w:r>
      <w:r>
        <w:t>2021—2035</w:t>
      </w:r>
      <w:r>
        <w:t>年）》</w:t>
      </w:r>
      <w:r>
        <w:rPr>
          <w:rFonts w:hint="eastAsia"/>
        </w:rPr>
        <w:t>中宁城县</w:t>
      </w:r>
      <w:r>
        <w:t>中心城区范围北至天义镇北边界、新开渠、新开街，东至天义镇东边界、东小河，南至忙农河、蚂蚁山排洪渠、农机七街，西至步登皋河，总用地面积约</w:t>
      </w:r>
      <w:r>
        <w:t>63.59</w:t>
      </w:r>
      <w:r>
        <w:t>平方千米，其中城镇开发边界内用地面积</w:t>
      </w:r>
      <w:r>
        <w:t>27.10</w:t>
      </w:r>
      <w:r>
        <w:t>平方千米。</w:t>
      </w:r>
    </w:p>
    <w:p w:rsidR="00F80ED2" w:rsidRDefault="00C8354C">
      <w:pPr>
        <w:ind w:firstLine="600"/>
      </w:pPr>
      <w:r>
        <w:t>中心城区开发边界内规划分区细化为居住生活区、综合服务区、商业商务区、工业发展区、商贸物流区、绿地休闲区、交通枢纽区、战略预留地八类规划分区。</w:t>
      </w:r>
    </w:p>
    <w:p w:rsidR="00F80ED2" w:rsidRDefault="00C8354C" w:rsidP="00C8354C">
      <w:pPr>
        <w:pStyle w:val="3"/>
        <w:numPr>
          <w:ilvl w:val="0"/>
          <w:numId w:val="14"/>
        </w:numPr>
        <w:ind w:firstLine="600"/>
      </w:pPr>
      <w:r>
        <w:rPr>
          <w:rFonts w:hint="eastAsia"/>
        </w:rPr>
        <w:t>优化调整情况</w:t>
      </w:r>
    </w:p>
    <w:p w:rsidR="00F80ED2" w:rsidRDefault="00C8354C" w:rsidP="00C8354C">
      <w:pPr>
        <w:ind w:firstLine="600"/>
      </w:pPr>
      <w:r>
        <w:t>本次中心城区规划</w:t>
      </w:r>
      <w:r>
        <w:rPr>
          <w:rFonts w:hint="eastAsia"/>
        </w:rPr>
        <w:t>布局调整，主要包括城镇开发边界动态维护涉及规划用地布局调整、控制性详细规划涉及的规划用地布局调整，调整的规划用地用海地类是耕地、草地、居住用地、留白用地、交通运输用地、商业服务业用地、绿地与开敞空间用地、公共管理与公共服务用地、工矿用地、公用设施用地。</w:t>
      </w:r>
    </w:p>
    <w:p w:rsidR="00F80ED2" w:rsidRDefault="00C8354C" w:rsidP="00C8354C">
      <w:pPr>
        <w:ind w:firstLine="600"/>
      </w:pPr>
      <w:r>
        <w:rPr>
          <w:rFonts w:hint="eastAsia"/>
        </w:rPr>
        <w:t>本次中心城区规划分区涉及用地布局维护调整</w:t>
      </w:r>
      <w:r>
        <w:t>的规划分区类型分别是村庄建设区</w:t>
      </w:r>
      <w:r>
        <w:rPr>
          <w:rFonts w:hint="eastAsia"/>
        </w:rPr>
        <w:t>、</w:t>
      </w:r>
      <w:r>
        <w:t>交通枢纽区、居住生活区、绿地休闲区、商业商务区</w:t>
      </w:r>
      <w:r>
        <w:rPr>
          <w:rFonts w:hint="eastAsia"/>
        </w:rPr>
        <w:t>、</w:t>
      </w:r>
      <w:r>
        <w:t>战略预留区</w:t>
      </w:r>
      <w:r>
        <w:rPr>
          <w:rFonts w:hint="eastAsia"/>
        </w:rPr>
        <w:t>等多个规划分区</w:t>
      </w:r>
      <w:r>
        <w:t>。</w:t>
      </w:r>
    </w:p>
    <w:p w:rsidR="00F80ED2" w:rsidRDefault="00C8354C" w:rsidP="00C8354C">
      <w:pPr>
        <w:pStyle w:val="2"/>
        <w:numPr>
          <w:ilvl w:val="0"/>
          <w:numId w:val="13"/>
        </w:numPr>
        <w:ind w:firstLine="640"/>
      </w:pPr>
      <w:bookmarkStart w:id="25" w:name="_Toc16276"/>
      <w:r>
        <w:lastRenderedPageBreak/>
        <w:t>城市重要控制线具体用地布局动态维护</w:t>
      </w:r>
      <w:bookmarkEnd w:id="25"/>
    </w:p>
    <w:p w:rsidR="00F80ED2" w:rsidRDefault="00C8354C">
      <w:pPr>
        <w:ind w:firstLine="600"/>
      </w:pPr>
      <w:r>
        <w:t>城市重要控制线包括城市绿线、城市黄线、城市蓝线、城市紫线和洪涝风险控制线、历史文化保护线等，在满足均衡分布、布局原则和配置标准的前提下，对其位置、布局、形态等开展动态维护。</w:t>
      </w:r>
    </w:p>
    <w:p w:rsidR="00F80ED2" w:rsidRDefault="00C8354C">
      <w:pPr>
        <w:ind w:firstLine="600"/>
      </w:pPr>
      <w:r>
        <w:rPr>
          <w:rFonts w:hint="eastAsia"/>
        </w:rPr>
        <w:t>本此在满足中心城区范围内结构性绿地的控制范围和均衡分布要求，城市绿地功能和公园绿地、广场步行</w:t>
      </w:r>
      <w:r>
        <w:rPr>
          <w:rFonts w:hint="eastAsia"/>
        </w:rPr>
        <w:t>5</w:t>
      </w:r>
      <w:r>
        <w:rPr>
          <w:rFonts w:hint="eastAsia"/>
        </w:rPr>
        <w:t>分钟覆盖率不降低的前提下对城市绿线进行了维护。</w:t>
      </w:r>
    </w:p>
    <w:p w:rsidR="00F80ED2" w:rsidRDefault="00C8354C">
      <w:pPr>
        <w:ind w:firstLine="600"/>
      </w:pPr>
      <w:r>
        <w:rPr>
          <w:rFonts w:hint="eastAsia"/>
        </w:rPr>
        <w:t>在满足各类设施布局原则和配置标准前提下，对误划入黄线范围的工业用地进行调出。</w:t>
      </w:r>
    </w:p>
    <w:p w:rsidR="00F80ED2" w:rsidRDefault="00C8354C" w:rsidP="00C8354C">
      <w:pPr>
        <w:pStyle w:val="2"/>
        <w:ind w:firstLine="640"/>
      </w:pPr>
      <w:bookmarkStart w:id="26" w:name="_Toc9022"/>
      <w:r>
        <w:rPr>
          <w:rFonts w:hint="eastAsia"/>
        </w:rPr>
        <w:t>详细规划编制单元划定动态维护</w:t>
      </w:r>
      <w:bookmarkEnd w:id="26"/>
    </w:p>
    <w:p w:rsidR="00F80ED2" w:rsidRDefault="00C8354C" w:rsidP="00C8354C">
      <w:pPr>
        <w:ind w:firstLine="600"/>
      </w:pPr>
      <w:r>
        <w:rPr>
          <w:rFonts w:hint="eastAsia"/>
        </w:rPr>
        <w:t>宁城县详细规划编制单元共</w:t>
      </w:r>
      <w:r>
        <w:rPr>
          <w:rFonts w:hint="eastAsia"/>
        </w:rPr>
        <w:t>43</w:t>
      </w:r>
      <w:r>
        <w:rPr>
          <w:rFonts w:hint="eastAsia"/>
        </w:rPr>
        <w:t>个，包括工业发展、居住生活、商业商务、综合服务四类主导功能，依据</w:t>
      </w:r>
      <w:r>
        <w:t>城镇开发边界优化调整</w:t>
      </w:r>
      <w:r>
        <w:rPr>
          <w:rFonts w:hint="eastAsia"/>
        </w:rPr>
        <w:t>成果</w:t>
      </w:r>
      <w:r>
        <w:t>，</w:t>
      </w:r>
      <w:r>
        <w:rPr>
          <w:rFonts w:hint="eastAsia"/>
        </w:rPr>
        <w:t>对编制</w:t>
      </w:r>
      <w:r>
        <w:t>单元</w:t>
      </w:r>
      <w:r>
        <w:rPr>
          <w:rFonts w:hint="eastAsia"/>
        </w:rPr>
        <w:t>进行重新划定。</w:t>
      </w:r>
    </w:p>
    <w:p w:rsidR="00F80ED2" w:rsidRDefault="00C8354C" w:rsidP="00C8354C">
      <w:pPr>
        <w:pStyle w:val="2"/>
        <w:numPr>
          <w:ilvl w:val="0"/>
          <w:numId w:val="13"/>
        </w:numPr>
        <w:ind w:firstLine="640"/>
      </w:pPr>
      <w:bookmarkStart w:id="27" w:name="_Toc2382"/>
      <w:r>
        <w:rPr>
          <w:rFonts w:hint="eastAsia"/>
        </w:rPr>
        <w:t>重点建设项目清单维护</w:t>
      </w:r>
      <w:bookmarkEnd w:id="27"/>
    </w:p>
    <w:p w:rsidR="00F80ED2" w:rsidRDefault="00C8354C" w:rsidP="00C8354C">
      <w:pPr>
        <w:ind w:firstLine="600"/>
      </w:pPr>
      <w:r>
        <w:t>“</w:t>
      </w:r>
      <w:r>
        <w:t>十五五</w:t>
      </w:r>
      <w:r>
        <w:t>”</w:t>
      </w:r>
      <w:r>
        <w:t>期间拟计划实施的重点建设项目共</w:t>
      </w:r>
      <w:r>
        <w:rPr>
          <w:rFonts w:hint="eastAsia"/>
        </w:rPr>
        <w:t>560</w:t>
      </w:r>
      <w:r>
        <w:t>个，涉及采矿、产为类、产业类、电力类、公益类、环保类、基础设施、交通类、旅游类、民生类、能源类、其他类、生态类、市政、水利类</w:t>
      </w:r>
      <w:r>
        <w:rPr>
          <w:rFonts w:hint="eastAsia"/>
        </w:rPr>
        <w:t>总计</w:t>
      </w:r>
      <w:r>
        <w:rPr>
          <w:rFonts w:hint="eastAsia"/>
        </w:rPr>
        <w:t>15</w:t>
      </w:r>
      <w:r>
        <w:rPr>
          <w:rFonts w:hint="eastAsia"/>
        </w:rPr>
        <w:t>个</w:t>
      </w:r>
      <w:r>
        <w:t>类型。</w:t>
      </w:r>
      <w:bookmarkStart w:id="28" w:name="_Toc26212"/>
    </w:p>
    <w:p w:rsidR="00F80ED2" w:rsidRDefault="00C8354C" w:rsidP="00C8354C">
      <w:pPr>
        <w:pStyle w:val="2"/>
        <w:numPr>
          <w:ilvl w:val="0"/>
          <w:numId w:val="13"/>
        </w:numPr>
        <w:ind w:firstLine="640"/>
      </w:pPr>
      <w:r>
        <w:rPr>
          <w:rFonts w:hint="eastAsia"/>
        </w:rPr>
        <w:t>规划其他内容维护</w:t>
      </w:r>
      <w:bookmarkEnd w:id="28"/>
    </w:p>
    <w:p w:rsidR="00F80ED2" w:rsidRDefault="00C8354C" w:rsidP="00C8354C">
      <w:pPr>
        <w:ind w:firstLine="600"/>
      </w:pPr>
      <w:r>
        <w:rPr>
          <w:rFonts w:hint="eastAsia"/>
        </w:rPr>
        <w:t>城镇开发边界内未明确规划用地属性和留白用地；</w:t>
      </w:r>
    </w:p>
    <w:p w:rsidR="00F80ED2" w:rsidRDefault="00C8354C" w:rsidP="00C8354C">
      <w:pPr>
        <w:ind w:firstLine="600"/>
      </w:pPr>
      <w:r>
        <w:rPr>
          <w:rFonts w:hint="eastAsia"/>
        </w:rPr>
        <w:t>各乡镇国土空间规划中重大项目未在宁城县国土空间总体</w:t>
      </w:r>
      <w:r>
        <w:rPr>
          <w:rFonts w:hint="eastAsia"/>
        </w:rPr>
        <w:lastRenderedPageBreak/>
        <w:t>规划中落入的项目。</w:t>
      </w:r>
    </w:p>
    <w:p w:rsidR="00F80ED2" w:rsidRDefault="00C8354C" w:rsidP="00C8354C">
      <w:pPr>
        <w:pStyle w:val="1"/>
        <w:ind w:firstLine="723"/>
      </w:pPr>
      <w:bookmarkStart w:id="29" w:name="_Toc6657"/>
      <w:r>
        <w:rPr>
          <w:rFonts w:hint="eastAsia"/>
        </w:rPr>
        <w:t>规划动态维护可行性分析</w:t>
      </w:r>
      <w:bookmarkEnd w:id="29"/>
    </w:p>
    <w:p w:rsidR="00F80ED2" w:rsidRDefault="00C8354C" w:rsidP="00C8354C">
      <w:pPr>
        <w:ind w:firstLine="600"/>
      </w:pPr>
      <w:r>
        <w:t>本规划动态维护工作具备充分的实施可行性，整体契合国家、自治区及市级关于国土空间规划精细化管控、动态化更新的政策导向，严格遵循相关法律法规要求，有明确的政策依据和合规指引，可确保维护工作依法依规推进。县政府高度重视国土空间总体规划动态调整工作，已专门召开宁城县国土空间总体规划动态调整会议，明确了各镇乡街、自然资源、发改、住建、交通、生态环境、农业农村等相关部门的职责分工，从根源上保障了维护工作的合法性与权威性。</w:t>
      </w:r>
    </w:p>
    <w:p w:rsidR="00F80ED2" w:rsidRDefault="00C8354C" w:rsidP="00C8354C">
      <w:pPr>
        <w:pStyle w:val="1"/>
        <w:ind w:firstLine="723"/>
      </w:pPr>
      <w:bookmarkStart w:id="30" w:name="_Toc29827"/>
      <w:r>
        <w:rPr>
          <w:rFonts w:hint="eastAsia"/>
        </w:rPr>
        <w:t>保障措施</w:t>
      </w:r>
      <w:bookmarkEnd w:id="30"/>
    </w:p>
    <w:p w:rsidR="00F80ED2" w:rsidRDefault="00C8354C" w:rsidP="00C8354C">
      <w:pPr>
        <w:pStyle w:val="3"/>
        <w:numPr>
          <w:ilvl w:val="0"/>
          <w:numId w:val="21"/>
        </w:numPr>
        <w:ind w:firstLine="600"/>
      </w:pPr>
      <w:r>
        <w:t>强化规划向下传导指引</w:t>
      </w:r>
      <w:r>
        <w:t xml:space="preserve"> </w:t>
      </w:r>
    </w:p>
    <w:p w:rsidR="00F80ED2" w:rsidRDefault="00C8354C" w:rsidP="00C8354C">
      <w:pPr>
        <w:widowControl/>
        <w:ind w:firstLine="600"/>
        <w:jc w:val="left"/>
      </w:pPr>
      <w:r>
        <w:t>严格落实</w:t>
      </w:r>
      <w:r>
        <w:rPr>
          <w:rFonts w:hint="eastAsia"/>
        </w:rPr>
        <w:t>宁城县</w:t>
      </w:r>
      <w:r>
        <w:t>国土空间规划动态维护保障方案要求，明确对苏木乡镇总体规划、各类专项规划及重大建设项目的向下指引规则，确保下位规划与动态维护成果精准衔接、同向落实。</w:t>
      </w:r>
    </w:p>
    <w:p w:rsidR="00F80ED2" w:rsidRDefault="00C8354C" w:rsidP="00C8354C">
      <w:pPr>
        <w:pStyle w:val="3"/>
        <w:numPr>
          <w:ilvl w:val="0"/>
          <w:numId w:val="20"/>
        </w:numPr>
        <w:ind w:firstLine="600"/>
      </w:pPr>
      <w:r>
        <w:t>健全规划实施监管机制</w:t>
      </w:r>
      <w:r>
        <w:t xml:space="preserve"> </w:t>
      </w:r>
    </w:p>
    <w:p w:rsidR="00F80ED2" w:rsidRDefault="00C8354C" w:rsidP="00C8354C">
      <w:pPr>
        <w:widowControl/>
        <w:ind w:firstLine="600"/>
        <w:jc w:val="left"/>
      </w:pPr>
      <w:r>
        <w:t>将国土空间规划动态维护方案执行情况，纳入国土空间规划常态化监测监管内容，压实实施责任，强化过程管控。</w:t>
      </w:r>
    </w:p>
    <w:p w:rsidR="00F80ED2" w:rsidRDefault="00C8354C" w:rsidP="00C8354C">
      <w:pPr>
        <w:pStyle w:val="3"/>
        <w:numPr>
          <w:ilvl w:val="0"/>
          <w:numId w:val="20"/>
        </w:numPr>
        <w:ind w:firstLine="600"/>
      </w:pPr>
      <w:r>
        <w:t>推进全生命周期数字化管理</w:t>
      </w:r>
      <w:r>
        <w:t xml:space="preserve"> </w:t>
      </w:r>
    </w:p>
    <w:p w:rsidR="00F80ED2" w:rsidRDefault="00C8354C" w:rsidP="00C8354C">
      <w:pPr>
        <w:widowControl/>
        <w:ind w:firstLine="600"/>
        <w:jc w:val="left"/>
      </w:pPr>
      <w:r>
        <w:t>依托国土空间规划</w:t>
      </w:r>
      <w:r>
        <w:t>“</w:t>
      </w:r>
      <w:r>
        <w:t>一张图</w:t>
      </w:r>
      <w:r>
        <w:t>”</w:t>
      </w:r>
      <w:r>
        <w:t>系统与国土空间规划实施监测网络，对动态维护方案的编制、汇交、审查、实施等全流程实行闭环管理，提升规划动态维护的规范化、智能化水平。</w:t>
      </w:r>
    </w:p>
    <w:p w:rsidR="00F80ED2" w:rsidRDefault="00C8354C" w:rsidP="00C8354C">
      <w:pPr>
        <w:ind w:firstLine="560"/>
        <w:rPr>
          <w:rFonts w:ascii="仿宋_GB2312" w:eastAsia="仿宋_GB2312" w:hAnsi="仿宋_GB2312" w:cs="仿宋_GB2312"/>
          <w:color w:val="000000"/>
          <w:kern w:val="0"/>
          <w:sz w:val="28"/>
          <w:szCs w:val="28"/>
          <w:lang/>
        </w:rPr>
      </w:pPr>
      <w:r>
        <w:rPr>
          <w:rFonts w:ascii="仿宋_GB2312" w:eastAsia="仿宋_GB2312" w:hAnsi="仿宋_GB2312" w:cs="仿宋_GB2312"/>
          <w:color w:val="000000"/>
          <w:kern w:val="0"/>
          <w:sz w:val="28"/>
          <w:szCs w:val="28"/>
          <w:lang/>
        </w:rPr>
        <w:lastRenderedPageBreak/>
        <w:br w:type="page"/>
      </w:r>
    </w:p>
    <w:p w:rsidR="00F80ED2" w:rsidRDefault="00C8354C">
      <w:pPr>
        <w:ind w:firstLineChars="0" w:firstLine="0"/>
        <w:jc w:val="left"/>
        <w:rPr>
          <w:b/>
          <w:bCs/>
          <w:sz w:val="32"/>
          <w:szCs w:val="32"/>
        </w:rPr>
      </w:pPr>
      <w:r>
        <w:rPr>
          <w:rFonts w:hint="eastAsia"/>
          <w:b/>
          <w:bCs/>
          <w:sz w:val="32"/>
          <w:szCs w:val="32"/>
        </w:rPr>
        <w:lastRenderedPageBreak/>
        <w:t>附表</w:t>
      </w:r>
    </w:p>
    <w:p w:rsidR="00F80ED2" w:rsidRDefault="00C8354C">
      <w:pPr>
        <w:ind w:firstLine="600"/>
        <w:jc w:val="left"/>
        <w:rPr>
          <w:szCs w:val="30"/>
        </w:rPr>
      </w:pPr>
      <w:r>
        <w:rPr>
          <w:rFonts w:hint="eastAsia"/>
          <w:szCs w:val="30"/>
        </w:rPr>
        <w:t>包括各类空间布局调入调出情况、正向优化指标对比情况、总体规划文本维护对照情况等</w:t>
      </w:r>
    </w:p>
    <w:p w:rsidR="00F80ED2" w:rsidRDefault="00F80ED2">
      <w:pPr>
        <w:ind w:firstLineChars="0" w:firstLine="0"/>
        <w:jc w:val="left"/>
        <w:rPr>
          <w:b/>
          <w:bCs/>
          <w:sz w:val="32"/>
          <w:szCs w:val="32"/>
        </w:rPr>
      </w:pPr>
    </w:p>
    <w:p w:rsidR="00F80ED2" w:rsidRDefault="00F80ED2">
      <w:pPr>
        <w:ind w:firstLineChars="0" w:firstLine="0"/>
        <w:jc w:val="left"/>
        <w:rPr>
          <w:b/>
          <w:bCs/>
          <w:sz w:val="32"/>
          <w:szCs w:val="32"/>
        </w:rPr>
        <w:sectPr w:rsidR="00F80ED2">
          <w:pgSz w:w="11906" w:h="16838"/>
          <w:pgMar w:top="1440" w:right="1800" w:bottom="1440" w:left="1800" w:header="851" w:footer="992" w:gutter="0"/>
          <w:cols w:space="425"/>
          <w:docGrid w:type="lines" w:linePitch="312"/>
        </w:sectPr>
      </w:pPr>
    </w:p>
    <w:p w:rsidR="00F80ED2" w:rsidRDefault="00C8354C">
      <w:pPr>
        <w:ind w:firstLineChars="0" w:firstLine="0"/>
        <w:jc w:val="left"/>
        <w:rPr>
          <w:b/>
          <w:bCs/>
          <w:sz w:val="32"/>
          <w:szCs w:val="32"/>
        </w:rPr>
      </w:pPr>
      <w:r>
        <w:rPr>
          <w:rFonts w:hint="eastAsia"/>
          <w:b/>
          <w:bCs/>
          <w:sz w:val="32"/>
          <w:szCs w:val="32"/>
        </w:rPr>
        <w:lastRenderedPageBreak/>
        <w:t>附图</w:t>
      </w:r>
    </w:p>
    <w:p w:rsidR="00F80ED2" w:rsidRDefault="00C8354C">
      <w:pPr>
        <w:numPr>
          <w:ilvl w:val="0"/>
          <w:numId w:val="22"/>
        </w:numPr>
        <w:ind w:firstLineChars="0" w:firstLine="0"/>
        <w:jc w:val="left"/>
        <w:rPr>
          <w:szCs w:val="30"/>
        </w:rPr>
      </w:pPr>
      <w:r>
        <w:rPr>
          <w:rFonts w:hint="eastAsia"/>
          <w:szCs w:val="30"/>
        </w:rPr>
        <w:t>三条控制线维护前图（标明调出）</w:t>
      </w:r>
    </w:p>
    <w:p w:rsidR="00F80ED2" w:rsidRDefault="00C8354C">
      <w:pPr>
        <w:numPr>
          <w:ilvl w:val="0"/>
          <w:numId w:val="22"/>
        </w:numPr>
        <w:ind w:firstLineChars="0" w:firstLine="0"/>
        <w:jc w:val="left"/>
        <w:rPr>
          <w:szCs w:val="30"/>
        </w:rPr>
      </w:pPr>
      <w:r>
        <w:rPr>
          <w:rFonts w:hint="eastAsia"/>
          <w:szCs w:val="30"/>
        </w:rPr>
        <w:t>三条控制线维护前图（标明调入）</w:t>
      </w:r>
    </w:p>
    <w:p w:rsidR="00F80ED2" w:rsidRDefault="00C8354C">
      <w:pPr>
        <w:numPr>
          <w:ilvl w:val="0"/>
          <w:numId w:val="22"/>
        </w:numPr>
        <w:ind w:firstLineChars="0" w:firstLine="0"/>
        <w:jc w:val="left"/>
        <w:rPr>
          <w:szCs w:val="30"/>
        </w:rPr>
      </w:pPr>
      <w:r>
        <w:rPr>
          <w:rFonts w:hint="eastAsia"/>
          <w:szCs w:val="30"/>
        </w:rPr>
        <w:t>永久基本农田维护后图（标明调入、调出）</w:t>
      </w:r>
    </w:p>
    <w:p w:rsidR="00F80ED2" w:rsidRDefault="00C8354C">
      <w:pPr>
        <w:numPr>
          <w:ilvl w:val="0"/>
          <w:numId w:val="22"/>
        </w:numPr>
        <w:ind w:firstLineChars="0" w:firstLine="0"/>
        <w:jc w:val="left"/>
        <w:rPr>
          <w:szCs w:val="30"/>
        </w:rPr>
      </w:pPr>
      <w:r>
        <w:rPr>
          <w:rFonts w:hint="eastAsia"/>
          <w:szCs w:val="30"/>
        </w:rPr>
        <w:t>生态保护红线维护后图（标明调入、调出）</w:t>
      </w:r>
    </w:p>
    <w:p w:rsidR="00F80ED2" w:rsidRDefault="00C8354C">
      <w:pPr>
        <w:numPr>
          <w:ilvl w:val="0"/>
          <w:numId w:val="22"/>
        </w:numPr>
        <w:ind w:firstLineChars="0" w:firstLine="0"/>
        <w:jc w:val="left"/>
        <w:rPr>
          <w:szCs w:val="30"/>
        </w:rPr>
      </w:pPr>
      <w:r>
        <w:rPr>
          <w:rFonts w:hint="eastAsia"/>
          <w:szCs w:val="30"/>
        </w:rPr>
        <w:t>城镇开发边界维护后图（标明调入、调出）</w:t>
      </w:r>
    </w:p>
    <w:p w:rsidR="00F80ED2" w:rsidRDefault="00C8354C">
      <w:pPr>
        <w:numPr>
          <w:ilvl w:val="0"/>
          <w:numId w:val="22"/>
        </w:numPr>
        <w:ind w:firstLineChars="0" w:firstLine="0"/>
        <w:jc w:val="left"/>
        <w:rPr>
          <w:szCs w:val="30"/>
        </w:rPr>
      </w:pPr>
      <w:r>
        <w:rPr>
          <w:rFonts w:hint="eastAsia"/>
          <w:szCs w:val="30"/>
        </w:rPr>
        <w:t>中心城区用地规划布局图（维护前）</w:t>
      </w:r>
    </w:p>
    <w:p w:rsidR="00F80ED2" w:rsidRDefault="00C8354C">
      <w:pPr>
        <w:numPr>
          <w:ilvl w:val="0"/>
          <w:numId w:val="22"/>
        </w:numPr>
        <w:ind w:firstLineChars="0" w:firstLine="0"/>
        <w:jc w:val="left"/>
        <w:rPr>
          <w:szCs w:val="30"/>
        </w:rPr>
      </w:pPr>
      <w:r>
        <w:rPr>
          <w:rFonts w:hint="eastAsia"/>
          <w:szCs w:val="30"/>
        </w:rPr>
        <w:t>中心城区用地规划布局图（维护后）</w:t>
      </w:r>
    </w:p>
    <w:sectPr w:rsidR="00F80ED2" w:rsidSect="00F80E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7C3" w:rsidRDefault="001467C3">
      <w:pPr>
        <w:ind w:firstLine="600"/>
      </w:pPr>
      <w:r>
        <w:separator/>
      </w:r>
    </w:p>
  </w:endnote>
  <w:endnote w:type="continuationSeparator" w:id="1">
    <w:p w:rsidR="001467C3" w:rsidRDefault="001467C3">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4C" w:rsidRDefault="00C8354C" w:rsidP="00C8354C">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4C" w:rsidRDefault="00C8354C" w:rsidP="00C8354C">
    <w:pPr>
      <w:pStyle w:val="a3"/>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8354C" w:rsidRDefault="00C8354C" w:rsidP="00C8354C">
                <w:pPr>
                  <w:pStyle w:val="a3"/>
                  <w:ind w:firstLine="360"/>
                </w:pPr>
                <w:fldSimple w:instr=" PAGE  \* MERGEFORMAT ">
                  <w:r>
                    <w:rPr>
                      <w:noProof/>
                    </w:rPr>
                    <w:t>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4C" w:rsidRDefault="00C8354C" w:rsidP="00C8354C">
    <w:pPr>
      <w:pStyle w:val="a3"/>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4C" w:rsidRDefault="00C8354C" w:rsidP="00C8354C">
    <w:pPr>
      <w:pStyle w:val="a3"/>
      <w:ind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C8354C" w:rsidRDefault="00C8354C" w:rsidP="00C8354C">
                <w:pPr>
                  <w:pStyle w:val="a3"/>
                  <w:ind w:firstLine="360"/>
                </w:pPr>
                <w:fldSimple w:instr=" PAGE  \* MERGEFORMAT ">
                  <w:r>
                    <w:rPr>
                      <w:noProof/>
                    </w:rPr>
                    <w:t>33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7C3" w:rsidRDefault="001467C3">
      <w:pPr>
        <w:ind w:firstLine="600"/>
      </w:pPr>
      <w:r>
        <w:separator/>
      </w:r>
    </w:p>
  </w:footnote>
  <w:footnote w:type="continuationSeparator" w:id="1">
    <w:p w:rsidR="001467C3" w:rsidRDefault="001467C3">
      <w:pPr>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4C" w:rsidRDefault="00C8354C" w:rsidP="00C8354C">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4C" w:rsidRDefault="00C8354C" w:rsidP="00C8354C">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4C" w:rsidRDefault="00C8354C" w:rsidP="00C8354C">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4BBC1"/>
    <w:multiLevelType w:val="singleLevel"/>
    <w:tmpl w:val="8064BBC1"/>
    <w:lvl w:ilvl="0">
      <w:start w:val="1"/>
      <w:numFmt w:val="decimal"/>
      <w:lvlText w:val="(%1)"/>
      <w:lvlJc w:val="left"/>
      <w:pPr>
        <w:ind w:left="425" w:hanging="425"/>
      </w:pPr>
      <w:rPr>
        <w:rFonts w:hint="default"/>
      </w:rPr>
    </w:lvl>
  </w:abstractNum>
  <w:abstractNum w:abstractNumId="1">
    <w:nsid w:val="91A99106"/>
    <w:multiLevelType w:val="singleLevel"/>
    <w:tmpl w:val="91A99106"/>
    <w:lvl w:ilvl="0">
      <w:start w:val="1"/>
      <w:numFmt w:val="decimal"/>
      <w:pStyle w:val="3"/>
      <w:lvlText w:val="%1."/>
      <w:lvlJc w:val="left"/>
      <w:pPr>
        <w:ind w:left="425" w:hanging="425"/>
      </w:pPr>
      <w:rPr>
        <w:rFonts w:hint="default"/>
      </w:rPr>
    </w:lvl>
  </w:abstractNum>
  <w:abstractNum w:abstractNumId="2">
    <w:nsid w:val="CE47AFDB"/>
    <w:multiLevelType w:val="singleLevel"/>
    <w:tmpl w:val="CE47AFDB"/>
    <w:lvl w:ilvl="0">
      <w:start w:val="1"/>
      <w:numFmt w:val="decimal"/>
      <w:lvlText w:val="%1."/>
      <w:lvlJc w:val="left"/>
      <w:pPr>
        <w:tabs>
          <w:tab w:val="left" w:pos="312"/>
        </w:tabs>
      </w:pPr>
    </w:lvl>
  </w:abstractNum>
  <w:abstractNum w:abstractNumId="3">
    <w:nsid w:val="D4EF7BB3"/>
    <w:multiLevelType w:val="singleLevel"/>
    <w:tmpl w:val="D4EF7BB3"/>
    <w:lvl w:ilvl="0">
      <w:start w:val="1"/>
      <w:numFmt w:val="decimal"/>
      <w:lvlText w:val="(%1)"/>
      <w:lvlJc w:val="left"/>
      <w:pPr>
        <w:ind w:left="425" w:hanging="425"/>
      </w:pPr>
      <w:rPr>
        <w:rFonts w:hint="default"/>
      </w:rPr>
    </w:lvl>
  </w:abstractNum>
  <w:abstractNum w:abstractNumId="4">
    <w:nsid w:val="ECF7DBA5"/>
    <w:multiLevelType w:val="multilevel"/>
    <w:tmpl w:val="ECF7DBA5"/>
    <w:lvl w:ilvl="0">
      <w:start w:val="1"/>
      <w:numFmt w:val="chineseCounting"/>
      <w:pStyle w:val="1"/>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FAF25C7D"/>
    <w:multiLevelType w:val="singleLevel"/>
    <w:tmpl w:val="FAF25C7D"/>
    <w:lvl w:ilvl="0">
      <w:start w:val="1"/>
      <w:numFmt w:val="decimal"/>
      <w:lvlText w:val="%1."/>
      <w:lvlJc w:val="left"/>
      <w:pPr>
        <w:ind w:left="425" w:hanging="425"/>
      </w:pPr>
      <w:rPr>
        <w:rFonts w:hint="default"/>
      </w:rPr>
    </w:lvl>
  </w:abstractNum>
  <w:abstractNum w:abstractNumId="6">
    <w:nsid w:val="1EFA174D"/>
    <w:multiLevelType w:val="singleLevel"/>
    <w:tmpl w:val="1EFA174D"/>
    <w:lvl w:ilvl="0">
      <w:start w:val="1"/>
      <w:numFmt w:val="decimal"/>
      <w:lvlText w:val="(%1)"/>
      <w:lvlJc w:val="left"/>
      <w:pPr>
        <w:ind w:left="425" w:hanging="425"/>
      </w:pPr>
      <w:rPr>
        <w:rFonts w:hint="default"/>
      </w:rPr>
    </w:lvl>
  </w:abstractNum>
  <w:abstractNum w:abstractNumId="7">
    <w:nsid w:val="50DD0A9B"/>
    <w:multiLevelType w:val="singleLevel"/>
    <w:tmpl w:val="50DD0A9B"/>
    <w:lvl w:ilvl="0">
      <w:start w:val="1"/>
      <w:numFmt w:val="chineseCounting"/>
      <w:pStyle w:val="2"/>
      <w:suff w:val="nothing"/>
      <w:lvlText w:val="（%1）"/>
      <w:lvlJc w:val="left"/>
      <w:pPr>
        <w:ind w:left="0" w:firstLine="420"/>
      </w:pPr>
      <w:rPr>
        <w:rFonts w:hint="eastAsia"/>
      </w:rPr>
    </w:lvl>
  </w:abstractNum>
  <w:num w:numId="1">
    <w:abstractNumId w:val="4"/>
  </w:num>
  <w:num w:numId="2">
    <w:abstractNumId w:val="7"/>
  </w:num>
  <w:num w:numId="3">
    <w:abstractNumId w:val="1"/>
  </w:num>
  <w:num w:numId="4">
    <w:abstractNumId w:val="5"/>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7"/>
    <w:lvlOverride w:ilvl="0">
      <w:startOverride w:val="1"/>
    </w:lvlOverride>
  </w:num>
  <w:num w:numId="14">
    <w:abstractNumId w:val="1"/>
    <w:lvlOverride w:ilvl="0">
      <w:startOverride w:val="1"/>
    </w:lvlOverride>
  </w:num>
  <w:num w:numId="15">
    <w:abstractNumId w:val="7"/>
    <w:lvlOverride w:ilvl="0">
      <w:startOverride w:val="1"/>
    </w:lvlOverride>
  </w:num>
  <w:num w:numId="16">
    <w:abstractNumId w:val="1"/>
    <w:lvlOverride w:ilvl="0">
      <w:startOverride w:val="1"/>
    </w:lvlOverride>
  </w:num>
  <w:num w:numId="17">
    <w:abstractNumId w:val="0"/>
  </w:num>
  <w:num w:numId="18">
    <w:abstractNumId w:val="6"/>
  </w:num>
  <w:num w:numId="19">
    <w:abstractNumId w:val="3"/>
  </w:num>
  <w:num w:numId="20">
    <w:abstractNumId w:val="1"/>
    <w:lvlOverride w:ilvl="0">
      <w:startOverride w:val="1"/>
    </w:lvlOverride>
  </w:num>
  <w:num w:numId="21">
    <w:abstractNumId w:val="1"/>
    <w:lvlOverride w:ilvl="0">
      <w:startOverride w:val="1"/>
    </w:lvlOverride>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72A27"/>
    <w:rsid w:val="001467C3"/>
    <w:rsid w:val="00172A27"/>
    <w:rsid w:val="00313E31"/>
    <w:rsid w:val="003F23CE"/>
    <w:rsid w:val="004931D1"/>
    <w:rsid w:val="00C8354C"/>
    <w:rsid w:val="00F80ED2"/>
    <w:rsid w:val="01037339"/>
    <w:rsid w:val="01D95F0B"/>
    <w:rsid w:val="04BA6062"/>
    <w:rsid w:val="04E623A2"/>
    <w:rsid w:val="089D4136"/>
    <w:rsid w:val="0C637445"/>
    <w:rsid w:val="13250FB0"/>
    <w:rsid w:val="147A588A"/>
    <w:rsid w:val="157A59A5"/>
    <w:rsid w:val="17566F62"/>
    <w:rsid w:val="176F05D8"/>
    <w:rsid w:val="17A039C7"/>
    <w:rsid w:val="186C2594"/>
    <w:rsid w:val="18F002B2"/>
    <w:rsid w:val="198A5390"/>
    <w:rsid w:val="1B4F12C0"/>
    <w:rsid w:val="1BCB46BE"/>
    <w:rsid w:val="1CC17F9B"/>
    <w:rsid w:val="20A65657"/>
    <w:rsid w:val="20FB5A46"/>
    <w:rsid w:val="212E2974"/>
    <w:rsid w:val="22450C93"/>
    <w:rsid w:val="23040ECE"/>
    <w:rsid w:val="232C039F"/>
    <w:rsid w:val="26DE5BEE"/>
    <w:rsid w:val="27467F8C"/>
    <w:rsid w:val="274C2085"/>
    <w:rsid w:val="28856683"/>
    <w:rsid w:val="28B46C06"/>
    <w:rsid w:val="29004CD3"/>
    <w:rsid w:val="29E44EBB"/>
    <w:rsid w:val="2A3D2C2B"/>
    <w:rsid w:val="2E6A50E7"/>
    <w:rsid w:val="312B5ED3"/>
    <w:rsid w:val="32785148"/>
    <w:rsid w:val="343230D5"/>
    <w:rsid w:val="35A26038"/>
    <w:rsid w:val="39685218"/>
    <w:rsid w:val="3AAC6692"/>
    <w:rsid w:val="3BAB20EB"/>
    <w:rsid w:val="3D3D0EC4"/>
    <w:rsid w:val="3E1C468B"/>
    <w:rsid w:val="3EC6723B"/>
    <w:rsid w:val="40BB4A94"/>
    <w:rsid w:val="4114603C"/>
    <w:rsid w:val="41B90228"/>
    <w:rsid w:val="42644CFC"/>
    <w:rsid w:val="42F61ADE"/>
    <w:rsid w:val="434D1EE8"/>
    <w:rsid w:val="439B6738"/>
    <w:rsid w:val="44C63AF1"/>
    <w:rsid w:val="464078D3"/>
    <w:rsid w:val="48C36A60"/>
    <w:rsid w:val="49044BE8"/>
    <w:rsid w:val="496E3E4E"/>
    <w:rsid w:val="49804BB7"/>
    <w:rsid w:val="4B214F2C"/>
    <w:rsid w:val="4E1C29D4"/>
    <w:rsid w:val="4E9904C8"/>
    <w:rsid w:val="51065C10"/>
    <w:rsid w:val="515D6E00"/>
    <w:rsid w:val="51654A74"/>
    <w:rsid w:val="516D37D4"/>
    <w:rsid w:val="520B5239"/>
    <w:rsid w:val="525A0E47"/>
    <w:rsid w:val="52B4142D"/>
    <w:rsid w:val="52B612E8"/>
    <w:rsid w:val="53B92A73"/>
    <w:rsid w:val="55A559A5"/>
    <w:rsid w:val="572648C3"/>
    <w:rsid w:val="57421503"/>
    <w:rsid w:val="581B7E79"/>
    <w:rsid w:val="59367040"/>
    <w:rsid w:val="5A2055FA"/>
    <w:rsid w:val="5A3E2B3C"/>
    <w:rsid w:val="5A786DC0"/>
    <w:rsid w:val="5B652870"/>
    <w:rsid w:val="5BB4249E"/>
    <w:rsid w:val="60293D6C"/>
    <w:rsid w:val="60B42F40"/>
    <w:rsid w:val="628B6580"/>
    <w:rsid w:val="670A6207"/>
    <w:rsid w:val="67CD1DE2"/>
    <w:rsid w:val="67F17C03"/>
    <w:rsid w:val="688458E7"/>
    <w:rsid w:val="6BD55C15"/>
    <w:rsid w:val="6BD86642"/>
    <w:rsid w:val="6E5E6835"/>
    <w:rsid w:val="70AC1B56"/>
    <w:rsid w:val="70FD0015"/>
    <w:rsid w:val="725B146D"/>
    <w:rsid w:val="73505BBA"/>
    <w:rsid w:val="745D6EC5"/>
    <w:rsid w:val="74B63A06"/>
    <w:rsid w:val="75281A11"/>
    <w:rsid w:val="75BA46FD"/>
    <w:rsid w:val="77CD1DD0"/>
    <w:rsid w:val="782E0AB8"/>
    <w:rsid w:val="7C444D20"/>
    <w:rsid w:val="7F5B48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0ED2"/>
    <w:pPr>
      <w:widowControl w:val="0"/>
      <w:ind w:firstLineChars="200" w:firstLine="1044"/>
      <w:jc w:val="both"/>
    </w:pPr>
    <w:rPr>
      <w:rFonts w:asciiTheme="minorHAnsi" w:eastAsiaTheme="minorEastAsia" w:hAnsiTheme="minorHAnsi" w:cstheme="minorBidi"/>
      <w:kern w:val="2"/>
      <w:sz w:val="30"/>
      <w:szCs w:val="24"/>
    </w:rPr>
  </w:style>
  <w:style w:type="paragraph" w:styleId="1">
    <w:name w:val="heading 1"/>
    <w:basedOn w:val="a"/>
    <w:next w:val="a"/>
    <w:qFormat/>
    <w:rsid w:val="00F80ED2"/>
    <w:pPr>
      <w:keepNext/>
      <w:keepLines/>
      <w:numPr>
        <w:numId w:val="1"/>
      </w:numPr>
      <w:spacing w:line="576" w:lineRule="auto"/>
      <w:outlineLvl w:val="0"/>
    </w:pPr>
    <w:rPr>
      <w:b/>
      <w:kern w:val="44"/>
      <w:sz w:val="36"/>
    </w:rPr>
  </w:style>
  <w:style w:type="paragraph" w:styleId="2">
    <w:name w:val="heading 2"/>
    <w:basedOn w:val="a"/>
    <w:next w:val="a"/>
    <w:unhideWhenUsed/>
    <w:qFormat/>
    <w:rsid w:val="00F80ED2"/>
    <w:pPr>
      <w:keepNext/>
      <w:keepLines/>
      <w:numPr>
        <w:numId w:val="2"/>
      </w:numPr>
      <w:spacing w:line="413" w:lineRule="auto"/>
      <w:outlineLvl w:val="1"/>
    </w:pPr>
    <w:rPr>
      <w:rFonts w:ascii="Arial" w:eastAsia="宋体" w:hAnsi="Arial"/>
      <w:sz w:val="32"/>
    </w:rPr>
  </w:style>
  <w:style w:type="paragraph" w:styleId="3">
    <w:name w:val="heading 3"/>
    <w:basedOn w:val="a"/>
    <w:next w:val="a"/>
    <w:unhideWhenUsed/>
    <w:qFormat/>
    <w:rsid w:val="00F80ED2"/>
    <w:pPr>
      <w:keepNext/>
      <w:keepLines/>
      <w:numPr>
        <w:numId w:val="3"/>
      </w:numPr>
      <w:spacing w:line="413" w:lineRule="auto"/>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80ED2"/>
    <w:pPr>
      <w:tabs>
        <w:tab w:val="center" w:pos="4153"/>
        <w:tab w:val="right" w:pos="8306"/>
      </w:tabs>
      <w:snapToGrid w:val="0"/>
      <w:jc w:val="left"/>
    </w:pPr>
    <w:rPr>
      <w:sz w:val="18"/>
    </w:rPr>
  </w:style>
  <w:style w:type="paragraph" w:styleId="a4">
    <w:name w:val="header"/>
    <w:basedOn w:val="a"/>
    <w:qFormat/>
    <w:rsid w:val="00F80E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F80ED2"/>
    <w:rPr>
      <w:rFonts w:ascii="Times New Roman" w:hAnsi="Times New Roman"/>
    </w:rPr>
  </w:style>
  <w:style w:type="paragraph" w:styleId="20">
    <w:name w:val="toc 2"/>
    <w:basedOn w:val="a"/>
    <w:next w:val="a"/>
    <w:qFormat/>
    <w:rsid w:val="00F80ED2"/>
    <w:pPr>
      <w:ind w:leftChars="200" w:left="420"/>
    </w:pPr>
  </w:style>
  <w:style w:type="table" w:styleId="a5">
    <w:name w:val="Table Grid"/>
    <w:basedOn w:val="a1"/>
    <w:qFormat/>
    <w:rsid w:val="00F80E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图名"/>
    <w:basedOn w:val="a"/>
    <w:qFormat/>
    <w:rsid w:val="00F80ED2"/>
    <w:pPr>
      <w:spacing w:beforeLines="50" w:afterLines="50"/>
      <w:ind w:left="420" w:firstLineChars="0" w:firstLine="0"/>
      <w:jc w:val="center"/>
    </w:pPr>
    <w:rPr>
      <w:rFonts w:cs="Times New Roman"/>
      <w:b/>
      <w:bCs/>
      <w:kern w:val="0"/>
      <w:sz w:val="24"/>
    </w:rPr>
  </w:style>
  <w:style w:type="paragraph" w:customStyle="1" w:styleId="dwb">
    <w:name w:val="dwb"/>
    <w:basedOn w:val="a"/>
    <w:qFormat/>
    <w:rsid w:val="00F80ED2"/>
    <w:pPr>
      <w:spacing w:line="600" w:lineRule="exact"/>
      <w:ind w:firstLine="200"/>
    </w:pPr>
    <w:rPr>
      <w:rFonts w:ascii="Times New Roman" w:eastAsia="仿宋_GB2312" w:hAnsi="Times New Roman"/>
      <w:color w:val="000000"/>
      <w:sz w:val="32"/>
      <w:szCs w:val="40"/>
    </w:rPr>
  </w:style>
  <w:style w:type="paragraph" w:styleId="a7">
    <w:name w:val="Balloon Text"/>
    <w:basedOn w:val="a"/>
    <w:link w:val="Char"/>
    <w:rsid w:val="00C8354C"/>
    <w:rPr>
      <w:sz w:val="18"/>
      <w:szCs w:val="18"/>
    </w:rPr>
  </w:style>
  <w:style w:type="character" w:customStyle="1" w:styleId="Char">
    <w:name w:val="批注框文本 Char"/>
    <w:basedOn w:val="a0"/>
    <w:link w:val="a7"/>
    <w:rsid w:val="00C8354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2542</Words>
  <Characters>14495</Characters>
  <Application>Microsoft Office Word</Application>
  <DocSecurity>0</DocSecurity>
  <Lines>120</Lines>
  <Paragraphs>34</Paragraphs>
  <ScaleCrop>false</ScaleCrop>
  <Company>Microsoft</Company>
  <LinksUpToDate>false</LinksUpToDate>
  <CharactersWithSpaces>17003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cp:lastModifiedBy>
  <cp:revision>3</cp:revision>
  <cp:lastPrinted>2026-03-16T08:49:00Z</cp:lastPrinted>
  <dcterms:created xsi:type="dcterms:W3CDTF">2026-03-11T03:07:00Z</dcterms:created>
  <dcterms:modified xsi:type="dcterms:W3CDTF">2026-03-16T09:21:00Z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eyJoZGlkIjoiMzhkYWJkOTMzM2ZmNjIwMDEwNjIyZDA4NTFhMTY5Y2UiLCJ1c2VySWQiOiIyMzAwODcxOTIifQ==</vt:lpwstr>
  </property>
  <property fmtid="{D5CDD505-2E9C-101B-9397-08002B2CF9AE}" pid="4" name="ICV">
    <vt:lpwstr>FEB84AD923DC4BD79DDA9FAE8ACB7A28_13</vt:lpwstr>
  </property>
</Properties>
</file>